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650D6072" w:rsidR="00595C8C" w:rsidRPr="00595C8C" w:rsidRDefault="00595C8C" w:rsidP="00595C8C">
            <w:pPr>
              <w:pStyle w:val="InnerCoverTitle"/>
              <w:rPr>
                <w:sz w:val="36"/>
                <w:szCs w:val="36"/>
              </w:rPr>
            </w:pPr>
            <w:r w:rsidRPr="00595C8C">
              <w:rPr>
                <w:sz w:val="36"/>
                <w:szCs w:val="36"/>
              </w:rPr>
              <w:t xml:space="preserve">ONR </w:t>
            </w:r>
            <w:r w:rsidR="001D0FA7">
              <w:rPr>
                <w:sz w:val="36"/>
                <w:szCs w:val="36"/>
              </w:rPr>
              <w:t>Policy</w:t>
            </w:r>
          </w:p>
          <w:p w14:paraId="7C4EA414" w14:textId="5B61DF05" w:rsidR="00D0226A" w:rsidRPr="001E03E1" w:rsidRDefault="00FE419B" w:rsidP="001E03E1">
            <w:pPr>
              <w:pStyle w:val="CoverTitle"/>
              <w:rPr>
                <w:szCs w:val="90"/>
              </w:rPr>
            </w:pPr>
            <w:sdt>
              <w:sdtPr>
                <w:rPr>
                  <w:sz w:val="44"/>
                  <w:szCs w:val="44"/>
                </w:rPr>
                <w:alias w:val="Title"/>
                <w:tag w:val=""/>
                <w:id w:val="-1089070423"/>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text/>
              </w:sdtPr>
              <w:sdtEndPr/>
              <w:sdtContent>
                <w:r w:rsidR="00906A07">
                  <w:rPr>
                    <w:sz w:val="44"/>
                    <w:szCs w:val="44"/>
                  </w:rPr>
                  <w:t>The Nuclear Industries Security Regulations 2003: Classification policy for the civil nuclear industry</w:t>
                </w:r>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63A9BF95">
            <wp:simplePos x="685800" y="914400"/>
            <wp:positionH relativeFrom="page">
              <wp:align>left</wp:align>
            </wp:positionH>
            <wp:positionV relativeFrom="page">
              <wp:align>top</wp:align>
            </wp:positionV>
            <wp:extent cx="7568280" cy="10692360"/>
            <wp:effectExtent l="0" t="0" r="0" b="0"/>
            <wp:wrapNone/>
            <wp:docPr id="1" name="Picture 1" descr="Office for Nuclear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ffice for Nuclear Regulation"/>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40B34598" w14:textId="77777777" w:rsidR="00DD66BD" w:rsidRPr="00595C8C" w:rsidRDefault="00DD66BD" w:rsidP="00DD66BD">
      <w:pPr>
        <w:pStyle w:val="InnerCoverTitle"/>
        <w:rPr>
          <w:sz w:val="36"/>
          <w:szCs w:val="36"/>
        </w:rPr>
      </w:pPr>
      <w:r w:rsidRPr="00595C8C">
        <w:rPr>
          <w:sz w:val="36"/>
          <w:szCs w:val="36"/>
        </w:rPr>
        <w:lastRenderedPageBreak/>
        <w:t xml:space="preserve">ONR </w:t>
      </w:r>
      <w:r>
        <w:rPr>
          <w:sz w:val="36"/>
          <w:szCs w:val="36"/>
        </w:rPr>
        <w:t>Policy</w:t>
      </w:r>
    </w:p>
    <w:p w14:paraId="632E3465" w14:textId="710F4EAB" w:rsidR="00DD66BD" w:rsidRDefault="00FE419B" w:rsidP="00DD66BD">
      <w:pPr>
        <w:rPr>
          <w:sz w:val="32"/>
          <w:szCs w:val="32"/>
        </w:rPr>
      </w:pPr>
      <w:sdt>
        <w:sdtPr>
          <w:rPr>
            <w:sz w:val="48"/>
            <w:szCs w:val="48"/>
          </w:rPr>
          <w:alias w:val="Title"/>
          <w:tag w:val=""/>
          <w:id w:val="-1112124581"/>
          <w:placeholder>
            <w:docPart w:val="2FE46D31B83E42DDB8FD7AF27B9F2FEE"/>
          </w:placeholder>
          <w:dataBinding w:prefixMappings="xmlns:ns0='http://purl.org/dc/elements/1.1/' xmlns:ns1='http://schemas.openxmlformats.org/package/2006/metadata/core-properties' " w:xpath="/ns1:coreProperties[1]/ns0:title[1]" w:storeItemID="{6C3C8BC8-F283-45AE-878A-BAB7291924A1}"/>
          <w:text/>
        </w:sdtPr>
        <w:sdtEndPr/>
        <w:sdtContent>
          <w:r w:rsidR="00906A07">
            <w:rPr>
              <w:sz w:val="48"/>
              <w:szCs w:val="48"/>
            </w:rPr>
            <w:t>The Nuclear Industries Security Regulations 2003: Classification policy for the civil nuclear industry</w:t>
          </w:r>
        </w:sdtContent>
      </w:sdt>
    </w:p>
    <w:p w14:paraId="3AEE900F" w14:textId="6D195C40" w:rsidR="00BD1641" w:rsidRPr="00366A2D" w:rsidRDefault="00BD1641" w:rsidP="00DD66BD">
      <w:pPr>
        <w:rPr>
          <w:i/>
          <w:iCs/>
          <w:sz w:val="20"/>
          <w:szCs w:val="18"/>
        </w:rPr>
      </w:pPr>
      <w:r w:rsidRPr="00366A2D">
        <w:rPr>
          <w:i/>
          <w:iCs/>
          <w:sz w:val="36"/>
          <w:szCs w:val="36"/>
        </w:rPr>
        <w:t>Information concerning the use, storage and transport of nuclear and other radioactive material</w:t>
      </w:r>
    </w:p>
    <w:p w14:paraId="266B4AC3" w14:textId="5E3D6D86" w:rsidR="00DD66BD" w:rsidRPr="00DD66BD" w:rsidRDefault="00BD1641" w:rsidP="00DD66BD">
      <w:pPr>
        <w:rPr>
          <w:sz w:val="28"/>
          <w:szCs w:val="24"/>
        </w:rPr>
      </w:pPr>
      <w:r>
        <w:rPr>
          <w:b/>
          <w:bCs/>
          <w:sz w:val="28"/>
          <w:szCs w:val="24"/>
        </w:rPr>
        <w:t>Policy</w:t>
      </w:r>
      <w:r w:rsidR="00DD66BD" w:rsidRPr="00DD66BD">
        <w:rPr>
          <w:b/>
          <w:bCs/>
          <w:sz w:val="28"/>
          <w:szCs w:val="24"/>
        </w:rPr>
        <w:t xml:space="preserve"> Owner</w:t>
      </w:r>
      <w:r w:rsidR="00DD66BD" w:rsidRPr="00DD66BD">
        <w:rPr>
          <w:sz w:val="28"/>
          <w:szCs w:val="24"/>
        </w:rPr>
        <w:t xml:space="preserve"> – </w:t>
      </w:r>
      <w:r>
        <w:rPr>
          <w:sz w:val="28"/>
          <w:szCs w:val="24"/>
        </w:rPr>
        <w:t>Technical Director</w:t>
      </w:r>
    </w:p>
    <w:p w14:paraId="17E3CD3F" w14:textId="7E9CEFF6" w:rsidR="00DD66BD" w:rsidRDefault="00DD66BD" w:rsidP="00DD66BD"/>
    <w:p w14:paraId="1945BB69" w14:textId="088D00CC" w:rsidR="00DD66BD" w:rsidRDefault="00DD66BD" w:rsidP="00DD66BD">
      <w:r w:rsidRPr="00DD66BD">
        <w:rPr>
          <w:b/>
          <w:bCs/>
        </w:rPr>
        <w:t>Authored by</w:t>
      </w:r>
      <w:r>
        <w:t xml:space="preserve"> – </w:t>
      </w:r>
      <w:r w:rsidR="00BD1641">
        <w:t>Nuclear Security Inspector</w:t>
      </w:r>
    </w:p>
    <w:p w14:paraId="23337699" w14:textId="45C8B753" w:rsidR="00DD66BD" w:rsidRDefault="00DD66BD" w:rsidP="00DD66BD">
      <w:r w:rsidRPr="00DD66BD">
        <w:rPr>
          <w:b/>
          <w:bCs/>
        </w:rPr>
        <w:t>Approved by</w:t>
      </w:r>
      <w:r>
        <w:t xml:space="preserve"> – </w:t>
      </w:r>
      <w:r w:rsidR="00906A07">
        <w:t xml:space="preserve">Head of Profession for Cyber Security and Information Assurance </w:t>
      </w:r>
    </w:p>
    <w:p w14:paraId="54CE2051" w14:textId="77777777" w:rsidR="00CC77A0" w:rsidRDefault="00CC77A0" w:rsidP="00DD66BD"/>
    <w:p w14:paraId="3EEF0F6D" w14:textId="55A4E162" w:rsidR="00CC77A0" w:rsidRDefault="00CC77A0" w:rsidP="00CC77A0">
      <w:r w:rsidRPr="00DD66BD">
        <w:rPr>
          <w:b/>
          <w:bCs/>
        </w:rPr>
        <w:t>Issu</w:t>
      </w:r>
      <w:r>
        <w:rPr>
          <w:b/>
          <w:bCs/>
        </w:rPr>
        <w:t>e</w:t>
      </w:r>
      <w:r w:rsidRPr="00DD66BD">
        <w:rPr>
          <w:b/>
          <w:bCs/>
        </w:rPr>
        <w:t>:</w:t>
      </w:r>
      <w:r>
        <w:t xml:space="preserve"> </w:t>
      </w:r>
      <w:sdt>
        <w:sdtPr>
          <w:alias w:val="Status"/>
          <w:tag w:val=""/>
          <w:id w:val="-880939703"/>
          <w:placeholder>
            <w:docPart w:val="0D48D2235C144BE79D72C783221DC618"/>
          </w:placeholder>
          <w:dataBinding w:prefixMappings="xmlns:ns0='http://purl.org/dc/elements/1.1/' xmlns:ns1='http://schemas.openxmlformats.org/package/2006/metadata/core-properties' " w:xpath="/ns1:coreProperties[1]/ns1:contentStatus[1]" w:storeItemID="{6C3C8BC8-F283-45AE-878A-BAB7291924A1}"/>
          <w:text/>
        </w:sdtPr>
        <w:sdtEndPr/>
        <w:sdtContent>
          <w:r>
            <w:t>9</w:t>
          </w:r>
        </w:sdtContent>
      </w:sdt>
    </w:p>
    <w:p w14:paraId="388B8D97" w14:textId="0AC89D96" w:rsidR="00DD66BD" w:rsidRDefault="00253FDE" w:rsidP="00DD66BD">
      <w:r>
        <w:rPr>
          <w:b/>
          <w:bCs/>
        </w:rPr>
        <w:t>Published</w:t>
      </w:r>
      <w:r w:rsidR="00DD66BD" w:rsidRPr="00DD66BD">
        <w:rPr>
          <w:b/>
          <w:bCs/>
        </w:rPr>
        <w:t>:</w:t>
      </w:r>
      <w:r w:rsidR="00DD66BD">
        <w:t xml:space="preserve"> </w:t>
      </w:r>
      <w:r w:rsidR="00BD1641">
        <w:t>October 2024</w:t>
      </w:r>
    </w:p>
    <w:p w14:paraId="5CC3BD95" w14:textId="426DF8AF" w:rsidR="00DD66BD" w:rsidRDefault="00DD66BD" w:rsidP="00DD66BD">
      <w:r w:rsidRPr="00DD66BD">
        <w:rPr>
          <w:b/>
          <w:bCs/>
        </w:rPr>
        <w:t xml:space="preserve">Next </w:t>
      </w:r>
      <w:r w:rsidR="00253FDE">
        <w:rPr>
          <w:b/>
          <w:bCs/>
        </w:rPr>
        <w:t>scheduled review</w:t>
      </w:r>
      <w:r w:rsidRPr="00DD66BD">
        <w:rPr>
          <w:b/>
          <w:bCs/>
        </w:rPr>
        <w:t>:</w:t>
      </w:r>
      <w:r w:rsidR="00253FDE">
        <w:rPr>
          <w:b/>
          <w:bCs/>
        </w:rPr>
        <w:t xml:space="preserve"> </w:t>
      </w:r>
      <w:r w:rsidR="00253FDE">
        <w:t>October 2029</w:t>
      </w:r>
    </w:p>
    <w:p w14:paraId="0F43A734" w14:textId="628D51DB" w:rsidR="00DD66BD" w:rsidRPr="00253FDE" w:rsidRDefault="00DD66BD" w:rsidP="00DD66BD">
      <w:r w:rsidRPr="00253FDE">
        <w:rPr>
          <w:b/>
          <w:bCs/>
        </w:rPr>
        <w:t>Doc</w:t>
      </w:r>
      <w:r w:rsidR="00253FDE">
        <w:rPr>
          <w:b/>
          <w:bCs/>
        </w:rPr>
        <w:t>ument reference</w:t>
      </w:r>
      <w:r w:rsidRPr="00253FDE">
        <w:rPr>
          <w:b/>
          <w:bCs/>
        </w:rPr>
        <w:t>:</w:t>
      </w:r>
      <w:r w:rsidRPr="00253FDE">
        <w:t xml:space="preserve"> ONR-</w:t>
      </w:r>
      <w:r w:rsidR="00253FDE" w:rsidRPr="00253FDE">
        <w:t>CNSS-POL-001</w:t>
      </w:r>
    </w:p>
    <w:p w14:paraId="317228D8" w14:textId="0AFF6422" w:rsidR="00DD66BD" w:rsidRDefault="00DD66BD" w:rsidP="00DD66BD">
      <w:r w:rsidRPr="00253FDE">
        <w:rPr>
          <w:b/>
          <w:bCs/>
        </w:rPr>
        <w:t xml:space="preserve">Record </w:t>
      </w:r>
      <w:r w:rsidR="00253FDE">
        <w:rPr>
          <w:b/>
          <w:bCs/>
        </w:rPr>
        <w:t>reference</w:t>
      </w:r>
      <w:r w:rsidRPr="00253FDE">
        <w:rPr>
          <w:b/>
          <w:bCs/>
        </w:rPr>
        <w:t>:</w:t>
      </w:r>
      <w:r w:rsidRPr="00253FDE">
        <w:t xml:space="preserve"> </w:t>
      </w:r>
      <w:r w:rsidR="00253FDE" w:rsidRPr="00253FDE">
        <w:t>2021/83781</w:t>
      </w:r>
    </w:p>
    <w:p w14:paraId="3676EA03" w14:textId="77777777" w:rsidR="00CC77A0" w:rsidRDefault="00CC77A0" w:rsidP="00DD66BD">
      <w:pPr>
        <w:pStyle w:val="Caption"/>
        <w:keepNext/>
      </w:pPr>
    </w:p>
    <w:p w14:paraId="77A1B417" w14:textId="0BD64738" w:rsidR="00DD66BD" w:rsidRDefault="00DD66BD" w:rsidP="00DD66BD">
      <w:pPr>
        <w:pStyle w:val="Caption"/>
        <w:keepNext/>
      </w:pPr>
      <w:r>
        <w:t>Revision commentary</w:t>
      </w:r>
      <w:r w:rsidR="00366A2D">
        <w:t>:</w:t>
      </w:r>
    </w:p>
    <w:tbl>
      <w:tblPr>
        <w:tblStyle w:val="ONRTable1"/>
        <w:tblW w:w="0" w:type="auto"/>
        <w:tblInd w:w="10" w:type="dxa"/>
        <w:tblLook w:val="04A0" w:firstRow="1" w:lastRow="0" w:firstColumn="1" w:lastColumn="0" w:noHBand="0" w:noVBand="1"/>
      </w:tblPr>
      <w:tblGrid>
        <w:gridCol w:w="1092"/>
        <w:gridCol w:w="7924"/>
      </w:tblGrid>
      <w:tr w:rsidR="00595C8C" w:rsidRPr="00DD66BD" w14:paraId="116B87DF" w14:textId="77777777" w:rsidTr="00BD1641">
        <w:trPr>
          <w:cnfStyle w:val="100000000000" w:firstRow="1" w:lastRow="0" w:firstColumn="0" w:lastColumn="0" w:oddVBand="0" w:evenVBand="0" w:oddHBand="0" w:evenHBand="0" w:firstRowFirstColumn="0" w:firstRowLastColumn="0" w:lastRowFirstColumn="0" w:lastRowLastColumn="0"/>
        </w:trPr>
        <w:tc>
          <w:tcPr>
            <w:tcW w:w="1124" w:type="dxa"/>
          </w:tcPr>
          <w:p w14:paraId="72366D01" w14:textId="4FB57242" w:rsidR="00595C8C" w:rsidRPr="00DD66BD" w:rsidRDefault="00595C8C" w:rsidP="00595C8C">
            <w:pPr>
              <w:spacing w:before="60" w:after="60"/>
              <w:rPr>
                <w:b w:val="0"/>
                <w:bCs/>
              </w:rPr>
            </w:pPr>
            <w:r w:rsidRPr="00DD66BD">
              <w:rPr>
                <w:b w:val="0"/>
                <w:bCs/>
              </w:rPr>
              <w:t>Issue</w:t>
            </w:r>
          </w:p>
        </w:tc>
        <w:tc>
          <w:tcPr>
            <w:tcW w:w="8612" w:type="dxa"/>
          </w:tcPr>
          <w:p w14:paraId="2D00C3FD" w14:textId="6CE65A08" w:rsidR="00595C8C" w:rsidRPr="00DD66BD" w:rsidRDefault="00595C8C" w:rsidP="00595C8C">
            <w:pPr>
              <w:spacing w:before="60" w:after="60"/>
              <w:rPr>
                <w:b w:val="0"/>
                <w:bCs/>
              </w:rPr>
            </w:pPr>
            <w:r w:rsidRPr="00DD66BD">
              <w:rPr>
                <w:b w:val="0"/>
                <w:bCs/>
              </w:rPr>
              <w:t xml:space="preserve">Description of </w:t>
            </w:r>
            <w:r w:rsidR="00BD1641">
              <w:rPr>
                <w:b w:val="0"/>
                <w:bCs/>
              </w:rPr>
              <w:t>u</w:t>
            </w:r>
            <w:r w:rsidRPr="00DD66BD">
              <w:rPr>
                <w:b w:val="0"/>
                <w:bCs/>
              </w:rPr>
              <w:t>pdate(s)</w:t>
            </w:r>
          </w:p>
        </w:tc>
      </w:tr>
      <w:tr w:rsidR="00595C8C" w14:paraId="0B4E4E42" w14:textId="77777777" w:rsidTr="00BD1641">
        <w:tc>
          <w:tcPr>
            <w:tcW w:w="1124" w:type="dxa"/>
          </w:tcPr>
          <w:p w14:paraId="65482A03" w14:textId="124B95B7" w:rsidR="00595C8C" w:rsidRDefault="00BD1641" w:rsidP="00595C8C">
            <w:pPr>
              <w:spacing w:before="60" w:after="60"/>
            </w:pPr>
            <w:r>
              <w:t>9</w:t>
            </w:r>
          </w:p>
        </w:tc>
        <w:tc>
          <w:tcPr>
            <w:tcW w:w="8612" w:type="dxa"/>
          </w:tcPr>
          <w:p w14:paraId="1C80912E" w14:textId="4DC3F2D9" w:rsidR="00595C8C" w:rsidRDefault="00BD1641" w:rsidP="00595C8C">
            <w:pPr>
              <w:spacing w:before="60" w:after="60"/>
            </w:pPr>
            <w:r>
              <w:t>G</w:t>
            </w:r>
            <w:r w:rsidRPr="00CC36B3">
              <w:t xml:space="preserve">eneral additions and updates in line with </w:t>
            </w:r>
            <w:r>
              <w:t>the revised Government Security Classification Policy, ONR Security Assessment Principles</w:t>
            </w:r>
            <w:r w:rsidR="00253FDE">
              <w:t xml:space="preserve"> (SyAPs)</w:t>
            </w:r>
            <w:r>
              <w:t xml:space="preserve">, and </w:t>
            </w:r>
            <w:r w:rsidRPr="00CC36B3">
              <w:t>relevant good practice. Updated document template.</w:t>
            </w:r>
          </w:p>
        </w:tc>
      </w:tr>
    </w:tbl>
    <w:p w14:paraId="1FDB4B56" w14:textId="6C10B266" w:rsidR="00595C8C" w:rsidRDefault="00595C8C" w:rsidP="00323E71">
      <w:pPr>
        <w:sectPr w:rsidR="00595C8C" w:rsidSect="00253FDE">
          <w:headerReference w:type="default" r:id="rId11"/>
          <w:footerReference w:type="default" r:id="rId12"/>
          <w:pgSz w:w="11906" w:h="16838" w:code="9"/>
          <w:pgMar w:top="1440" w:right="1440" w:bottom="1440" w:left="1440" w:header="397" w:footer="397" w:gutter="0"/>
          <w:cols w:space="312"/>
          <w:titlePg/>
          <w:docGrid w:linePitch="360"/>
        </w:sectPr>
      </w:pPr>
    </w:p>
    <w:bookmarkEnd w:id="0" w:displacedByCustomXml="next"/>
    <w:bookmarkStart w:id="1" w:name="_Hlk155875846" w:displacedByCustomXml="next"/>
    <w:bookmarkStart w:id="2" w:name="_Toc106867902" w:displacedByCustomXml="next"/>
    <w:sdt>
      <w:sdtPr>
        <w:rPr>
          <w:rFonts w:ascii="Arial" w:eastAsia="Calibri" w:hAnsi="Arial" w:cs="Arial"/>
          <w:color w:val="auto"/>
          <w:sz w:val="24"/>
          <w:szCs w:val="22"/>
          <w:lang w:eastAsia="en-US" w:bidi="he-IL"/>
        </w:rPr>
        <w:id w:val="50281849"/>
        <w:docPartObj>
          <w:docPartGallery w:val="Table of Contents"/>
          <w:docPartUnique/>
        </w:docPartObj>
      </w:sdtPr>
      <w:sdtEndPr>
        <w:rPr>
          <w:b/>
          <w:bCs/>
        </w:rPr>
      </w:sdtEndPr>
      <w:sdtContent>
        <w:p w14:paraId="56796F49" w14:textId="63319DCE" w:rsidR="00253FDE" w:rsidRPr="00253FDE" w:rsidRDefault="00253FDE">
          <w:pPr>
            <w:pStyle w:val="TOCHeading"/>
            <w:rPr>
              <w:sz w:val="48"/>
              <w:szCs w:val="48"/>
            </w:rPr>
          </w:pPr>
          <w:r w:rsidRPr="00253FDE">
            <w:rPr>
              <w:sz w:val="48"/>
              <w:szCs w:val="48"/>
            </w:rPr>
            <w:t>Contents</w:t>
          </w:r>
        </w:p>
        <w:p w14:paraId="179E4766" w14:textId="374D7D5C" w:rsidR="00366A2D" w:rsidRDefault="00253FDE">
          <w:pPr>
            <w:pStyle w:val="TOC1"/>
            <w:rPr>
              <w:rFonts w:asciiTheme="minorHAnsi" w:eastAsiaTheme="minorEastAsia" w:hAnsiTheme="minorHAnsi" w:cstheme="minorBidi"/>
              <w:kern w:val="2"/>
              <w:sz w:val="22"/>
              <w:lang w:eastAsia="en-GB" w:bidi="ar-SA"/>
              <w14:ligatures w14:val="standardContextual"/>
            </w:rPr>
          </w:pPr>
          <w:r>
            <w:fldChar w:fldCharType="begin"/>
          </w:r>
          <w:r>
            <w:instrText xml:space="preserve"> TOC \o "1-3" \h \z \u </w:instrText>
          </w:r>
          <w:r>
            <w:fldChar w:fldCharType="separate"/>
          </w:r>
          <w:hyperlink w:anchor="_Toc180403432" w:history="1">
            <w:r w:rsidR="00366A2D" w:rsidRPr="000F3C25">
              <w:rPr>
                <w:rStyle w:val="Hyperlink"/>
              </w:rPr>
              <w:t>Purpose</w:t>
            </w:r>
            <w:r w:rsidR="00366A2D">
              <w:rPr>
                <w:webHidden/>
              </w:rPr>
              <w:tab/>
            </w:r>
            <w:r w:rsidR="00366A2D">
              <w:rPr>
                <w:webHidden/>
              </w:rPr>
              <w:fldChar w:fldCharType="begin"/>
            </w:r>
            <w:r w:rsidR="00366A2D">
              <w:rPr>
                <w:webHidden/>
              </w:rPr>
              <w:instrText xml:space="preserve"> PAGEREF _Toc180403432 \h </w:instrText>
            </w:r>
            <w:r w:rsidR="00366A2D">
              <w:rPr>
                <w:webHidden/>
              </w:rPr>
            </w:r>
            <w:r w:rsidR="00366A2D">
              <w:rPr>
                <w:webHidden/>
              </w:rPr>
              <w:fldChar w:fldCharType="separate"/>
            </w:r>
            <w:r w:rsidR="00366A2D">
              <w:rPr>
                <w:webHidden/>
              </w:rPr>
              <w:t>4</w:t>
            </w:r>
            <w:r w:rsidR="00366A2D">
              <w:rPr>
                <w:webHidden/>
              </w:rPr>
              <w:fldChar w:fldCharType="end"/>
            </w:r>
          </w:hyperlink>
        </w:p>
        <w:p w14:paraId="2E25C62F" w14:textId="36DBB846" w:rsidR="00366A2D" w:rsidRDefault="00FE419B">
          <w:pPr>
            <w:pStyle w:val="TOC1"/>
            <w:rPr>
              <w:rFonts w:asciiTheme="minorHAnsi" w:eastAsiaTheme="minorEastAsia" w:hAnsiTheme="minorHAnsi" w:cstheme="minorBidi"/>
              <w:kern w:val="2"/>
              <w:sz w:val="22"/>
              <w:lang w:eastAsia="en-GB" w:bidi="ar-SA"/>
              <w14:ligatures w14:val="standardContextual"/>
            </w:rPr>
          </w:pPr>
          <w:hyperlink w:anchor="_Toc180403433" w:history="1">
            <w:r w:rsidR="00366A2D" w:rsidRPr="000F3C25">
              <w:rPr>
                <w:rStyle w:val="Hyperlink"/>
              </w:rPr>
              <w:t>Scope and applicability</w:t>
            </w:r>
            <w:r w:rsidR="00366A2D">
              <w:rPr>
                <w:webHidden/>
              </w:rPr>
              <w:tab/>
            </w:r>
            <w:r w:rsidR="00366A2D">
              <w:rPr>
                <w:webHidden/>
              </w:rPr>
              <w:fldChar w:fldCharType="begin"/>
            </w:r>
            <w:r w:rsidR="00366A2D">
              <w:rPr>
                <w:webHidden/>
              </w:rPr>
              <w:instrText xml:space="preserve"> PAGEREF _Toc180403433 \h </w:instrText>
            </w:r>
            <w:r w:rsidR="00366A2D">
              <w:rPr>
                <w:webHidden/>
              </w:rPr>
            </w:r>
            <w:r w:rsidR="00366A2D">
              <w:rPr>
                <w:webHidden/>
              </w:rPr>
              <w:fldChar w:fldCharType="separate"/>
            </w:r>
            <w:r w:rsidR="00366A2D">
              <w:rPr>
                <w:webHidden/>
              </w:rPr>
              <w:t>5</w:t>
            </w:r>
            <w:r w:rsidR="00366A2D">
              <w:rPr>
                <w:webHidden/>
              </w:rPr>
              <w:fldChar w:fldCharType="end"/>
            </w:r>
          </w:hyperlink>
        </w:p>
        <w:p w14:paraId="7A30C067" w14:textId="4F69A8FD" w:rsidR="00366A2D" w:rsidRDefault="00FE419B">
          <w:pPr>
            <w:pStyle w:val="TOC1"/>
            <w:rPr>
              <w:rFonts w:asciiTheme="minorHAnsi" w:eastAsiaTheme="minorEastAsia" w:hAnsiTheme="minorHAnsi" w:cstheme="minorBidi"/>
              <w:kern w:val="2"/>
              <w:sz w:val="22"/>
              <w:lang w:eastAsia="en-GB" w:bidi="ar-SA"/>
              <w14:ligatures w14:val="standardContextual"/>
            </w:rPr>
          </w:pPr>
          <w:hyperlink w:anchor="_Toc180403434" w:history="1">
            <w:r w:rsidR="00366A2D" w:rsidRPr="000F3C25">
              <w:rPr>
                <w:rStyle w:val="Hyperlink"/>
              </w:rPr>
              <w:t>Classifying and protecting SNI</w:t>
            </w:r>
            <w:r w:rsidR="00366A2D">
              <w:rPr>
                <w:webHidden/>
              </w:rPr>
              <w:tab/>
            </w:r>
            <w:r w:rsidR="00366A2D">
              <w:rPr>
                <w:webHidden/>
              </w:rPr>
              <w:fldChar w:fldCharType="begin"/>
            </w:r>
            <w:r w:rsidR="00366A2D">
              <w:rPr>
                <w:webHidden/>
              </w:rPr>
              <w:instrText xml:space="preserve"> PAGEREF _Toc180403434 \h </w:instrText>
            </w:r>
            <w:r w:rsidR="00366A2D">
              <w:rPr>
                <w:webHidden/>
              </w:rPr>
            </w:r>
            <w:r w:rsidR="00366A2D">
              <w:rPr>
                <w:webHidden/>
              </w:rPr>
              <w:fldChar w:fldCharType="separate"/>
            </w:r>
            <w:r w:rsidR="00366A2D">
              <w:rPr>
                <w:webHidden/>
              </w:rPr>
              <w:t>6</w:t>
            </w:r>
            <w:r w:rsidR="00366A2D">
              <w:rPr>
                <w:webHidden/>
              </w:rPr>
              <w:fldChar w:fldCharType="end"/>
            </w:r>
          </w:hyperlink>
        </w:p>
        <w:p w14:paraId="3B522CA0" w14:textId="57EFD92A" w:rsidR="00366A2D" w:rsidRDefault="00FE419B">
          <w:pPr>
            <w:pStyle w:val="TOC1"/>
            <w:rPr>
              <w:rFonts w:asciiTheme="minorHAnsi" w:eastAsiaTheme="minorEastAsia" w:hAnsiTheme="minorHAnsi" w:cstheme="minorBidi"/>
              <w:kern w:val="2"/>
              <w:sz w:val="22"/>
              <w:lang w:eastAsia="en-GB" w:bidi="ar-SA"/>
              <w14:ligatures w14:val="standardContextual"/>
            </w:rPr>
          </w:pPr>
          <w:hyperlink w:anchor="_Toc180403435" w:history="1">
            <w:r w:rsidR="00366A2D" w:rsidRPr="000F3C25">
              <w:rPr>
                <w:rStyle w:val="Hyperlink"/>
              </w:rPr>
              <w:t>Identifying and marking SNI</w:t>
            </w:r>
            <w:r w:rsidR="00366A2D">
              <w:rPr>
                <w:webHidden/>
              </w:rPr>
              <w:tab/>
            </w:r>
            <w:r w:rsidR="00366A2D">
              <w:rPr>
                <w:webHidden/>
              </w:rPr>
              <w:fldChar w:fldCharType="begin"/>
            </w:r>
            <w:r w:rsidR="00366A2D">
              <w:rPr>
                <w:webHidden/>
              </w:rPr>
              <w:instrText xml:space="preserve"> PAGEREF _Toc180403435 \h </w:instrText>
            </w:r>
            <w:r w:rsidR="00366A2D">
              <w:rPr>
                <w:webHidden/>
              </w:rPr>
            </w:r>
            <w:r w:rsidR="00366A2D">
              <w:rPr>
                <w:webHidden/>
              </w:rPr>
              <w:fldChar w:fldCharType="separate"/>
            </w:r>
            <w:r w:rsidR="00366A2D">
              <w:rPr>
                <w:webHidden/>
              </w:rPr>
              <w:t>7</w:t>
            </w:r>
            <w:r w:rsidR="00366A2D">
              <w:rPr>
                <w:webHidden/>
              </w:rPr>
              <w:fldChar w:fldCharType="end"/>
            </w:r>
          </w:hyperlink>
        </w:p>
        <w:p w14:paraId="5A86BDAE" w14:textId="0BA98F21" w:rsidR="00366A2D" w:rsidRDefault="00FE419B">
          <w:pPr>
            <w:pStyle w:val="TOC1"/>
            <w:rPr>
              <w:rFonts w:asciiTheme="minorHAnsi" w:eastAsiaTheme="minorEastAsia" w:hAnsiTheme="minorHAnsi" w:cstheme="minorBidi"/>
              <w:kern w:val="2"/>
              <w:sz w:val="22"/>
              <w:lang w:eastAsia="en-GB" w:bidi="ar-SA"/>
              <w14:ligatures w14:val="standardContextual"/>
            </w:rPr>
          </w:pPr>
          <w:hyperlink w:anchor="_Toc180403436" w:history="1">
            <w:r w:rsidR="00366A2D" w:rsidRPr="000F3C25">
              <w:rPr>
                <w:rStyle w:val="Hyperlink"/>
              </w:rPr>
              <w:t>Security controls</w:t>
            </w:r>
            <w:r w:rsidR="00366A2D">
              <w:rPr>
                <w:webHidden/>
              </w:rPr>
              <w:tab/>
            </w:r>
            <w:r w:rsidR="00366A2D">
              <w:rPr>
                <w:webHidden/>
              </w:rPr>
              <w:fldChar w:fldCharType="begin"/>
            </w:r>
            <w:r w:rsidR="00366A2D">
              <w:rPr>
                <w:webHidden/>
              </w:rPr>
              <w:instrText xml:space="preserve"> PAGEREF _Toc180403436 \h </w:instrText>
            </w:r>
            <w:r w:rsidR="00366A2D">
              <w:rPr>
                <w:webHidden/>
              </w:rPr>
            </w:r>
            <w:r w:rsidR="00366A2D">
              <w:rPr>
                <w:webHidden/>
              </w:rPr>
              <w:fldChar w:fldCharType="separate"/>
            </w:r>
            <w:r w:rsidR="00366A2D">
              <w:rPr>
                <w:webHidden/>
              </w:rPr>
              <w:t>9</w:t>
            </w:r>
            <w:r w:rsidR="00366A2D">
              <w:rPr>
                <w:webHidden/>
              </w:rPr>
              <w:fldChar w:fldCharType="end"/>
            </w:r>
          </w:hyperlink>
        </w:p>
        <w:p w14:paraId="7E27A7F4" w14:textId="05439651" w:rsidR="00366A2D" w:rsidRDefault="00FE419B">
          <w:pPr>
            <w:pStyle w:val="TOC1"/>
            <w:rPr>
              <w:rFonts w:asciiTheme="minorHAnsi" w:eastAsiaTheme="minorEastAsia" w:hAnsiTheme="minorHAnsi" w:cstheme="minorBidi"/>
              <w:kern w:val="2"/>
              <w:sz w:val="22"/>
              <w:lang w:eastAsia="en-GB" w:bidi="ar-SA"/>
              <w14:ligatures w14:val="standardContextual"/>
            </w:rPr>
          </w:pPr>
          <w:hyperlink w:anchor="_Toc180403437" w:history="1">
            <w:r w:rsidR="00366A2D" w:rsidRPr="000F3C25">
              <w:rPr>
                <w:rStyle w:val="Hyperlink"/>
              </w:rPr>
              <w:t>International sharing</w:t>
            </w:r>
            <w:r w:rsidR="00366A2D">
              <w:rPr>
                <w:webHidden/>
              </w:rPr>
              <w:tab/>
            </w:r>
            <w:r w:rsidR="00366A2D">
              <w:rPr>
                <w:webHidden/>
              </w:rPr>
              <w:fldChar w:fldCharType="begin"/>
            </w:r>
            <w:r w:rsidR="00366A2D">
              <w:rPr>
                <w:webHidden/>
              </w:rPr>
              <w:instrText xml:space="preserve"> PAGEREF _Toc180403437 \h </w:instrText>
            </w:r>
            <w:r w:rsidR="00366A2D">
              <w:rPr>
                <w:webHidden/>
              </w:rPr>
            </w:r>
            <w:r w:rsidR="00366A2D">
              <w:rPr>
                <w:webHidden/>
              </w:rPr>
              <w:fldChar w:fldCharType="separate"/>
            </w:r>
            <w:r w:rsidR="00366A2D">
              <w:rPr>
                <w:webHidden/>
              </w:rPr>
              <w:t>10</w:t>
            </w:r>
            <w:r w:rsidR="00366A2D">
              <w:rPr>
                <w:webHidden/>
              </w:rPr>
              <w:fldChar w:fldCharType="end"/>
            </w:r>
          </w:hyperlink>
        </w:p>
        <w:p w14:paraId="5263437C" w14:textId="1AD8359F" w:rsidR="00366A2D" w:rsidRDefault="00FE419B">
          <w:pPr>
            <w:pStyle w:val="TOC1"/>
            <w:rPr>
              <w:rFonts w:asciiTheme="minorHAnsi" w:eastAsiaTheme="minorEastAsia" w:hAnsiTheme="minorHAnsi" w:cstheme="minorBidi"/>
              <w:kern w:val="2"/>
              <w:sz w:val="22"/>
              <w:lang w:eastAsia="en-GB" w:bidi="ar-SA"/>
              <w14:ligatures w14:val="standardContextual"/>
            </w:rPr>
          </w:pPr>
          <w:hyperlink w:anchor="_Toc180403438" w:history="1">
            <w:r w:rsidR="00366A2D" w:rsidRPr="000F3C25">
              <w:rPr>
                <w:rStyle w:val="Hyperlink"/>
              </w:rPr>
              <w:t>Regulatory reporting requirements</w:t>
            </w:r>
            <w:r w:rsidR="00366A2D">
              <w:rPr>
                <w:webHidden/>
              </w:rPr>
              <w:tab/>
            </w:r>
            <w:r w:rsidR="00366A2D">
              <w:rPr>
                <w:webHidden/>
              </w:rPr>
              <w:fldChar w:fldCharType="begin"/>
            </w:r>
            <w:r w:rsidR="00366A2D">
              <w:rPr>
                <w:webHidden/>
              </w:rPr>
              <w:instrText xml:space="preserve"> PAGEREF _Toc180403438 \h </w:instrText>
            </w:r>
            <w:r w:rsidR="00366A2D">
              <w:rPr>
                <w:webHidden/>
              </w:rPr>
            </w:r>
            <w:r w:rsidR="00366A2D">
              <w:rPr>
                <w:webHidden/>
              </w:rPr>
              <w:fldChar w:fldCharType="separate"/>
            </w:r>
            <w:r w:rsidR="00366A2D">
              <w:rPr>
                <w:webHidden/>
              </w:rPr>
              <w:t>10</w:t>
            </w:r>
            <w:r w:rsidR="00366A2D">
              <w:rPr>
                <w:webHidden/>
              </w:rPr>
              <w:fldChar w:fldCharType="end"/>
            </w:r>
          </w:hyperlink>
        </w:p>
        <w:p w14:paraId="4520D206" w14:textId="74ADBEAD" w:rsidR="00366A2D" w:rsidRDefault="00FE419B">
          <w:pPr>
            <w:pStyle w:val="TOC1"/>
            <w:rPr>
              <w:rFonts w:asciiTheme="minorHAnsi" w:eastAsiaTheme="minorEastAsia" w:hAnsiTheme="minorHAnsi" w:cstheme="minorBidi"/>
              <w:kern w:val="2"/>
              <w:sz w:val="22"/>
              <w:lang w:eastAsia="en-GB" w:bidi="ar-SA"/>
              <w14:ligatures w14:val="standardContextual"/>
            </w:rPr>
          </w:pPr>
          <w:hyperlink w:anchor="_Toc180403439" w:history="1">
            <w:r w:rsidR="00366A2D" w:rsidRPr="000F3C25">
              <w:rPr>
                <w:rStyle w:val="Hyperlink"/>
              </w:rPr>
              <w:t>Organisational classification guidance</w:t>
            </w:r>
            <w:r w:rsidR="00366A2D">
              <w:rPr>
                <w:webHidden/>
              </w:rPr>
              <w:tab/>
            </w:r>
            <w:r w:rsidR="00366A2D">
              <w:rPr>
                <w:webHidden/>
              </w:rPr>
              <w:fldChar w:fldCharType="begin"/>
            </w:r>
            <w:r w:rsidR="00366A2D">
              <w:rPr>
                <w:webHidden/>
              </w:rPr>
              <w:instrText xml:space="preserve"> PAGEREF _Toc180403439 \h </w:instrText>
            </w:r>
            <w:r w:rsidR="00366A2D">
              <w:rPr>
                <w:webHidden/>
              </w:rPr>
            </w:r>
            <w:r w:rsidR="00366A2D">
              <w:rPr>
                <w:webHidden/>
              </w:rPr>
              <w:fldChar w:fldCharType="separate"/>
            </w:r>
            <w:r w:rsidR="00366A2D">
              <w:rPr>
                <w:webHidden/>
              </w:rPr>
              <w:t>11</w:t>
            </w:r>
            <w:r w:rsidR="00366A2D">
              <w:rPr>
                <w:webHidden/>
              </w:rPr>
              <w:fldChar w:fldCharType="end"/>
            </w:r>
          </w:hyperlink>
        </w:p>
        <w:p w14:paraId="17261230" w14:textId="772A39BB" w:rsidR="00366A2D" w:rsidRDefault="00FE419B">
          <w:pPr>
            <w:pStyle w:val="TOC1"/>
            <w:rPr>
              <w:rFonts w:asciiTheme="minorHAnsi" w:eastAsiaTheme="minorEastAsia" w:hAnsiTheme="minorHAnsi" w:cstheme="minorBidi"/>
              <w:kern w:val="2"/>
              <w:sz w:val="22"/>
              <w:lang w:eastAsia="en-GB" w:bidi="ar-SA"/>
              <w14:ligatures w14:val="standardContextual"/>
            </w:rPr>
          </w:pPr>
          <w:hyperlink w:anchor="_Toc180403440" w:history="1">
            <w:r w:rsidR="00366A2D" w:rsidRPr="000F3C25">
              <w:rPr>
                <w:rStyle w:val="Hyperlink"/>
              </w:rPr>
              <w:t>Appendix - Classification guidance</w:t>
            </w:r>
            <w:r w:rsidR="00366A2D">
              <w:rPr>
                <w:webHidden/>
              </w:rPr>
              <w:tab/>
            </w:r>
            <w:r w:rsidR="00366A2D">
              <w:rPr>
                <w:webHidden/>
              </w:rPr>
              <w:fldChar w:fldCharType="begin"/>
            </w:r>
            <w:r w:rsidR="00366A2D">
              <w:rPr>
                <w:webHidden/>
              </w:rPr>
              <w:instrText xml:space="preserve"> PAGEREF _Toc180403440 \h </w:instrText>
            </w:r>
            <w:r w:rsidR="00366A2D">
              <w:rPr>
                <w:webHidden/>
              </w:rPr>
            </w:r>
            <w:r w:rsidR="00366A2D">
              <w:rPr>
                <w:webHidden/>
              </w:rPr>
              <w:fldChar w:fldCharType="separate"/>
            </w:r>
            <w:r w:rsidR="00366A2D">
              <w:rPr>
                <w:webHidden/>
              </w:rPr>
              <w:t>12</w:t>
            </w:r>
            <w:r w:rsidR="00366A2D">
              <w:rPr>
                <w:webHidden/>
              </w:rPr>
              <w:fldChar w:fldCharType="end"/>
            </w:r>
          </w:hyperlink>
        </w:p>
        <w:p w14:paraId="2A948565" w14:textId="34B067D0" w:rsidR="00366A2D" w:rsidRDefault="00FE419B">
          <w:pPr>
            <w:pStyle w:val="TOC1"/>
            <w:rPr>
              <w:rFonts w:asciiTheme="minorHAnsi" w:eastAsiaTheme="minorEastAsia" w:hAnsiTheme="minorHAnsi" w:cstheme="minorBidi"/>
              <w:kern w:val="2"/>
              <w:sz w:val="22"/>
              <w:lang w:eastAsia="en-GB" w:bidi="ar-SA"/>
              <w14:ligatures w14:val="standardContextual"/>
            </w:rPr>
          </w:pPr>
          <w:hyperlink w:anchor="_Toc180403441" w:history="1">
            <w:r w:rsidR="00366A2D" w:rsidRPr="000F3C25">
              <w:rPr>
                <w:rStyle w:val="Hyperlink"/>
              </w:rPr>
              <w:t>References</w:t>
            </w:r>
            <w:r w:rsidR="00366A2D">
              <w:rPr>
                <w:webHidden/>
              </w:rPr>
              <w:tab/>
            </w:r>
            <w:r w:rsidR="00366A2D">
              <w:rPr>
                <w:webHidden/>
              </w:rPr>
              <w:fldChar w:fldCharType="begin"/>
            </w:r>
            <w:r w:rsidR="00366A2D">
              <w:rPr>
                <w:webHidden/>
              </w:rPr>
              <w:instrText xml:space="preserve"> PAGEREF _Toc180403441 \h </w:instrText>
            </w:r>
            <w:r w:rsidR="00366A2D">
              <w:rPr>
                <w:webHidden/>
              </w:rPr>
            </w:r>
            <w:r w:rsidR="00366A2D">
              <w:rPr>
                <w:webHidden/>
              </w:rPr>
              <w:fldChar w:fldCharType="separate"/>
            </w:r>
            <w:r w:rsidR="00366A2D">
              <w:rPr>
                <w:webHidden/>
              </w:rPr>
              <w:t>31</w:t>
            </w:r>
            <w:r w:rsidR="00366A2D">
              <w:rPr>
                <w:webHidden/>
              </w:rPr>
              <w:fldChar w:fldCharType="end"/>
            </w:r>
          </w:hyperlink>
        </w:p>
        <w:p w14:paraId="0BAF1CEA" w14:textId="1ECE31E2" w:rsidR="00253FDE" w:rsidRDefault="00253FDE">
          <w:r>
            <w:rPr>
              <w:b/>
              <w:bCs/>
            </w:rPr>
            <w:fldChar w:fldCharType="end"/>
          </w:r>
        </w:p>
      </w:sdtContent>
    </w:sdt>
    <w:p w14:paraId="7A28C8E7" w14:textId="77777777" w:rsidR="00253FDE" w:rsidRDefault="00253FDE" w:rsidP="00253FDE">
      <w:pPr>
        <w:pStyle w:val="Heading1"/>
        <w:rPr>
          <w:color w:val="003300"/>
        </w:rPr>
        <w:sectPr w:rsidR="00253FDE" w:rsidSect="00253FDE">
          <w:headerReference w:type="even" r:id="rId13"/>
          <w:headerReference w:type="default" r:id="rId14"/>
          <w:footerReference w:type="even" r:id="rId15"/>
          <w:footerReference w:type="default" r:id="rId16"/>
          <w:pgSz w:w="11906" w:h="16838" w:code="9"/>
          <w:pgMar w:top="1440" w:right="1440" w:bottom="1440" w:left="1440" w:header="397" w:footer="397" w:gutter="0"/>
          <w:cols w:space="312"/>
          <w:docGrid w:linePitch="360"/>
        </w:sectPr>
      </w:pPr>
    </w:p>
    <w:p w14:paraId="304456BD" w14:textId="77777777" w:rsidR="00253FDE" w:rsidRPr="004816D3" w:rsidRDefault="00253FDE" w:rsidP="00E801C1">
      <w:pPr>
        <w:pStyle w:val="Heading1"/>
      </w:pPr>
      <w:bookmarkStart w:id="3" w:name="_Toc180403432"/>
      <w:bookmarkEnd w:id="1"/>
      <w:r w:rsidRPr="004816D3">
        <w:lastRenderedPageBreak/>
        <w:t>Purpose</w:t>
      </w:r>
      <w:bookmarkEnd w:id="3"/>
      <w:bookmarkEnd w:id="2"/>
    </w:p>
    <w:p w14:paraId="48C05D3D" w14:textId="0DD00B6C" w:rsidR="00253FDE" w:rsidRPr="00F970B1" w:rsidRDefault="00253FDE" w:rsidP="00253FDE">
      <w:r w:rsidRPr="00F970B1">
        <w:t xml:space="preserve">The Nuclear Industries Security Regulations 2003 </w:t>
      </w:r>
      <w:r>
        <w:t xml:space="preserve">(NISR 2003) </w:t>
      </w:r>
      <w:sdt>
        <w:sdtPr>
          <w:id w:val="1220856386"/>
          <w:citation/>
        </w:sdtPr>
        <w:sdtEndPr/>
        <w:sdtContent>
          <w:r w:rsidR="00420425">
            <w:fldChar w:fldCharType="begin"/>
          </w:r>
          <w:r w:rsidR="00420425">
            <w:instrText xml:space="preserve"> CITATION HMG031 \l 2057 </w:instrText>
          </w:r>
          <w:r w:rsidR="00420425">
            <w:fldChar w:fldCharType="separate"/>
          </w:r>
          <w:r w:rsidR="00420425" w:rsidRPr="00420425">
            <w:rPr>
              <w:noProof/>
            </w:rPr>
            <w:t>[1]</w:t>
          </w:r>
          <w:r w:rsidR="00420425">
            <w:fldChar w:fldCharType="end"/>
          </w:r>
        </w:sdtContent>
      </w:sdt>
      <w:r w:rsidR="00420425">
        <w:t xml:space="preserve"> </w:t>
      </w:r>
      <w:r w:rsidRPr="00F970B1">
        <w:t>require Responsible Persons to maintain standards, procedures and arrangements that ensure the security of Sensitive Nuclear Information (SNI) as detailed in a security plan approved by ONR. Similarly, Approved Carriers are required maintain standards, procedures and arrangements that ensure the security of SNI as detailed in a transport security statement approved by ONR. Any other person to whom Regulation 22 applies is required to maintain such standards, procedures and arrangements as are necessary for the purpose of minimising the risk of loss, theft or unauthorised disclosure of, or unauthorised access to any SNI. The regulations define SNI to be information which requires a protective marking</w:t>
      </w:r>
      <w:r>
        <w:t>,</w:t>
      </w:r>
      <w:r w:rsidRPr="00F970B1">
        <w:t xml:space="preserve"> in accordance with this</w:t>
      </w:r>
      <w:r>
        <w:t xml:space="preserve"> c</w:t>
      </w:r>
      <w:r w:rsidRPr="00F970B1">
        <w:t xml:space="preserve">lassification policy. </w:t>
      </w:r>
    </w:p>
    <w:p w14:paraId="16C5B911" w14:textId="4BBB842C" w:rsidR="00253FDE" w:rsidRPr="00F970B1" w:rsidRDefault="00253FDE" w:rsidP="00253FDE">
      <w:r w:rsidRPr="00F970B1">
        <w:t>The purpose of th</w:t>
      </w:r>
      <w:r>
        <w:t>is c</w:t>
      </w:r>
      <w:r w:rsidRPr="00F970B1">
        <w:t xml:space="preserve">lassification </w:t>
      </w:r>
      <w:r>
        <w:t xml:space="preserve">policy </w:t>
      </w:r>
      <w:r w:rsidRPr="00F970B1">
        <w:t>is to indicate those categories of SNI that require protection and the level of classification to be applied. It is to be implemented in conjunction with HM Governments (HMG) Government Security Classifications Policy (GSCP)</w:t>
      </w:r>
      <w:r>
        <w:t xml:space="preserve"> </w:t>
      </w:r>
      <w:sdt>
        <w:sdtPr>
          <w:id w:val="-637346254"/>
          <w:citation/>
        </w:sdtPr>
        <w:sdtEndPr/>
        <w:sdtContent>
          <w:r>
            <w:fldChar w:fldCharType="begin"/>
          </w:r>
          <w:r>
            <w:instrText xml:space="preserve"> CITATION HMG233 \l 2057 </w:instrText>
          </w:r>
          <w:r>
            <w:fldChar w:fldCharType="separate"/>
          </w:r>
          <w:r w:rsidRPr="00253FDE">
            <w:rPr>
              <w:noProof/>
            </w:rPr>
            <w:t>[1]</w:t>
          </w:r>
          <w:r>
            <w:fldChar w:fldCharType="end"/>
          </w:r>
        </w:sdtContent>
      </w:sdt>
      <w:r w:rsidRPr="00F970B1">
        <w:t xml:space="preserve"> and Government Functional Standard </w:t>
      </w:r>
      <w:proofErr w:type="spellStart"/>
      <w:r w:rsidRPr="00F970B1">
        <w:t>GovS</w:t>
      </w:r>
      <w:proofErr w:type="spellEnd"/>
      <w:r w:rsidRPr="00F970B1">
        <w:t xml:space="preserve"> 007: Security</w:t>
      </w:r>
      <w:r>
        <w:t xml:space="preserve"> </w:t>
      </w:r>
      <w:sdt>
        <w:sdtPr>
          <w:id w:val="1479960659"/>
          <w:citation/>
        </w:sdtPr>
        <w:sdtEndPr/>
        <w:sdtContent>
          <w:r>
            <w:fldChar w:fldCharType="begin"/>
          </w:r>
          <w:r>
            <w:instrText xml:space="preserve"> CITATION HMG15 \l 2057 </w:instrText>
          </w:r>
          <w:r>
            <w:fldChar w:fldCharType="separate"/>
          </w:r>
          <w:r w:rsidRPr="00253FDE">
            <w:rPr>
              <w:noProof/>
            </w:rPr>
            <w:t>[2]</w:t>
          </w:r>
          <w:r>
            <w:fldChar w:fldCharType="end"/>
          </w:r>
        </w:sdtContent>
      </w:sdt>
      <w:r w:rsidRPr="00F970B1">
        <w:t xml:space="preserve">. </w:t>
      </w:r>
    </w:p>
    <w:p w14:paraId="3A5974BA" w14:textId="2FE19C49" w:rsidR="00253FDE" w:rsidRPr="00F970B1" w:rsidRDefault="00253FDE" w:rsidP="00253FDE">
      <w:r w:rsidRPr="00F970B1">
        <w:t xml:space="preserve">This </w:t>
      </w:r>
      <w:r>
        <w:t>c</w:t>
      </w:r>
      <w:r w:rsidRPr="00F970B1">
        <w:t xml:space="preserve">lassification policy is supported by an </w:t>
      </w:r>
      <w:r>
        <w:t>appendix</w:t>
      </w:r>
      <w:r w:rsidRPr="00F970B1">
        <w:t xml:space="preserve">, which provides non-prescriptive guidance on the types of documents that may or may not contain SNI. Together, the </w:t>
      </w:r>
      <w:r w:rsidR="00420425">
        <w:t>c</w:t>
      </w:r>
      <w:r w:rsidR="00420425" w:rsidRPr="00F970B1">
        <w:t xml:space="preserve">lassification </w:t>
      </w:r>
      <w:r w:rsidRPr="00F970B1">
        <w:t xml:space="preserve">policy and guidance provide a framework for dutyholders to compile their own detailed organisation-specific classification scheme as part of an overarching programme of information assurance driven by the board. </w:t>
      </w:r>
    </w:p>
    <w:p w14:paraId="60BDA594" w14:textId="77777777" w:rsidR="00E801C1" w:rsidRDefault="00E801C1" w:rsidP="00E801C1">
      <w:pPr>
        <w:pStyle w:val="Heading1"/>
        <w:sectPr w:rsidR="00E801C1" w:rsidSect="00253FDE">
          <w:pgSz w:w="11906" w:h="16838" w:code="9"/>
          <w:pgMar w:top="1440" w:right="1440" w:bottom="1440" w:left="1440" w:header="397" w:footer="397" w:gutter="0"/>
          <w:cols w:space="312"/>
          <w:docGrid w:linePitch="360"/>
        </w:sectPr>
      </w:pPr>
    </w:p>
    <w:p w14:paraId="14DFDC37" w14:textId="7C1F53B9" w:rsidR="00253FDE" w:rsidRPr="003F16F2" w:rsidRDefault="00253FDE" w:rsidP="00E801C1">
      <w:pPr>
        <w:pStyle w:val="Heading1"/>
      </w:pPr>
      <w:bookmarkStart w:id="4" w:name="_Toc180403433"/>
      <w:r w:rsidRPr="003F16F2">
        <w:lastRenderedPageBreak/>
        <w:t xml:space="preserve">Scope and </w:t>
      </w:r>
      <w:r>
        <w:t>a</w:t>
      </w:r>
      <w:r w:rsidRPr="003F16F2">
        <w:t>pplicability</w:t>
      </w:r>
      <w:bookmarkEnd w:id="4"/>
    </w:p>
    <w:p w14:paraId="6B0FD8E2" w14:textId="727B5278" w:rsidR="00253FDE" w:rsidRDefault="00253FDE" w:rsidP="00253FDE">
      <w:r>
        <w:t xml:space="preserve">SNI is defined in the Anti-terrorism, Crime and Security Act (ATCSA) 2001 </w:t>
      </w:r>
      <w:sdt>
        <w:sdtPr>
          <w:id w:val="-687135304"/>
          <w:citation/>
        </w:sdtPr>
        <w:sdtEndPr/>
        <w:sdtContent>
          <w:r w:rsidR="00420425">
            <w:fldChar w:fldCharType="begin"/>
          </w:r>
          <w:r w:rsidR="00420425">
            <w:instrText xml:space="preserve">CITATION HMG34 \l 2057 </w:instrText>
          </w:r>
          <w:r w:rsidR="00420425">
            <w:fldChar w:fldCharType="separate"/>
          </w:r>
          <w:r w:rsidR="00420425" w:rsidRPr="00420425">
            <w:rPr>
              <w:noProof/>
            </w:rPr>
            <w:t>[4]</w:t>
          </w:r>
          <w:r w:rsidR="00420425">
            <w:fldChar w:fldCharType="end"/>
          </w:r>
        </w:sdtContent>
      </w:sdt>
      <w:r w:rsidR="00420425">
        <w:t xml:space="preserve"> </w:t>
      </w:r>
      <w:r>
        <w:t>(as amended), as:</w:t>
      </w:r>
    </w:p>
    <w:p w14:paraId="5A004B10" w14:textId="77777777" w:rsidR="00253FDE" w:rsidRDefault="00253FDE" w:rsidP="00253FDE">
      <w:pPr>
        <w:pStyle w:val="Bulletlist1"/>
      </w:pPr>
      <w:r>
        <w:t>Information relating to, or capable of use in connection with, the enrichment of uranium; or</w:t>
      </w:r>
    </w:p>
    <w:p w14:paraId="584C937B" w14:textId="77777777" w:rsidR="00253FDE" w:rsidRDefault="00253FDE" w:rsidP="00253FDE">
      <w:pPr>
        <w:pStyle w:val="Bulletlist1"/>
      </w:pPr>
      <w:r>
        <w:t xml:space="preserve">Information relating to activities carried out on or in relation to nuclear sites or other nuclear premises which appears to the Secretary of State to be information which needs to be protected in the interests of national security. </w:t>
      </w:r>
    </w:p>
    <w:p w14:paraId="0CC2BA64" w14:textId="71A17756" w:rsidR="00253FDE" w:rsidRDefault="00253FDE" w:rsidP="00253FDE">
      <w:r w:rsidRPr="00F970B1">
        <w:t xml:space="preserve">The ATCSA definition is referenced in NISR 2003 </w:t>
      </w:r>
      <w:sdt>
        <w:sdtPr>
          <w:id w:val="-405844350"/>
          <w:citation/>
        </w:sdtPr>
        <w:sdtEndPr/>
        <w:sdtContent>
          <w:r w:rsidR="00420425">
            <w:fldChar w:fldCharType="begin"/>
          </w:r>
          <w:r w:rsidR="00420425">
            <w:instrText xml:space="preserve"> CITATION HMG031 \l 2057 </w:instrText>
          </w:r>
          <w:r w:rsidR="00420425">
            <w:fldChar w:fldCharType="separate"/>
          </w:r>
          <w:r w:rsidR="00420425" w:rsidRPr="00420425">
            <w:rPr>
              <w:noProof/>
            </w:rPr>
            <w:t>[1]</w:t>
          </w:r>
          <w:r w:rsidR="00420425">
            <w:fldChar w:fldCharType="end"/>
          </w:r>
        </w:sdtContent>
      </w:sdt>
      <w:r w:rsidR="00420425">
        <w:t xml:space="preserve"> </w:t>
      </w:r>
      <w:r w:rsidRPr="00F970B1">
        <w:t>which additionally highlights that SNI requires a protective marking in accordance with th</w:t>
      </w:r>
      <w:r>
        <w:t>is c</w:t>
      </w:r>
      <w:r w:rsidRPr="00F970B1">
        <w:t xml:space="preserve">lassification </w:t>
      </w:r>
      <w:r>
        <w:t>p</w:t>
      </w:r>
      <w:r w:rsidRPr="00F970B1">
        <w:t xml:space="preserve">olicy. </w:t>
      </w:r>
      <w:r>
        <w:br/>
      </w:r>
      <w:r w:rsidRPr="00F970B1">
        <w:t xml:space="preserve">The ATCSA definition is also reflected in </w:t>
      </w:r>
      <w:r w:rsidR="00420425">
        <w:t>t</w:t>
      </w:r>
      <w:r w:rsidRPr="00F970B1">
        <w:t>he Energy Act 2013</w:t>
      </w:r>
      <w:r w:rsidR="00420425">
        <w:t xml:space="preserve"> (TEA13)</w:t>
      </w:r>
      <w:r w:rsidRPr="00F970B1">
        <w:t xml:space="preserve"> </w:t>
      </w:r>
      <w:sdt>
        <w:sdtPr>
          <w:id w:val="925846046"/>
          <w:citation/>
        </w:sdtPr>
        <w:sdtEndPr/>
        <w:sdtContent>
          <w:r w:rsidR="00420425">
            <w:fldChar w:fldCharType="begin"/>
          </w:r>
          <w:r w:rsidR="00420425">
            <w:instrText xml:space="preserve"> CITATION HMG142 \l 2057 </w:instrText>
          </w:r>
          <w:r w:rsidR="00420425">
            <w:fldChar w:fldCharType="separate"/>
          </w:r>
          <w:r w:rsidR="00420425" w:rsidRPr="00420425">
            <w:rPr>
              <w:noProof/>
            </w:rPr>
            <w:t>[5]</w:t>
          </w:r>
          <w:r w:rsidR="00420425">
            <w:fldChar w:fldCharType="end"/>
          </w:r>
        </w:sdtContent>
      </w:sdt>
      <w:r w:rsidR="00420425">
        <w:t xml:space="preserve"> </w:t>
      </w:r>
      <w:r w:rsidRPr="00F970B1">
        <w:t>and amplified to include information ‘of any description’ relating to activities carried out on or in relation to ‘civil nuclear premises’</w:t>
      </w:r>
      <w:r w:rsidRPr="00F970B1">
        <w:rPr>
          <w:rStyle w:val="FootnoteReference"/>
        </w:rPr>
        <w:footnoteReference w:id="2"/>
      </w:r>
      <w:r w:rsidRPr="00F970B1">
        <w:t xml:space="preserve">. </w:t>
      </w:r>
      <w:r>
        <w:t xml:space="preserve">Whilst not taking precedent over the legal definitions within the statute above, a simple, working definition of SNI can be described as information: </w:t>
      </w:r>
    </w:p>
    <w:p w14:paraId="2575469A" w14:textId="77777777" w:rsidR="00253FDE" w:rsidRDefault="00253FDE" w:rsidP="00253FDE">
      <w:pPr>
        <w:pStyle w:val="Bulletlist1"/>
      </w:pPr>
      <w:r>
        <w:t>Relating to activities carried out on or in relation to civil nuclear premises; and</w:t>
      </w:r>
    </w:p>
    <w:p w14:paraId="1F22453C" w14:textId="77777777" w:rsidR="00253FDE" w:rsidRDefault="00253FDE" w:rsidP="00253FDE">
      <w:pPr>
        <w:pStyle w:val="Bulletlist1"/>
      </w:pPr>
      <w:r>
        <w:t>Of value to an adversary planning a hostile act.</w:t>
      </w:r>
    </w:p>
    <w:p w14:paraId="3C282B3B" w14:textId="77777777" w:rsidR="00E801C1" w:rsidRDefault="00E801C1" w:rsidP="00E801C1">
      <w:pPr>
        <w:pStyle w:val="Heading1"/>
        <w:sectPr w:rsidR="00E801C1" w:rsidSect="00253FDE">
          <w:pgSz w:w="11906" w:h="16838" w:code="9"/>
          <w:pgMar w:top="1440" w:right="1440" w:bottom="1440" w:left="1440" w:header="397" w:footer="397" w:gutter="0"/>
          <w:cols w:space="312"/>
          <w:docGrid w:linePitch="360"/>
        </w:sectPr>
      </w:pPr>
      <w:bookmarkStart w:id="5" w:name="_Hlk155874820"/>
    </w:p>
    <w:p w14:paraId="00C6C69F" w14:textId="03267163" w:rsidR="00253FDE" w:rsidRPr="003F16F2" w:rsidRDefault="00253FDE" w:rsidP="00E801C1">
      <w:pPr>
        <w:pStyle w:val="Heading1"/>
      </w:pPr>
      <w:bookmarkStart w:id="6" w:name="_Toc180403434"/>
      <w:r w:rsidRPr="003F16F2">
        <w:lastRenderedPageBreak/>
        <w:t xml:space="preserve">Classifying and </w:t>
      </w:r>
      <w:r>
        <w:t>p</w:t>
      </w:r>
      <w:r w:rsidRPr="003F16F2">
        <w:t>rotecting SNI</w:t>
      </w:r>
      <w:bookmarkEnd w:id="6"/>
    </w:p>
    <w:bookmarkEnd w:id="5"/>
    <w:p w14:paraId="64BE8199" w14:textId="5313CC37" w:rsidR="00253FDE" w:rsidRDefault="00253FDE" w:rsidP="00253FDE">
      <w:r w:rsidRPr="00554A84">
        <w:t>Security classifications indicate the sensitivity of information (in terms of the likely impact resulting from compromise, loss or misuse)</w:t>
      </w:r>
      <w:r>
        <w:t>.</w:t>
      </w:r>
      <w:r w:rsidRPr="00554A84">
        <w:t xml:space="preserve"> </w:t>
      </w:r>
      <w:r w:rsidRPr="00F33D06">
        <w:t>The GSCP provides an administrative system for HMG and partners to protect information assets appropriately against prevalent threats</w:t>
      </w:r>
      <w:r w:rsidR="00420425">
        <w:t xml:space="preserve"> </w:t>
      </w:r>
      <w:sdt>
        <w:sdtPr>
          <w:id w:val="1560823266"/>
          <w:citation/>
        </w:sdtPr>
        <w:sdtEndPr/>
        <w:sdtContent>
          <w:r w:rsidR="00420425">
            <w:fldChar w:fldCharType="begin"/>
          </w:r>
          <w:r w:rsidR="00420425">
            <w:instrText xml:space="preserve"> CITATION HMG233 \l 2057 </w:instrText>
          </w:r>
          <w:r w:rsidR="00420425">
            <w:fldChar w:fldCharType="separate"/>
          </w:r>
          <w:r w:rsidR="00420425" w:rsidRPr="00420425">
            <w:rPr>
              <w:noProof/>
            </w:rPr>
            <w:t>[2]</w:t>
          </w:r>
          <w:r w:rsidR="00420425">
            <w:fldChar w:fldCharType="end"/>
          </w:r>
        </w:sdtContent>
      </w:sdt>
      <w:r w:rsidRPr="00F33D06">
        <w:t>. The administrative system uses three classification tiers</w:t>
      </w:r>
      <w:r w:rsidR="00420425">
        <w:t xml:space="preserve">: </w:t>
      </w:r>
      <w:r w:rsidRPr="00F33D06">
        <w:t>OFFICIAL, SECRET and TOP SECRET. Protective security controls and baseline behaviours when working with information assets at each classification level are detailed in the GSCP</w:t>
      </w:r>
      <w:r w:rsidR="00420425">
        <w:t xml:space="preserve"> </w:t>
      </w:r>
      <w:sdt>
        <w:sdtPr>
          <w:id w:val="-153219859"/>
          <w:citation/>
        </w:sdtPr>
        <w:sdtEndPr/>
        <w:sdtContent>
          <w:r w:rsidR="00420425">
            <w:fldChar w:fldCharType="begin"/>
          </w:r>
          <w:r w:rsidR="00420425">
            <w:instrText xml:space="preserve"> CITATION HMG233 \l 2057 </w:instrText>
          </w:r>
          <w:r w:rsidR="00420425">
            <w:fldChar w:fldCharType="separate"/>
          </w:r>
          <w:r w:rsidR="00420425" w:rsidRPr="00420425">
            <w:rPr>
              <w:noProof/>
            </w:rPr>
            <w:t>[2]</w:t>
          </w:r>
          <w:r w:rsidR="00420425">
            <w:fldChar w:fldCharType="end"/>
          </w:r>
        </w:sdtContent>
      </w:sdt>
      <w:r w:rsidRPr="00F33D06">
        <w:t xml:space="preserve">. </w:t>
      </w:r>
      <w:r w:rsidRPr="0027073D">
        <w:t xml:space="preserve">These controls represent </w:t>
      </w:r>
      <w:r w:rsidR="00420425">
        <w:t>HMGs</w:t>
      </w:r>
      <w:r w:rsidRPr="0027073D">
        <w:t xml:space="preserve"> minimum expectations for the protection of information</w:t>
      </w:r>
      <w:r>
        <w:t>.</w:t>
      </w:r>
      <w:r w:rsidRPr="0027073D">
        <w:t xml:space="preserve"> </w:t>
      </w:r>
    </w:p>
    <w:p w14:paraId="5285CD64" w14:textId="77777777" w:rsidR="00420425" w:rsidRDefault="00253FDE" w:rsidP="00253FDE">
      <w:r w:rsidRPr="00F33D06">
        <w:t>Additional assurance is required to protect SNI and meet ONR expectations in ONR Security Assessment Principles (SyAPs)</w:t>
      </w:r>
      <w:r w:rsidR="00420425">
        <w:t xml:space="preserve"> </w:t>
      </w:r>
      <w:sdt>
        <w:sdtPr>
          <w:id w:val="255639663"/>
          <w:citation/>
        </w:sdtPr>
        <w:sdtEndPr/>
        <w:sdtContent>
          <w:r w:rsidR="00420425">
            <w:fldChar w:fldCharType="begin"/>
          </w:r>
          <w:r w:rsidR="00420425">
            <w:instrText xml:space="preserve"> CITATION ONR173 \l 2057 </w:instrText>
          </w:r>
          <w:r w:rsidR="00420425">
            <w:fldChar w:fldCharType="separate"/>
          </w:r>
          <w:r w:rsidR="00420425" w:rsidRPr="00420425">
            <w:rPr>
              <w:noProof/>
            </w:rPr>
            <w:t>[6]</w:t>
          </w:r>
          <w:r w:rsidR="00420425">
            <w:fldChar w:fldCharType="end"/>
          </w:r>
        </w:sdtContent>
      </w:sdt>
      <w:r w:rsidRPr="00F33D06">
        <w:t xml:space="preserve"> and compliance with NISR 2003. </w:t>
      </w:r>
      <w:r w:rsidR="00420425">
        <w:br/>
      </w:r>
      <w:r w:rsidRPr="0085445C">
        <w:t xml:space="preserve">The security classification levels for SNI are OFFICIAL, SECRET and potentially TOP SECRET. </w:t>
      </w:r>
    </w:p>
    <w:p w14:paraId="7B7EC17E" w14:textId="2E9CDAE2" w:rsidR="00253FDE" w:rsidRPr="00C56381" w:rsidRDefault="00253FDE" w:rsidP="00253FDE">
      <w:pPr>
        <w:rPr>
          <w:b/>
        </w:rPr>
      </w:pPr>
      <w:r w:rsidRPr="00C56381">
        <w:t>The need to comply with this policy</w:t>
      </w:r>
      <w:r>
        <w:t xml:space="preserve">, which should be </w:t>
      </w:r>
      <w:r w:rsidRPr="009F6609">
        <w:t>considered to be relevant good practice for the industry</w:t>
      </w:r>
      <w:r>
        <w:t>,</w:t>
      </w:r>
      <w:r w:rsidRPr="009F6609">
        <w:t xml:space="preserve"> </w:t>
      </w:r>
      <w:r w:rsidRPr="00C56381">
        <w:t>arises from a requirement within NISR 2003</w:t>
      </w:r>
      <w:r>
        <w:t>.</w:t>
      </w:r>
    </w:p>
    <w:p w14:paraId="157AEB4E" w14:textId="77777777" w:rsidR="00E801C1" w:rsidRDefault="00E801C1" w:rsidP="00E801C1">
      <w:pPr>
        <w:pStyle w:val="Heading1"/>
        <w:sectPr w:rsidR="00E801C1" w:rsidSect="00253FDE">
          <w:pgSz w:w="11906" w:h="16838" w:code="9"/>
          <w:pgMar w:top="1440" w:right="1440" w:bottom="1440" w:left="1440" w:header="397" w:footer="397" w:gutter="0"/>
          <w:cols w:space="312"/>
          <w:docGrid w:linePitch="360"/>
        </w:sectPr>
      </w:pPr>
      <w:bookmarkStart w:id="7" w:name="_Hlk161045398"/>
    </w:p>
    <w:p w14:paraId="48D1EE31" w14:textId="315B7DE5" w:rsidR="00253FDE" w:rsidRPr="003F16F2" w:rsidRDefault="00253FDE" w:rsidP="00E801C1">
      <w:pPr>
        <w:pStyle w:val="Heading1"/>
      </w:pPr>
      <w:bookmarkStart w:id="8" w:name="_Toc180403435"/>
      <w:r w:rsidRPr="003F16F2">
        <w:lastRenderedPageBreak/>
        <w:t xml:space="preserve">Identifying and </w:t>
      </w:r>
      <w:r>
        <w:t>m</w:t>
      </w:r>
      <w:r w:rsidRPr="003F16F2">
        <w:t>arking SNI</w:t>
      </w:r>
      <w:bookmarkEnd w:id="8"/>
    </w:p>
    <w:bookmarkEnd w:id="7"/>
    <w:p w14:paraId="1FB38FC2" w14:textId="77777777" w:rsidR="00420425" w:rsidRDefault="00253FDE" w:rsidP="00253FDE">
      <w:r w:rsidRPr="00AB6707">
        <w:t xml:space="preserve">GSCP guidance indicates that in most cases there are limited to no negative consequences if OFFICIAL information is compromised. </w:t>
      </w:r>
    </w:p>
    <w:p w14:paraId="38ABAB89" w14:textId="7225657E" w:rsidR="00253FDE" w:rsidRDefault="00253FDE" w:rsidP="00253FDE">
      <w:r>
        <w:t>SNI in the OFFICIAL tier uses the -SENSITIVE marking as the implications of a compromise</w:t>
      </w:r>
      <w:r>
        <w:rPr>
          <w:rStyle w:val="FootnoteReference"/>
        </w:rPr>
        <w:footnoteReference w:id="3"/>
      </w:r>
      <w:r>
        <w:t xml:space="preserve"> could be potentially significant. It carries the additional sector specific ‘SNI’ descriptor to identify it as a category of information with special sensitivities which invites additional controls. </w:t>
      </w:r>
    </w:p>
    <w:p w14:paraId="2CE08987" w14:textId="4B976C08" w:rsidR="00253FDE" w:rsidRPr="00AF7AB3" w:rsidRDefault="00253FDE" w:rsidP="00253FDE">
      <w:pPr>
        <w:rPr>
          <w:color w:val="FF0000"/>
        </w:rPr>
      </w:pPr>
      <w:r>
        <w:t xml:space="preserve">The </w:t>
      </w:r>
      <w:r w:rsidRPr="00A115AD">
        <w:t xml:space="preserve">GSCP provides recommended baseline behaviours and measures associated with verbal, hard copy and electronic information for OFFICIAL information marked -SENSITIVE which are designed to </w:t>
      </w:r>
      <w:r>
        <w:t>reinforce the ‘need to know’ principle</w:t>
      </w:r>
      <w:r w:rsidR="00420425">
        <w:t xml:space="preserve"> </w:t>
      </w:r>
      <w:sdt>
        <w:sdtPr>
          <w:id w:val="-493184366"/>
          <w:citation/>
        </w:sdtPr>
        <w:sdtEndPr/>
        <w:sdtContent>
          <w:r w:rsidR="00420425">
            <w:fldChar w:fldCharType="begin"/>
          </w:r>
          <w:r w:rsidR="00420425">
            <w:instrText xml:space="preserve"> CITATION HMG233 \l 2057 </w:instrText>
          </w:r>
          <w:r w:rsidR="00420425">
            <w:fldChar w:fldCharType="separate"/>
          </w:r>
          <w:r w:rsidR="00420425" w:rsidRPr="00420425">
            <w:rPr>
              <w:noProof/>
            </w:rPr>
            <w:t>[2]</w:t>
          </w:r>
          <w:r w:rsidR="00420425">
            <w:fldChar w:fldCharType="end"/>
          </w:r>
        </w:sdtContent>
      </w:sdt>
      <w:r>
        <w:t xml:space="preserve">. </w:t>
      </w:r>
      <w:bookmarkStart w:id="9" w:name="_Hlk156332286"/>
    </w:p>
    <w:p w14:paraId="3D08C2F4" w14:textId="05725FF4" w:rsidR="00253FDE" w:rsidRPr="00A115AD" w:rsidRDefault="00253FDE" w:rsidP="00253FDE">
      <w:r w:rsidRPr="00A115AD">
        <w:t>SECRET information is much more sensitive than OFFICIAL information and its compromise has potentially serious implications. Consequently, it requires enhanced protective controls, the use of appropriately assured IT and heightened user discretion to guard against compromise. This is reflected in the GSCP enhanced security baseline behaviours and controls</w:t>
      </w:r>
      <w:r w:rsidR="00420425">
        <w:t xml:space="preserve"> </w:t>
      </w:r>
      <w:sdt>
        <w:sdtPr>
          <w:id w:val="-705795521"/>
          <w:citation/>
        </w:sdtPr>
        <w:sdtEndPr/>
        <w:sdtContent>
          <w:r w:rsidR="00420425">
            <w:fldChar w:fldCharType="begin"/>
          </w:r>
          <w:r w:rsidR="00420425">
            <w:instrText xml:space="preserve"> CITATION HMG233 \l 2057 </w:instrText>
          </w:r>
          <w:r w:rsidR="00420425">
            <w:fldChar w:fldCharType="separate"/>
          </w:r>
          <w:r w:rsidR="00420425" w:rsidRPr="00420425">
            <w:rPr>
              <w:noProof/>
            </w:rPr>
            <w:t>[2]</w:t>
          </w:r>
          <w:r w:rsidR="00420425">
            <w:fldChar w:fldCharType="end"/>
          </w:r>
        </w:sdtContent>
      </w:sdt>
      <w:r w:rsidRPr="00A115AD">
        <w:t xml:space="preserve">. </w:t>
      </w:r>
    </w:p>
    <w:p w14:paraId="142BEC5A" w14:textId="77777777" w:rsidR="00253FDE" w:rsidRDefault="00253FDE" w:rsidP="00253FDE">
      <w:r w:rsidRPr="00A115AD">
        <w:t xml:space="preserve">The information creator is responsible for assessing the potential impact of a compromise of information and the expected threat profile to determine whether information is SECRET. Handling and security requirements must be clearly communicated to recipients, and all recipients must have a clear need-to-know. </w:t>
      </w:r>
      <w:r>
        <w:t xml:space="preserve">When marking SNI assets the following must be observed: </w:t>
      </w:r>
    </w:p>
    <w:p w14:paraId="4DF5699A" w14:textId="637ECCA8" w:rsidR="00253FDE" w:rsidRDefault="00253FDE" w:rsidP="00420425">
      <w:pPr>
        <w:pStyle w:val="Bulletlist1"/>
      </w:pPr>
      <w:r>
        <w:t>OFFICIAL-SENSITIVE assets that contain SNI should be conspicuously marked</w:t>
      </w:r>
      <w:r w:rsidR="00420425">
        <w:t xml:space="preserve"> as </w:t>
      </w:r>
      <w:r>
        <w:t>OFFICIAL-SENSITIVE:SNI</w:t>
      </w:r>
      <w:r w:rsidR="00420425">
        <w:t xml:space="preserve">. </w:t>
      </w:r>
      <w:r>
        <w:t>When referring to such assets within a document, it is acceptable to use the abbreviation</w:t>
      </w:r>
      <w:r w:rsidR="00420425">
        <w:t xml:space="preserve"> </w:t>
      </w:r>
      <w:r>
        <w:t>O-S:SNI</w:t>
      </w:r>
      <w:r w:rsidR="00420425">
        <w:t>.</w:t>
      </w:r>
    </w:p>
    <w:bookmarkEnd w:id="9"/>
    <w:p w14:paraId="5AE113FB" w14:textId="77777777" w:rsidR="00253FDE" w:rsidRPr="0074600C" w:rsidRDefault="00253FDE" w:rsidP="00253FDE">
      <w:pPr>
        <w:pStyle w:val="Bulletlist1"/>
      </w:pPr>
      <w:r w:rsidRPr="0074600C">
        <w:t>SNI at the SECRET and TOP SECRET level does not require the ‘SNI’ descriptor.</w:t>
      </w:r>
    </w:p>
    <w:p w14:paraId="07C878A0" w14:textId="250776C6" w:rsidR="00253FDE" w:rsidRPr="0074600C" w:rsidRDefault="00253FDE" w:rsidP="00253FDE">
      <w:pPr>
        <w:pStyle w:val="Bulletlist1"/>
      </w:pPr>
      <w:r w:rsidRPr="0074600C">
        <w:t xml:space="preserve">In the UK, SNI relating to gas centrifuge technology will also bear the ATOLL </w:t>
      </w:r>
      <w:r>
        <w:t>caveat</w:t>
      </w:r>
      <w:r w:rsidRPr="0074600C">
        <w:t>. ATOLL data retains legacy security markings from the UK's Government Protective Marking System (GPMS). Accordingly, SNI bearing the ATOLL caveat will be marked RESTRICTED, CONFIDENTIAL or SECRET.</w:t>
      </w:r>
    </w:p>
    <w:p w14:paraId="30C84FF1" w14:textId="1860E3A6" w:rsidR="00253FDE" w:rsidRPr="0074600C" w:rsidRDefault="00253FDE" w:rsidP="00253FDE">
      <w:pPr>
        <w:pStyle w:val="Bulletlist1"/>
      </w:pPr>
      <w:r w:rsidRPr="0074600C">
        <w:t>In line with the GSCP</w:t>
      </w:r>
      <w:r w:rsidR="00420425">
        <w:t>,</w:t>
      </w:r>
      <w:r w:rsidRPr="0074600C">
        <w:t xml:space="preserve"> all SNI sent to foreign governments or </w:t>
      </w:r>
      <w:r w:rsidR="00420425">
        <w:t>i</w:t>
      </w:r>
      <w:r w:rsidRPr="0074600C">
        <w:t xml:space="preserve">nternational </w:t>
      </w:r>
      <w:r w:rsidR="00420425">
        <w:t>o</w:t>
      </w:r>
      <w:r w:rsidRPr="0074600C">
        <w:t>rganisations (</w:t>
      </w:r>
      <w:r w:rsidR="00420425">
        <w:t>for example,</w:t>
      </w:r>
      <w:r w:rsidRPr="0074600C">
        <w:t xml:space="preserve"> the North Atlantic Treaty Organisation (NATO)) must be marked with a UK prefix. Additionally the UK prefix should be applied in circumstances where a dutyholder identifes a requirement to share SNI overseas in accordance with international sharing arrangements</w:t>
      </w:r>
      <w:r>
        <w:t xml:space="preserve"> and guidance in the GSCP</w:t>
      </w:r>
      <w:r w:rsidR="00420425">
        <w:t xml:space="preserve"> </w:t>
      </w:r>
      <w:sdt>
        <w:sdtPr>
          <w:id w:val="33160224"/>
          <w:citation/>
        </w:sdtPr>
        <w:sdtEndPr/>
        <w:sdtContent>
          <w:r w:rsidR="00420425">
            <w:fldChar w:fldCharType="begin"/>
          </w:r>
          <w:r w:rsidR="00420425">
            <w:instrText xml:space="preserve"> CITATION HMG233 \l 2057 </w:instrText>
          </w:r>
          <w:r w:rsidR="00420425">
            <w:fldChar w:fldCharType="separate"/>
          </w:r>
          <w:r w:rsidR="00420425" w:rsidRPr="00420425">
            <w:t>[2]</w:t>
          </w:r>
          <w:r w:rsidR="00420425">
            <w:fldChar w:fldCharType="end"/>
          </w:r>
        </w:sdtContent>
      </w:sdt>
      <w:r>
        <w:t>.</w:t>
      </w:r>
    </w:p>
    <w:p w14:paraId="0FAFA4C6" w14:textId="57A26CAE" w:rsidR="00253FDE" w:rsidRDefault="00253FDE" w:rsidP="00253FDE">
      <w:r>
        <w:lastRenderedPageBreak/>
        <w:t xml:space="preserve">Information asset owners </w:t>
      </w:r>
      <w:r w:rsidR="00AD445A">
        <w:t xml:space="preserve">(IAOs) </w:t>
      </w:r>
      <w:r>
        <w:t>may wish to consider applying an appropriate tag to the metadata of digital SNI that enables it to be clearly identified and differentiated from other OFFICIAL-SENSITIVE information that may not be SNI.</w:t>
      </w:r>
    </w:p>
    <w:p w14:paraId="6050F9B3" w14:textId="0EB18639" w:rsidR="00253FDE" w:rsidRPr="00D44534" w:rsidRDefault="00253FDE" w:rsidP="00253FDE">
      <w:r w:rsidRPr="00D44534">
        <w:t xml:space="preserve">Should there be any queries related to other legacy arrangements or documentation, including those specific to </w:t>
      </w:r>
      <w:r w:rsidR="00AD445A">
        <w:t>d</w:t>
      </w:r>
      <w:r w:rsidRPr="00D44534">
        <w:t>efence procurement and classification of information, dutyholders should seek guidance from ONR.</w:t>
      </w:r>
    </w:p>
    <w:p w14:paraId="302EE1AE" w14:textId="77777777" w:rsidR="00AD445A" w:rsidRDefault="00253FDE" w:rsidP="00253FDE">
      <w:r>
        <w:t xml:space="preserve">Further guidance in the form of generic examples for different types of documents and data that may contain SNI are provided in </w:t>
      </w:r>
      <w:r w:rsidR="00AD445A">
        <w:t>the appendix</w:t>
      </w:r>
      <w:r>
        <w:t xml:space="preserve"> of this </w:t>
      </w:r>
      <w:r w:rsidR="00AD445A">
        <w:t>policy</w:t>
      </w:r>
      <w:r>
        <w:t xml:space="preserve">. </w:t>
      </w:r>
    </w:p>
    <w:p w14:paraId="1D882398" w14:textId="2AFC6802" w:rsidR="00253FDE" w:rsidRDefault="00253FDE" w:rsidP="00253FDE">
      <w:r>
        <w:t>The following descriptions of consequences should form the basis of judgement when applying a security classification to a specific document:</w:t>
      </w:r>
    </w:p>
    <w:p w14:paraId="0ACA3059" w14:textId="77777777" w:rsidR="00253FDE" w:rsidRDefault="00253FDE" w:rsidP="00253FDE">
      <w:pPr>
        <w:pStyle w:val="Bulletlist1"/>
      </w:pPr>
      <w:r>
        <w:t>SNI that could cause no more than moderate damage if compromised should be classified as OFFICIAL-SENSITIVE. This relates to sensitive information concerning arrangements to protect the public from the risks arising from a radiological event caused by the theft or sabotage of Nuclear Material (NM)/Other Radioactive Material (ORM) and supporting systems or through the compromise of SNI. It typically applies to less detailed information concerning Category I – III NM or Vital Areas (VAs)</w:t>
      </w:r>
      <w:r>
        <w:rPr>
          <w:rStyle w:val="FootnoteReference"/>
        </w:rPr>
        <w:footnoteReference w:id="4"/>
      </w:r>
      <w:r>
        <w:t xml:space="preserve"> that is only likely to affect a single layer of defence in depth and/or be of minimal consequence to the overall security effect. Most sensitive information concerning Category IV NM, ORM, Baseline Areas or protective measures for SNI will also be OFFICIAL-SENSITIVE.</w:t>
      </w:r>
    </w:p>
    <w:p w14:paraId="09AD8DAB" w14:textId="77777777" w:rsidR="00253FDE" w:rsidRPr="001946B2" w:rsidRDefault="00253FDE" w:rsidP="00253FDE">
      <w:pPr>
        <w:pStyle w:val="Bulletlist1"/>
      </w:pPr>
      <w:r>
        <w:t>SNI where compromise could threaten life (an individual or group) or seriously damage the UK’s national or nuclear security should be marked SECRET. This relates to very sensitive information concerning arrangements to protect the public from the risks arising from a radiological event caused by the theft or sabotage of NM/ORM and supporting systems or through the compromise of SNI. It typically applies to highly detailed and exploitable information regarding Category I/II NM and VAs which could facilitate attack planning by affecting several layers of defence in depth and/or jeopardising an effective security response. There may also be instances where details of protective measure</w:t>
      </w:r>
      <w:r w:rsidRPr="00A1588A">
        <w:t xml:space="preserve">s for SNI are SECRET. </w:t>
      </w:r>
      <w:r w:rsidRPr="001946B2">
        <w:t>Whilst not an exhaustive list, the following categories of information should be subject to control and carriage at the SECRET level:</w:t>
      </w:r>
    </w:p>
    <w:p w14:paraId="62208999" w14:textId="77777777" w:rsidR="00253FDE" w:rsidRPr="001946B2" w:rsidRDefault="00253FDE" w:rsidP="00253FDE">
      <w:pPr>
        <w:pStyle w:val="Bulletlist2"/>
      </w:pPr>
      <w:r w:rsidRPr="001946B2">
        <w:t>Whole or part references taken from content in the Design Basis Threat (DBT) marked as SECRET.</w:t>
      </w:r>
    </w:p>
    <w:p w14:paraId="154BA06E" w14:textId="77777777" w:rsidR="00253FDE" w:rsidRPr="001946B2" w:rsidRDefault="00253FDE" w:rsidP="00253FDE">
      <w:pPr>
        <w:pStyle w:val="Bulletlist2"/>
      </w:pPr>
      <w:r w:rsidRPr="001946B2">
        <w:t xml:space="preserve">Vital Area Identification </w:t>
      </w:r>
      <w:r>
        <w:t xml:space="preserve">submissions and </w:t>
      </w:r>
      <w:r w:rsidRPr="001946B2">
        <w:t>studies where Vital Areas have been confirmed.</w:t>
      </w:r>
    </w:p>
    <w:p w14:paraId="11565A61" w14:textId="77777777" w:rsidR="00253FDE" w:rsidRDefault="00253FDE" w:rsidP="00253FDE">
      <w:pPr>
        <w:pStyle w:val="Bulletlist2"/>
      </w:pPr>
      <w:r>
        <w:lastRenderedPageBreak/>
        <w:t xml:space="preserve">Security </w:t>
      </w:r>
      <w:r w:rsidRPr="001946B2">
        <w:t xml:space="preserve">Vulnerability Assessments </w:t>
      </w:r>
      <w:r w:rsidRPr="00F61DB4">
        <w:t>which details vulnerabilities or deficiencies in security that could be exploited for malicious purposes</w:t>
      </w:r>
      <w:r w:rsidRPr="00F61DB4" w:rsidDel="001946B2">
        <w:t xml:space="preserve"> </w:t>
      </w:r>
      <w:r>
        <w:t xml:space="preserve">concerning </w:t>
      </w:r>
      <w:r w:rsidRPr="001946B2">
        <w:t>Cat</w:t>
      </w:r>
      <w:r>
        <w:t>egory</w:t>
      </w:r>
      <w:r w:rsidRPr="001946B2">
        <w:t xml:space="preserve"> I/II NM and/or Vital Areas.</w:t>
      </w:r>
    </w:p>
    <w:p w14:paraId="05CF3F50" w14:textId="77777777" w:rsidR="00E801C1" w:rsidRPr="001946B2" w:rsidRDefault="00E801C1" w:rsidP="00E801C1">
      <w:pPr>
        <w:pStyle w:val="Bulletlist2"/>
        <w:numPr>
          <w:ilvl w:val="0"/>
          <w:numId w:val="0"/>
        </w:numPr>
        <w:ind w:left="851"/>
      </w:pPr>
    </w:p>
    <w:p w14:paraId="38D5FA7B" w14:textId="07AE6B3E" w:rsidR="00253FDE" w:rsidRPr="003F16F2" w:rsidRDefault="00253FDE" w:rsidP="00E801C1">
      <w:pPr>
        <w:pStyle w:val="Heading1"/>
      </w:pPr>
      <w:bookmarkStart w:id="10" w:name="_Toc180403436"/>
      <w:r w:rsidRPr="003F16F2">
        <w:t xml:space="preserve">Security </w:t>
      </w:r>
      <w:r>
        <w:t>c</w:t>
      </w:r>
      <w:r w:rsidRPr="003F16F2">
        <w:t>ontrols</w:t>
      </w:r>
      <w:bookmarkEnd w:id="10"/>
    </w:p>
    <w:p w14:paraId="03F6FFDA" w14:textId="45516361" w:rsidR="00253FDE" w:rsidRDefault="00253FDE" w:rsidP="00253FDE">
      <w:pPr>
        <w:pStyle w:val="Bulletlist1"/>
        <w:numPr>
          <w:ilvl w:val="0"/>
          <w:numId w:val="0"/>
        </w:numPr>
      </w:pPr>
      <w:r>
        <w:t>Standard control measures when working with information assets at each classification level,</w:t>
      </w:r>
      <w:r w:rsidRPr="00C67CB6">
        <w:t xml:space="preserve"> including specific guidance around the aggregation and classification of information</w:t>
      </w:r>
      <w:r>
        <w:t xml:space="preserve">, are detailed </w:t>
      </w:r>
      <w:r w:rsidR="00F8090F">
        <w:t>in supporting guidance to the G</w:t>
      </w:r>
      <w:r>
        <w:t>SCP</w:t>
      </w:r>
      <w:r w:rsidR="00F8090F">
        <w:t xml:space="preserve"> </w:t>
      </w:r>
      <w:sdt>
        <w:sdtPr>
          <w:id w:val="162131727"/>
          <w:citation/>
        </w:sdtPr>
        <w:sdtEndPr/>
        <w:sdtContent>
          <w:r w:rsidR="00F8090F">
            <w:fldChar w:fldCharType="begin"/>
          </w:r>
          <w:r w:rsidR="00F8090F">
            <w:instrText xml:space="preserve"> CITATION HMG247 \l 2057 </w:instrText>
          </w:r>
          <w:r w:rsidR="00F8090F">
            <w:fldChar w:fldCharType="separate"/>
          </w:r>
          <w:r w:rsidR="00F8090F" w:rsidRPr="00F8090F">
            <w:t>[7]</w:t>
          </w:r>
          <w:r w:rsidR="00F8090F">
            <w:fldChar w:fldCharType="end"/>
          </w:r>
        </w:sdtContent>
      </w:sdt>
      <w:r>
        <w:t>. However, it is ONR’s expectation that digital SNI will always be protected by suitable encryption and therefore the additional specific mandatory security controls required for the protection of OFFICIAL-SENSITIVE:SNI within the civil nuclear industry are:</w:t>
      </w:r>
    </w:p>
    <w:p w14:paraId="35C20664" w14:textId="77777777" w:rsidR="00253FDE" w:rsidRDefault="00253FDE" w:rsidP="00253FDE">
      <w:pPr>
        <w:pStyle w:val="Bulletlist1"/>
      </w:pPr>
      <w:r>
        <w:t xml:space="preserve">Electronic information, </w:t>
      </w:r>
      <w:r w:rsidRPr="003D34A1">
        <w:rPr>
          <w:b/>
          <w:bCs/>
        </w:rPr>
        <w:t>at rest</w:t>
      </w:r>
      <w:r>
        <w:t xml:space="preserve"> and </w:t>
      </w:r>
      <w:r w:rsidRPr="003D34A1">
        <w:rPr>
          <w:b/>
          <w:bCs/>
        </w:rPr>
        <w:t>in transit</w:t>
      </w:r>
      <w:r>
        <w:t>, must be adequately protected by a suitably assured solution</w:t>
      </w:r>
      <w:r>
        <w:rPr>
          <w:rStyle w:val="FootnoteReference"/>
        </w:rPr>
        <w:footnoteReference w:id="5"/>
      </w:r>
      <w:r>
        <w:t xml:space="preserve">. The level of assurance gained will depend upon the assessment scope. Such assessments should take account of recognised principles for </w:t>
      </w:r>
      <w:r w:rsidRPr="00A1588A">
        <w:t xml:space="preserve">product design, security functionality, </w:t>
      </w:r>
      <w:r>
        <w:t xml:space="preserve">data sovereignty, </w:t>
      </w:r>
      <w:r w:rsidRPr="00A1588A">
        <w:t xml:space="preserve">the asset environment (including </w:t>
      </w:r>
      <w:r>
        <w:t xml:space="preserve">Cloud and </w:t>
      </w:r>
      <w:r w:rsidRPr="00A1588A">
        <w:t xml:space="preserve">digital service providors), and specifics of implementation, along with through life assurance in line with </w:t>
      </w:r>
      <w:r>
        <w:t>guidance set out by the National Cyber Security Centre (NCSC), as the National Technical Authority (NTA) for information assurance and cyber threats.</w:t>
      </w:r>
    </w:p>
    <w:p w14:paraId="6F7C0D02" w14:textId="5AE58763" w:rsidR="00253FDE" w:rsidRDefault="00253FDE" w:rsidP="00253FDE">
      <w:pPr>
        <w:pStyle w:val="Bulletlist1"/>
      </w:pPr>
      <w:r>
        <w:t xml:space="preserve">Removable </w:t>
      </w:r>
      <w:r w:rsidR="00F8090F">
        <w:t>m</w:t>
      </w:r>
      <w:r>
        <w:t>edia (</w:t>
      </w:r>
      <w:r w:rsidR="00F8090F">
        <w:t xml:space="preserve">i.e., </w:t>
      </w:r>
      <w:r>
        <w:t>USB memory sticks, CD, DVD, external-HDD, floppy disc, etc.) used for SNI data transfer should be encrypted using a suitably assured product</w:t>
      </w:r>
      <w:r w:rsidR="00F8090F">
        <w:t>,</w:t>
      </w:r>
      <w:r>
        <w:t xml:space="preserve"> in line with NCSC guidance.</w:t>
      </w:r>
    </w:p>
    <w:p w14:paraId="050BE809" w14:textId="77777777" w:rsidR="00253FDE" w:rsidRDefault="00253FDE" w:rsidP="00253FDE">
      <w:pPr>
        <w:pStyle w:val="Bulletlist1"/>
      </w:pPr>
      <w:r>
        <w:t>SNI must not be transmitted by fax in the UK or overseas unless its use is required as a standby measure and has been justified and agreed with ONR.</w:t>
      </w:r>
    </w:p>
    <w:p w14:paraId="34D160BC" w14:textId="77777777" w:rsidR="00253FDE" w:rsidRDefault="00253FDE" w:rsidP="00253FDE">
      <w:pPr>
        <w:pStyle w:val="Bulletlist1"/>
      </w:pPr>
      <w:r>
        <w:t>Physical and environmental security controls for the protection of SNI should be applied according to layering principles and based on a risk assessment to determine applicable threats and risks in line with guidance set out by the National Protective Security Authority (NPSA), as the NTA</w:t>
      </w:r>
      <w:r w:rsidRPr="002E0436">
        <w:t xml:space="preserve"> for physical and personnel protective security.</w:t>
      </w:r>
    </w:p>
    <w:p w14:paraId="7ABC97F5" w14:textId="77777777" w:rsidR="00E801C1" w:rsidRDefault="00E801C1" w:rsidP="00253FDE">
      <w:pPr>
        <w:pStyle w:val="Heading1"/>
        <w:rPr>
          <w:color w:val="003300"/>
          <w:sz w:val="28"/>
          <w:szCs w:val="28"/>
        </w:rPr>
        <w:sectPr w:rsidR="00E801C1" w:rsidSect="00253FDE">
          <w:pgSz w:w="11906" w:h="16838" w:code="9"/>
          <w:pgMar w:top="1440" w:right="1440" w:bottom="1440" w:left="1440" w:header="397" w:footer="397" w:gutter="0"/>
          <w:cols w:space="312"/>
          <w:docGrid w:linePitch="360"/>
        </w:sectPr>
      </w:pPr>
      <w:bookmarkStart w:id="11" w:name="_Hlk155875427"/>
    </w:p>
    <w:p w14:paraId="5F78E05D" w14:textId="6220408D" w:rsidR="00253FDE" w:rsidRPr="003F16F2" w:rsidRDefault="00253FDE" w:rsidP="00E801C1">
      <w:pPr>
        <w:pStyle w:val="Heading1"/>
        <w:rPr>
          <w:sz w:val="40"/>
          <w:szCs w:val="18"/>
        </w:rPr>
      </w:pPr>
      <w:bookmarkStart w:id="12" w:name="_Toc180403437"/>
      <w:r w:rsidRPr="003F16F2">
        <w:lastRenderedPageBreak/>
        <w:t xml:space="preserve">International </w:t>
      </w:r>
      <w:r w:rsidR="00F8090F">
        <w:t>s</w:t>
      </w:r>
      <w:r w:rsidRPr="003F16F2">
        <w:t>haring</w:t>
      </w:r>
      <w:bookmarkEnd w:id="12"/>
      <w:r w:rsidRPr="003F16F2">
        <w:t xml:space="preserve"> </w:t>
      </w:r>
    </w:p>
    <w:bookmarkEnd w:id="11"/>
    <w:p w14:paraId="6D863BA0" w14:textId="77777777" w:rsidR="00F8090F" w:rsidRDefault="00253FDE" w:rsidP="00253FDE">
      <w:pPr>
        <w:pStyle w:val="Bulletlist1"/>
        <w:numPr>
          <w:ilvl w:val="0"/>
          <w:numId w:val="0"/>
        </w:numPr>
      </w:pPr>
      <w:r>
        <w:t xml:space="preserve">The international exchange of SNI is a complex area and requirements can vary depending upon the countries involved. As well as </w:t>
      </w:r>
      <w:r w:rsidR="00F8090F">
        <w:t xml:space="preserve">the </w:t>
      </w:r>
      <w:r>
        <w:t>GSCP</w:t>
      </w:r>
      <w:r w:rsidR="00F8090F">
        <w:t xml:space="preserve"> </w:t>
      </w:r>
      <w:sdt>
        <w:sdtPr>
          <w:id w:val="-1497800809"/>
          <w:citation/>
        </w:sdtPr>
        <w:sdtEndPr/>
        <w:sdtContent>
          <w:r w:rsidR="00F8090F">
            <w:fldChar w:fldCharType="begin"/>
          </w:r>
          <w:r w:rsidR="00F8090F">
            <w:instrText xml:space="preserve"> CITATION HMG233 \l 2057 </w:instrText>
          </w:r>
          <w:r w:rsidR="00F8090F">
            <w:fldChar w:fldCharType="separate"/>
          </w:r>
          <w:r w:rsidR="00F8090F" w:rsidRPr="00F8090F">
            <w:t>[2]</w:t>
          </w:r>
          <w:r w:rsidR="00F8090F">
            <w:fldChar w:fldCharType="end"/>
          </w:r>
        </w:sdtContent>
      </w:sdt>
      <w:r w:rsidR="00F8090F">
        <w:t>, GovS 007</w:t>
      </w:r>
      <w:r>
        <w:t xml:space="preserve"> </w:t>
      </w:r>
      <w:sdt>
        <w:sdtPr>
          <w:id w:val="-1834984452"/>
          <w:citation/>
        </w:sdtPr>
        <w:sdtEndPr/>
        <w:sdtContent>
          <w:r w:rsidR="00F8090F">
            <w:fldChar w:fldCharType="begin"/>
          </w:r>
          <w:r w:rsidR="00F8090F">
            <w:instrText xml:space="preserve"> CITATION HMG15 \l 2057 </w:instrText>
          </w:r>
          <w:r w:rsidR="00F8090F">
            <w:fldChar w:fldCharType="separate"/>
          </w:r>
          <w:r w:rsidR="00F8090F" w:rsidRPr="00F8090F">
            <w:t>[3]</w:t>
          </w:r>
          <w:r w:rsidR="00F8090F">
            <w:fldChar w:fldCharType="end"/>
          </w:r>
        </w:sdtContent>
      </w:sdt>
      <w:r w:rsidR="00F8090F">
        <w:t xml:space="preserve"> </w:t>
      </w:r>
      <w:r>
        <w:t xml:space="preserve">and </w:t>
      </w:r>
      <w:r w:rsidR="00F8090F">
        <w:t xml:space="preserve">the </w:t>
      </w:r>
      <w:r>
        <w:t>SyAPs</w:t>
      </w:r>
      <w:r w:rsidR="00F8090F">
        <w:t xml:space="preserve"> </w:t>
      </w:r>
      <w:sdt>
        <w:sdtPr>
          <w:id w:val="-920630542"/>
          <w:citation/>
        </w:sdtPr>
        <w:sdtEndPr/>
        <w:sdtContent>
          <w:r w:rsidR="00F8090F">
            <w:fldChar w:fldCharType="begin"/>
          </w:r>
          <w:r w:rsidR="00F8090F">
            <w:instrText xml:space="preserve"> CITATION ONR173 \l 2057 </w:instrText>
          </w:r>
          <w:r w:rsidR="00F8090F">
            <w:fldChar w:fldCharType="separate"/>
          </w:r>
          <w:r w:rsidR="00F8090F" w:rsidRPr="00F8090F">
            <w:t>[6]</w:t>
          </w:r>
          <w:r w:rsidR="00F8090F">
            <w:fldChar w:fldCharType="end"/>
          </w:r>
        </w:sdtContent>
      </w:sdt>
      <w:r>
        <w:t xml:space="preserve">, dutyholders must take into account: </w:t>
      </w:r>
    </w:p>
    <w:p w14:paraId="0E7E30F6" w14:textId="2B84F692" w:rsidR="00F8090F" w:rsidRDefault="00253FDE" w:rsidP="00F8090F">
      <w:pPr>
        <w:pStyle w:val="Bulletlist1"/>
      </w:pPr>
      <w:r>
        <w:t xml:space="preserve">guidance </w:t>
      </w:r>
      <w:r w:rsidR="00F8090F">
        <w:t xml:space="preserve">from HMGs Cabinet Office </w:t>
      </w:r>
      <w:r>
        <w:t xml:space="preserve">for the sharing of </w:t>
      </w:r>
      <w:r w:rsidR="00F8090F">
        <w:t>c</w:t>
      </w:r>
      <w:r>
        <w:t xml:space="preserve">lassified </w:t>
      </w:r>
      <w:r w:rsidR="00F8090F">
        <w:t>i</w:t>
      </w:r>
      <w:r>
        <w:t xml:space="preserve">nformation with international partners; </w:t>
      </w:r>
    </w:p>
    <w:p w14:paraId="1F0FCD79" w14:textId="489CDE40" w:rsidR="00F8090F" w:rsidRDefault="00F8090F" w:rsidP="00F8090F">
      <w:pPr>
        <w:pStyle w:val="Bulletlist1"/>
      </w:pPr>
      <w:r>
        <w:t>g</w:t>
      </w:r>
      <w:r w:rsidR="00253FDE">
        <w:t xml:space="preserve">eneral </w:t>
      </w:r>
      <w:r>
        <w:t>s</w:t>
      </w:r>
      <w:r w:rsidR="00253FDE">
        <w:t xml:space="preserve">ecurity </w:t>
      </w:r>
      <w:r>
        <w:t>a</w:t>
      </w:r>
      <w:r w:rsidR="00253FDE">
        <w:t>greements (where appropriate); and</w:t>
      </w:r>
      <w:r>
        <w:t>,</w:t>
      </w:r>
    </w:p>
    <w:p w14:paraId="3B444858" w14:textId="4A14E7DC" w:rsidR="00253FDE" w:rsidRDefault="00253FDE" w:rsidP="00F8090F">
      <w:pPr>
        <w:pStyle w:val="Bulletlist1"/>
      </w:pPr>
      <w:r>
        <w:t xml:space="preserve">the security requirements of the overseas country concerned. </w:t>
      </w:r>
    </w:p>
    <w:p w14:paraId="45983BC6" w14:textId="77777777" w:rsidR="00253FDE" w:rsidRDefault="00253FDE" w:rsidP="00253FDE">
      <w:pPr>
        <w:pStyle w:val="Bulletlist1"/>
        <w:numPr>
          <w:ilvl w:val="0"/>
          <w:numId w:val="0"/>
        </w:numPr>
      </w:pPr>
      <w:r>
        <w:t xml:space="preserve">ONR’s regulatory expectations are that the Contracting Authority must ensure appropriate protective security controls are in place for the protection of SNI against compromise or loss wherever it is stored, processed, transmitted, controlled, secured or accessed regardless of whether this is in the UK or overseas. Dutyholders should undertake a risk assessment of any such proposed transfers of SNI overseas. Where concerns arise or risks appear unacceptable, dutyholders should seek additional guidance from HMG in consulation with ONR as the competent security authority. </w:t>
      </w:r>
    </w:p>
    <w:p w14:paraId="7C39F2AB" w14:textId="05F9AA47" w:rsidR="00253FDE" w:rsidRDefault="00253FDE" w:rsidP="00253FDE">
      <w:pPr>
        <w:pStyle w:val="Bulletlist1"/>
        <w:numPr>
          <w:ilvl w:val="0"/>
          <w:numId w:val="0"/>
        </w:numPr>
      </w:pPr>
      <w:r w:rsidRPr="000B2074">
        <w:t>‘The Handbook’</w:t>
      </w:r>
      <w:r w:rsidR="00F8090F">
        <w:t>,</w:t>
      </w:r>
      <w:r w:rsidRPr="000B2074">
        <w:t xml:space="preserve"> issued by the Centrifuge Collaboration Security Working Group (CCSWG)</w:t>
      </w:r>
      <w:r w:rsidR="00F8090F">
        <w:t>,</w:t>
      </w:r>
      <w:r w:rsidRPr="000B2074">
        <w:t xml:space="preserve"> contains specific expectations for dutyholders dealing with the international transfer of SNI which bears the ATOLL caveat</w:t>
      </w:r>
      <w:r w:rsidR="00F8090F">
        <w:t xml:space="preserve"> </w:t>
      </w:r>
      <w:sdt>
        <w:sdtPr>
          <w:id w:val="1659507407"/>
          <w:citation/>
        </w:sdtPr>
        <w:sdtEndPr/>
        <w:sdtContent>
          <w:r w:rsidR="00F8090F">
            <w:fldChar w:fldCharType="begin"/>
          </w:r>
          <w:r w:rsidR="00F8090F">
            <w:instrText xml:space="preserve"> CITATION CCS23 \l 2057 </w:instrText>
          </w:r>
          <w:r w:rsidR="00F8090F">
            <w:fldChar w:fldCharType="separate"/>
          </w:r>
          <w:r w:rsidR="00F8090F" w:rsidRPr="00F8090F">
            <w:t>[8]</w:t>
          </w:r>
          <w:r w:rsidR="00F8090F">
            <w:fldChar w:fldCharType="end"/>
          </w:r>
        </w:sdtContent>
      </w:sdt>
      <w:r w:rsidRPr="000B2074">
        <w:t xml:space="preserve">.   </w:t>
      </w:r>
    </w:p>
    <w:p w14:paraId="1D01ADDA" w14:textId="77777777" w:rsidR="00E801C1" w:rsidRDefault="00E801C1" w:rsidP="00253FDE">
      <w:pPr>
        <w:pStyle w:val="Bulletlist1"/>
        <w:numPr>
          <w:ilvl w:val="0"/>
          <w:numId w:val="0"/>
        </w:numPr>
      </w:pPr>
    </w:p>
    <w:p w14:paraId="561F7EDC" w14:textId="0B3DA93D" w:rsidR="00253FDE" w:rsidRPr="000C2178" w:rsidRDefault="00253FDE" w:rsidP="00E801C1">
      <w:pPr>
        <w:pStyle w:val="Heading1"/>
      </w:pPr>
      <w:bookmarkStart w:id="13" w:name="_Toc180403438"/>
      <w:r w:rsidRPr="000C2178">
        <w:t xml:space="preserve">Regulatory </w:t>
      </w:r>
      <w:r w:rsidR="00E801C1">
        <w:t>r</w:t>
      </w:r>
      <w:r w:rsidRPr="000C2178">
        <w:t xml:space="preserve">eporting </w:t>
      </w:r>
      <w:r w:rsidR="00E801C1" w:rsidRPr="00E801C1">
        <w:t>r</w:t>
      </w:r>
      <w:r w:rsidRPr="00E801C1">
        <w:t>equirements</w:t>
      </w:r>
      <w:bookmarkEnd w:id="13"/>
      <w:r w:rsidRPr="000C2178">
        <w:t xml:space="preserve">  </w:t>
      </w:r>
    </w:p>
    <w:p w14:paraId="115297C4" w14:textId="6C4A4399" w:rsidR="00253FDE" w:rsidRPr="000B2074" w:rsidRDefault="00253FDE" w:rsidP="00253FDE">
      <w:pPr>
        <w:pStyle w:val="Bulletlist1"/>
        <w:numPr>
          <w:ilvl w:val="0"/>
          <w:numId w:val="0"/>
        </w:numPr>
      </w:pPr>
      <w:r w:rsidRPr="00E05C29">
        <w:t>Regulations 10, 18 and 22 of NISR 2003 require dutyholders to report to the ONR any event or matter including any theft, loss or unauthorised disclosure, of SNI, or any suspected such theft, loss or disclosure. Such reporting is to be undertaken as soon as practicable, and in any event within 24 hours of your organisation becoming aware of the event. A follow-up written report is to be submitted to ONR by means of an INF1 form</w:t>
      </w:r>
      <w:r w:rsidR="00E801C1">
        <w:t xml:space="preserve"> </w:t>
      </w:r>
      <w:sdt>
        <w:sdtPr>
          <w:id w:val="-967814744"/>
          <w:citation/>
        </w:sdtPr>
        <w:sdtEndPr/>
        <w:sdtContent>
          <w:r w:rsidR="00E801C1">
            <w:fldChar w:fldCharType="begin"/>
          </w:r>
          <w:r w:rsidR="00E801C1">
            <w:instrText xml:space="preserve"> CITATION ONR519 \l 2057 </w:instrText>
          </w:r>
          <w:r w:rsidR="00E801C1">
            <w:fldChar w:fldCharType="separate"/>
          </w:r>
          <w:r w:rsidR="00E801C1" w:rsidRPr="00E801C1">
            <w:t>[9]</w:t>
          </w:r>
          <w:r w:rsidR="00E801C1">
            <w:fldChar w:fldCharType="end"/>
          </w:r>
        </w:sdtContent>
      </w:sdt>
      <w:r w:rsidRPr="00E05C29">
        <w:t xml:space="preserve">. </w:t>
      </w:r>
    </w:p>
    <w:p w14:paraId="64774921" w14:textId="77777777" w:rsidR="00E801C1" w:rsidRDefault="00E801C1" w:rsidP="00253FDE">
      <w:pPr>
        <w:pStyle w:val="Heading1"/>
        <w:rPr>
          <w:color w:val="003300"/>
          <w:sz w:val="36"/>
          <w:szCs w:val="36"/>
        </w:rPr>
        <w:sectPr w:rsidR="00E801C1" w:rsidSect="00253FDE">
          <w:pgSz w:w="11906" w:h="16838" w:code="9"/>
          <w:pgMar w:top="1440" w:right="1440" w:bottom="1440" w:left="1440" w:header="397" w:footer="397" w:gutter="0"/>
          <w:cols w:space="312"/>
          <w:docGrid w:linePitch="360"/>
        </w:sectPr>
      </w:pPr>
    </w:p>
    <w:p w14:paraId="2894E583" w14:textId="168337E8" w:rsidR="00253FDE" w:rsidRPr="003F16F2" w:rsidRDefault="00253FDE" w:rsidP="00E801C1">
      <w:pPr>
        <w:pStyle w:val="Heading1"/>
      </w:pPr>
      <w:bookmarkStart w:id="14" w:name="_Toc180403439"/>
      <w:r w:rsidRPr="003F16F2">
        <w:lastRenderedPageBreak/>
        <w:t xml:space="preserve">Organisational </w:t>
      </w:r>
      <w:r w:rsidR="00E801C1">
        <w:t>c</w:t>
      </w:r>
      <w:r w:rsidRPr="003F16F2">
        <w:t xml:space="preserve">lassification </w:t>
      </w:r>
      <w:r w:rsidR="00E801C1">
        <w:t>g</w:t>
      </w:r>
      <w:r w:rsidRPr="003F16F2">
        <w:t>uidance</w:t>
      </w:r>
      <w:bookmarkEnd w:id="14"/>
    </w:p>
    <w:p w14:paraId="7335ABFA" w14:textId="77777777" w:rsidR="00253FDE" w:rsidRDefault="00253FDE" w:rsidP="00253FDE">
      <w:pPr>
        <w:pStyle w:val="Bulletlist1"/>
        <w:numPr>
          <w:ilvl w:val="0"/>
          <w:numId w:val="0"/>
        </w:numPr>
      </w:pPr>
      <w:r w:rsidRPr="008228F5">
        <w:t>Dutyholders should review their information and classification policies</w:t>
      </w:r>
      <w:r>
        <w:t xml:space="preserve"> and </w:t>
      </w:r>
      <w:r w:rsidRPr="00E5666D">
        <w:t xml:space="preserve">remind staff of regulatory expectations </w:t>
      </w:r>
      <w:r>
        <w:t xml:space="preserve">for the protection of SNI in order </w:t>
      </w:r>
      <w:r w:rsidRPr="00E5666D">
        <w:t xml:space="preserve">to meet the challenges of </w:t>
      </w:r>
      <w:r>
        <w:t xml:space="preserve">the </w:t>
      </w:r>
      <w:r w:rsidRPr="00E5666D">
        <w:t>home/remote working</w:t>
      </w:r>
      <w:r>
        <w:t xml:space="preserve"> environment. </w:t>
      </w:r>
    </w:p>
    <w:p w14:paraId="6D138A68" w14:textId="3875712D" w:rsidR="00253FDE" w:rsidRPr="00870EE9" w:rsidRDefault="00253FDE" w:rsidP="00253FDE">
      <w:pPr>
        <w:pStyle w:val="Bulletlist1"/>
        <w:numPr>
          <w:ilvl w:val="0"/>
          <w:numId w:val="0"/>
        </w:numPr>
      </w:pPr>
      <w:r>
        <w:t xml:space="preserve">The content of this document is not sufficient to be used in isolation by inexperienced staff when applying a security classification to information they produce. </w:t>
      </w:r>
      <w:r w:rsidR="00E801C1">
        <w:br/>
      </w:r>
      <w:r>
        <w:t>Therefore, dutyholders should use this classification policy as a framework to compile their own detailed organisation-specific classification scheme.</w:t>
      </w:r>
      <w:r w:rsidRPr="00870EE9">
        <w:t xml:space="preserve"> </w:t>
      </w:r>
      <w:r w:rsidRPr="00181939">
        <w:t>They should remind staff of regulatory expectations to meet the challenges of home/remote working.</w:t>
      </w:r>
    </w:p>
    <w:p w14:paraId="21B1A9E6" w14:textId="5EB373D5" w:rsidR="00253FDE" w:rsidRDefault="00253FDE" w:rsidP="00253FDE">
      <w:pPr>
        <w:pStyle w:val="Bulletlist1"/>
        <w:numPr>
          <w:ilvl w:val="0"/>
          <w:numId w:val="0"/>
        </w:numPr>
      </w:pPr>
      <w:r>
        <w:t xml:space="preserve">The structure of the </w:t>
      </w:r>
      <w:r w:rsidR="00E801C1">
        <w:t>appendix in this</w:t>
      </w:r>
      <w:r>
        <w:t xml:space="preserve"> policy has been aligned with the SyAPs</w:t>
      </w:r>
      <w:r w:rsidR="00E801C1">
        <w:t xml:space="preserve"> </w:t>
      </w:r>
      <w:sdt>
        <w:sdtPr>
          <w:id w:val="-1503424111"/>
          <w:citation/>
        </w:sdtPr>
        <w:sdtEndPr/>
        <w:sdtContent>
          <w:r w:rsidR="00E801C1">
            <w:fldChar w:fldCharType="begin"/>
          </w:r>
          <w:r w:rsidR="00E801C1">
            <w:instrText xml:space="preserve"> CITATION ONR173 \l 2057 </w:instrText>
          </w:r>
          <w:r w:rsidR="00E801C1">
            <w:fldChar w:fldCharType="separate"/>
          </w:r>
          <w:r w:rsidR="00E801C1" w:rsidRPr="00E801C1">
            <w:t>[6]</w:t>
          </w:r>
          <w:r w:rsidR="00E801C1">
            <w:fldChar w:fldCharType="end"/>
          </w:r>
        </w:sdtContent>
      </w:sdt>
      <w:r>
        <w:t xml:space="preserve">. </w:t>
      </w:r>
      <w:r w:rsidR="00E801C1">
        <w:br/>
      </w:r>
      <w:r>
        <w:t xml:space="preserve">This provides a reference set from which dutyholders should select those elements that are relevant to their particular organisation and operations; for example, content relating to nuclear premises may not be applicable to a location that holds only SNI. However, in all cases it is critical that the descriptions of consequence in this policy are used when interpreting the guidance in the </w:t>
      </w:r>
      <w:r w:rsidR="00E801C1">
        <w:t>appendix</w:t>
      </w:r>
      <w:r>
        <w:t xml:space="preserve">. </w:t>
      </w:r>
    </w:p>
    <w:p w14:paraId="37CFA89C" w14:textId="111594A4" w:rsidR="00253FDE" w:rsidRDefault="00253FDE" w:rsidP="00253FDE">
      <w:pPr>
        <w:pStyle w:val="Bulletlist1"/>
        <w:numPr>
          <w:ilvl w:val="0"/>
          <w:numId w:val="0"/>
        </w:numPr>
      </w:pPr>
      <w:r>
        <w:t>The activities of operating reactors, new build, decommissioning, fuel production and waste sites vary significantly as will the types and security classifications of information</w:t>
      </w:r>
      <w:r w:rsidRPr="00691E13">
        <w:t xml:space="preserve"> produced by them. By selecting the most relevant sections of the </w:t>
      </w:r>
      <w:r w:rsidR="00E801C1">
        <w:t>appendix</w:t>
      </w:r>
      <w:r w:rsidRPr="00691E13">
        <w:t>, dutyholders should be able to develop highly tailored guidance on the application of security classifications that includes specific examples of the types of information generated by their organisation that may contain SNI and the security classification it should be. This approach will help ensure that staff are well-trained, can exercise good judgement, take responsibility and are accountable for the information and associated assets they control, including all partner information</w:t>
      </w:r>
      <w:r>
        <w:t xml:space="preserve"> and are </w:t>
      </w:r>
      <w:r w:rsidRPr="00170D27">
        <w:t>competent to handle such information</w:t>
      </w:r>
      <w:r>
        <w:t>.</w:t>
      </w:r>
      <w:r w:rsidRPr="00D15364">
        <w:rPr>
          <w:noProof w:val="0"/>
        </w:rPr>
        <w:t xml:space="preserve"> </w:t>
      </w:r>
      <w:r>
        <w:br w:type="page"/>
      </w:r>
    </w:p>
    <w:p w14:paraId="34842A29" w14:textId="72C02BD5" w:rsidR="00253FDE" w:rsidRPr="003F16F2" w:rsidRDefault="00253FDE" w:rsidP="00253FDE">
      <w:pPr>
        <w:pStyle w:val="Heading1"/>
        <w:rPr>
          <w:color w:val="003300"/>
        </w:rPr>
      </w:pPr>
      <w:bookmarkStart w:id="15" w:name="_Toc180403440"/>
      <w:r>
        <w:rPr>
          <w:color w:val="003300"/>
        </w:rPr>
        <w:lastRenderedPageBreak/>
        <w:t>Appendix</w:t>
      </w:r>
      <w:r w:rsidR="00E801C1">
        <w:rPr>
          <w:color w:val="003300"/>
        </w:rPr>
        <w:t xml:space="preserve"> - </w:t>
      </w:r>
      <w:r w:rsidRPr="003F16F2">
        <w:rPr>
          <w:color w:val="003300"/>
        </w:rPr>
        <w:t xml:space="preserve">Classification </w:t>
      </w:r>
      <w:r>
        <w:rPr>
          <w:color w:val="003300"/>
        </w:rPr>
        <w:t>g</w:t>
      </w:r>
      <w:r w:rsidRPr="003F16F2">
        <w:rPr>
          <w:color w:val="003300"/>
        </w:rPr>
        <w:t>uidance</w:t>
      </w:r>
      <w:bookmarkEnd w:id="15"/>
    </w:p>
    <w:p w14:paraId="4D52374B" w14:textId="4D29BAAD" w:rsidR="00253FDE" w:rsidRPr="00E801C1" w:rsidRDefault="00253FDE" w:rsidP="00E801C1">
      <w:pPr>
        <w:rPr>
          <w:b/>
          <w:bCs/>
        </w:rPr>
      </w:pPr>
      <w:r w:rsidRPr="00E801C1">
        <w:rPr>
          <w:b/>
          <w:bCs/>
        </w:rPr>
        <w:t xml:space="preserve">Note for authors of classification schemes </w:t>
      </w:r>
    </w:p>
    <w:p w14:paraId="66200E43" w14:textId="77777777" w:rsidR="00253FDE" w:rsidRDefault="00253FDE" w:rsidP="00253FDE">
      <w:r w:rsidRPr="00CF73BA">
        <w:t>The following guidance is intended to assist authors of classification schemes to identify documents that may contain SNI</w:t>
      </w:r>
      <w:r w:rsidRPr="00027A81">
        <w:t xml:space="preserve"> and support </w:t>
      </w:r>
      <w:r w:rsidRPr="00CF73BA">
        <w:t>the establishment of mechanisms and processes to ensure</w:t>
      </w:r>
      <w:r>
        <w:t xml:space="preserve"> </w:t>
      </w:r>
      <w:r w:rsidRPr="00CF73BA">
        <w:t xml:space="preserve">assets are properly classified in accordance with </w:t>
      </w:r>
      <w:r>
        <w:t>this policy</w:t>
      </w:r>
      <w:r w:rsidRPr="00884167">
        <w:t xml:space="preserve"> and are appropriately protected</w:t>
      </w:r>
      <w:r w:rsidRPr="00A84500">
        <w:t xml:space="preserve">. </w:t>
      </w:r>
    </w:p>
    <w:p w14:paraId="76D00E42" w14:textId="03F01099" w:rsidR="00253FDE" w:rsidRDefault="00253FDE" w:rsidP="00253FDE">
      <w:r>
        <w:t xml:space="preserve">This </w:t>
      </w:r>
      <w:r w:rsidR="00E801C1">
        <w:t>appendix</w:t>
      </w:r>
      <w:r w:rsidRPr="00FD5AB5">
        <w:t xml:space="preserve"> reflects an outcome</w:t>
      </w:r>
      <w:r w:rsidR="00E801C1">
        <w:t>-</w:t>
      </w:r>
      <w:r w:rsidRPr="00FD5AB5">
        <w:t>focused regulatory framework that sets out the principles with which dutyholders are required to comply and does not constrain dutyholders to a prescriptive set of instructions</w:t>
      </w:r>
      <w:r>
        <w:t xml:space="preserve">. It </w:t>
      </w:r>
      <w:r w:rsidRPr="00A2139F">
        <w:t>is intentionally high</w:t>
      </w:r>
      <w:r w:rsidR="00E801C1">
        <w:t>-</w:t>
      </w:r>
      <w:r w:rsidRPr="00A2139F">
        <w:t>level and is intended to be used by dutyholders for the development of their own detailed classification schemes tailored to meet their operations and inventories.</w:t>
      </w:r>
    </w:p>
    <w:p w14:paraId="26BFE5BA" w14:textId="77777777" w:rsidR="00253FDE" w:rsidRPr="00A84500" w:rsidRDefault="00253FDE" w:rsidP="00253FDE">
      <w:r>
        <w:t>T</w:t>
      </w:r>
      <w:r w:rsidRPr="00A84500">
        <w:t>he main criteria to be used in assigning specific classifications is the policy in the main document</w:t>
      </w:r>
      <w:r>
        <w:t>, repeated here</w:t>
      </w:r>
      <w:r w:rsidRPr="00A84500">
        <w:t xml:space="preserve">: </w:t>
      </w:r>
    </w:p>
    <w:p w14:paraId="2ADCCBD7" w14:textId="77777777" w:rsidR="00253FDE" w:rsidRPr="00A84500" w:rsidRDefault="00253FDE" w:rsidP="00253FDE">
      <w:pPr>
        <w:pStyle w:val="Bulletlist1"/>
      </w:pPr>
      <w:r w:rsidRPr="00A84500">
        <w:t>For information at OFFICIAL-SENSITIVE:SNI, this typically applies to less detailed information concerning Category I – III NM or Vital Areas (VAs)</w:t>
      </w:r>
      <w:r w:rsidRPr="00A84500">
        <w:rPr>
          <w:vertAlign w:val="superscript"/>
        </w:rPr>
        <w:footnoteReference w:id="6"/>
      </w:r>
      <w:r w:rsidRPr="00A84500">
        <w:t xml:space="preserve"> that is only likely to affect a single layer of defence in depth and/or be of minimal consequence to the overall security effect. Most sensitive information concerning Category IV NM, ORM, Baseline Areas or protective measures for SNI will also be OFFICIAL-SENSITIVE.</w:t>
      </w:r>
    </w:p>
    <w:p w14:paraId="7384C494" w14:textId="77777777" w:rsidR="00253FDE" w:rsidRPr="00A84500" w:rsidRDefault="00253FDE" w:rsidP="00253FDE">
      <w:pPr>
        <w:pStyle w:val="Bulletlist1"/>
      </w:pPr>
      <w:r w:rsidRPr="00A84500">
        <w:t>For information at SECRET it typically applies to highly detailed and exploitable information regarding Category I</w:t>
      </w:r>
      <w:r>
        <w:t>/II</w:t>
      </w:r>
      <w:r w:rsidRPr="00A84500">
        <w:t xml:space="preserve"> NM and VAs which could facilitate attack planning by affecting several layers of defence in depth and/or jeopardising an effective security response. There may also be instances where details of protective measures for SNI are SECRET.</w:t>
      </w:r>
    </w:p>
    <w:p w14:paraId="47765AED" w14:textId="77777777" w:rsidR="00253FDE" w:rsidRPr="00E96D0E" w:rsidRDefault="00253FDE" w:rsidP="00253FDE">
      <w:r w:rsidRPr="00A84500">
        <w:t>ONR remain available for the provision of advice and guidance to support the development of classification schemes.</w:t>
      </w:r>
    </w:p>
    <w:p w14:paraId="01ED2982" w14:textId="77777777" w:rsidR="00E801C1" w:rsidRDefault="00E801C1" w:rsidP="00E801C1">
      <w:pPr>
        <w:spacing w:before="60" w:after="60"/>
        <w:rPr>
          <w:rFonts w:asciiTheme="minorHAnsi" w:hAnsiTheme="minorHAnsi" w:cstheme="minorHAnsi"/>
          <w:b/>
          <w:szCs w:val="24"/>
        </w:rPr>
        <w:sectPr w:rsidR="00E801C1" w:rsidSect="00253FDE">
          <w:pgSz w:w="11906" w:h="16838" w:code="9"/>
          <w:pgMar w:top="1440" w:right="1440" w:bottom="1440" w:left="1440" w:header="397" w:footer="397" w:gutter="0"/>
          <w:cols w:space="312"/>
          <w:docGrid w:linePitch="360"/>
        </w:sectPr>
      </w:pPr>
    </w:p>
    <w:tbl>
      <w:tblPr>
        <w:tblStyle w:val="ONRTable1"/>
        <w:tblW w:w="5000" w:type="pct"/>
        <w:tblInd w:w="0" w:type="dxa"/>
        <w:tblLook w:val="01E0" w:firstRow="1" w:lastRow="1" w:firstColumn="1" w:lastColumn="1" w:noHBand="0" w:noVBand="0"/>
      </w:tblPr>
      <w:tblGrid>
        <w:gridCol w:w="837"/>
        <w:gridCol w:w="6549"/>
        <w:gridCol w:w="1640"/>
      </w:tblGrid>
      <w:tr w:rsidR="008560CF" w:rsidRPr="00366A2D" w14:paraId="4FAFDC46" w14:textId="77777777" w:rsidTr="008560CF">
        <w:trPr>
          <w:cnfStyle w:val="100000000000" w:firstRow="1" w:lastRow="0" w:firstColumn="0" w:lastColumn="0" w:oddVBand="0" w:evenVBand="0" w:oddHBand="0" w:evenHBand="0" w:firstRowFirstColumn="0" w:firstRowLastColumn="0" w:lastRowFirstColumn="0" w:lastRowLastColumn="0"/>
          <w:cantSplit/>
          <w:tblHeader/>
        </w:trPr>
        <w:tc>
          <w:tcPr>
            <w:tcW w:w="4092" w:type="pct"/>
            <w:gridSpan w:val="2"/>
            <w:hideMark/>
          </w:tcPr>
          <w:p w14:paraId="787258A0" w14:textId="77777777" w:rsidR="008560CF" w:rsidRPr="00366A2D" w:rsidRDefault="008560CF" w:rsidP="00E801C1">
            <w:pPr>
              <w:spacing w:before="60" w:after="60"/>
              <w:rPr>
                <w:rFonts w:asciiTheme="minorHAnsi" w:eastAsia="Times New Roman" w:hAnsiTheme="minorHAnsi" w:cstheme="minorHAnsi"/>
                <w:bCs/>
                <w:szCs w:val="24"/>
                <w:lang w:eastAsia="en-GB" w:bidi="ar-SA"/>
              </w:rPr>
            </w:pPr>
            <w:bookmarkStart w:id="16" w:name="_Toc498675944"/>
            <w:r w:rsidRPr="00366A2D">
              <w:rPr>
                <w:rFonts w:asciiTheme="minorHAnsi" w:hAnsiTheme="minorHAnsi" w:cstheme="minorHAnsi"/>
                <w:b w:val="0"/>
                <w:bCs/>
                <w:szCs w:val="24"/>
              </w:rPr>
              <w:lastRenderedPageBreak/>
              <w:t>FSyP 1 – Leadership and Management of Security</w:t>
            </w:r>
            <w:bookmarkEnd w:id="16"/>
            <w:r w:rsidRPr="00366A2D">
              <w:rPr>
                <w:rFonts w:asciiTheme="minorHAnsi" w:hAnsiTheme="minorHAnsi" w:cstheme="minorHAnsi"/>
                <w:b w:val="0"/>
                <w:bCs/>
                <w:szCs w:val="24"/>
              </w:rPr>
              <w:t xml:space="preserve"> </w:t>
            </w:r>
          </w:p>
        </w:tc>
        <w:tc>
          <w:tcPr>
            <w:tcW w:w="908" w:type="pct"/>
          </w:tcPr>
          <w:p w14:paraId="4A4B8EBE" w14:textId="6AB7F28A" w:rsidR="008560CF" w:rsidRPr="00366A2D" w:rsidRDefault="008560CF" w:rsidP="00E801C1">
            <w:pPr>
              <w:spacing w:before="60" w:after="60"/>
              <w:rPr>
                <w:rFonts w:asciiTheme="minorHAnsi" w:eastAsia="Times New Roman" w:hAnsiTheme="minorHAnsi" w:cstheme="minorHAnsi"/>
                <w:b w:val="0"/>
                <w:bCs/>
                <w:szCs w:val="24"/>
                <w:lang w:eastAsia="en-GB" w:bidi="ar-SA"/>
              </w:rPr>
            </w:pPr>
            <w:r w:rsidRPr="00366A2D">
              <w:rPr>
                <w:rFonts w:asciiTheme="minorHAnsi" w:eastAsia="Times New Roman" w:hAnsiTheme="minorHAnsi" w:cstheme="minorHAnsi"/>
                <w:b w:val="0"/>
                <w:bCs/>
                <w:szCs w:val="24"/>
                <w:lang w:eastAsia="en-GB" w:bidi="ar-SA"/>
              </w:rPr>
              <w:t>Classification</w:t>
            </w:r>
          </w:p>
        </w:tc>
      </w:tr>
      <w:tr w:rsidR="008560CF" w:rsidRPr="008560CF" w14:paraId="729BCDD9" w14:textId="77777777" w:rsidTr="008560CF">
        <w:trPr>
          <w:cantSplit/>
        </w:trPr>
        <w:tc>
          <w:tcPr>
            <w:tcW w:w="5000" w:type="pct"/>
            <w:gridSpan w:val="3"/>
            <w:hideMark/>
          </w:tcPr>
          <w:p w14:paraId="758B0DC2" w14:textId="3866AA2F" w:rsidR="004B296C" w:rsidRPr="008560CF" w:rsidRDefault="004B296C" w:rsidP="00E801C1">
            <w:pPr>
              <w:spacing w:before="60" w:after="60"/>
              <w:rPr>
                <w:rFonts w:asciiTheme="minorHAnsi" w:eastAsia="Times New Roman" w:hAnsiTheme="minorHAnsi" w:cstheme="minorHAnsi"/>
                <w:sz w:val="22"/>
                <w:lang w:eastAsia="en-GB" w:bidi="ar-SA"/>
              </w:rPr>
            </w:pPr>
            <w:bookmarkStart w:id="17" w:name="_Toc498675945"/>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1.1 – Governance and Leadership</w:t>
            </w:r>
            <w:bookmarkEnd w:id="17"/>
          </w:p>
        </w:tc>
      </w:tr>
      <w:tr w:rsidR="008560CF" w:rsidRPr="008560CF" w14:paraId="36513195" w14:textId="77777777" w:rsidTr="008560CF">
        <w:trPr>
          <w:cantSplit/>
        </w:trPr>
        <w:tc>
          <w:tcPr>
            <w:tcW w:w="464" w:type="pct"/>
          </w:tcPr>
          <w:p w14:paraId="5E350021"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1.1.1</w:t>
            </w:r>
          </w:p>
        </w:tc>
        <w:tc>
          <w:tcPr>
            <w:tcW w:w="3628" w:type="pct"/>
            <w:hideMark/>
          </w:tcPr>
          <w:p w14:paraId="3252ED65"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relating to governance and leadership, which may include nuclear security policy, management systems, terms of reference, roles and responsibilities, performance management systems etc.</w:t>
            </w:r>
          </w:p>
        </w:tc>
        <w:tc>
          <w:tcPr>
            <w:tcW w:w="908" w:type="pct"/>
            <w:hideMark/>
          </w:tcPr>
          <w:p w14:paraId="2BB76958"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14F97526" w14:textId="77777777" w:rsidTr="008560CF">
        <w:trPr>
          <w:cantSplit/>
        </w:trPr>
        <w:tc>
          <w:tcPr>
            <w:tcW w:w="5000" w:type="pct"/>
            <w:gridSpan w:val="3"/>
            <w:hideMark/>
          </w:tcPr>
          <w:p w14:paraId="52BF6E5B" w14:textId="5DC23125" w:rsidR="004B296C" w:rsidRPr="008560CF" w:rsidRDefault="004B296C" w:rsidP="00E801C1">
            <w:pPr>
              <w:spacing w:before="60" w:after="60"/>
              <w:rPr>
                <w:rFonts w:asciiTheme="minorHAnsi" w:eastAsia="Times New Roman" w:hAnsiTheme="minorHAnsi" w:cstheme="minorHAnsi"/>
                <w:sz w:val="22"/>
                <w:lang w:eastAsia="en-GB" w:bidi="ar-SA"/>
              </w:rPr>
            </w:pPr>
            <w:bookmarkStart w:id="18" w:name="_Toc498675946"/>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1.2 – Capable Organisation</w:t>
            </w:r>
            <w:bookmarkEnd w:id="18"/>
          </w:p>
        </w:tc>
      </w:tr>
      <w:tr w:rsidR="008560CF" w:rsidRPr="008560CF" w14:paraId="72FC1333" w14:textId="77777777" w:rsidTr="008560CF">
        <w:trPr>
          <w:cantSplit/>
        </w:trPr>
        <w:tc>
          <w:tcPr>
            <w:tcW w:w="464" w:type="pct"/>
          </w:tcPr>
          <w:p w14:paraId="410FEF59"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1.2.1</w:t>
            </w:r>
          </w:p>
        </w:tc>
        <w:tc>
          <w:tcPr>
            <w:tcW w:w="3628" w:type="pct"/>
          </w:tcPr>
          <w:p w14:paraId="1B5DFA2F"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relating to organisational and nuclear security capability, which may include roles and responsibilities staffing reviews succession planning, staff development budget information etc.</w:t>
            </w:r>
          </w:p>
        </w:tc>
        <w:tc>
          <w:tcPr>
            <w:tcW w:w="908" w:type="pct"/>
          </w:tcPr>
          <w:p w14:paraId="43CEE38B"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14E8CC9D" w14:textId="77777777" w:rsidTr="008560CF">
        <w:trPr>
          <w:cantSplit/>
        </w:trPr>
        <w:tc>
          <w:tcPr>
            <w:tcW w:w="464" w:type="pct"/>
            <w:vMerge w:val="restart"/>
          </w:tcPr>
          <w:p w14:paraId="4B798536" w14:textId="77777777" w:rsidR="00E801C1" w:rsidRPr="008560CF" w:rsidRDefault="00E801C1"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1.2.2</w:t>
            </w:r>
          </w:p>
        </w:tc>
        <w:tc>
          <w:tcPr>
            <w:tcW w:w="3628" w:type="pct"/>
          </w:tcPr>
          <w:p w14:paraId="0FF841DC" w14:textId="2FA64FF8" w:rsidR="00E801C1" w:rsidRPr="008560CF" w:rsidRDefault="00E801C1" w:rsidP="008560CF">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SNI relating to organisational capability may include nuclear baseline, security plans, security related documents, security reviews etc:</w:t>
            </w:r>
          </w:p>
        </w:tc>
        <w:tc>
          <w:tcPr>
            <w:tcW w:w="908" w:type="pct"/>
          </w:tcPr>
          <w:p w14:paraId="42035536" w14:textId="77777777" w:rsidR="00E801C1" w:rsidRPr="008560CF" w:rsidRDefault="00E801C1" w:rsidP="00E801C1">
            <w:pPr>
              <w:spacing w:before="60" w:after="60"/>
              <w:rPr>
                <w:rFonts w:asciiTheme="minorHAnsi" w:eastAsia="Times New Roman" w:hAnsiTheme="minorHAnsi" w:cstheme="minorHAnsi"/>
                <w:sz w:val="22"/>
                <w:lang w:eastAsia="en-GB" w:bidi="ar-SA"/>
              </w:rPr>
            </w:pPr>
          </w:p>
        </w:tc>
      </w:tr>
      <w:tr w:rsidR="008560CF" w:rsidRPr="008560CF" w14:paraId="5B33946F" w14:textId="77777777" w:rsidTr="008560CF">
        <w:trPr>
          <w:cantSplit/>
        </w:trPr>
        <w:tc>
          <w:tcPr>
            <w:tcW w:w="464" w:type="pct"/>
            <w:vMerge/>
          </w:tcPr>
          <w:p w14:paraId="41FE6E43" w14:textId="77777777" w:rsidR="00E801C1" w:rsidRPr="008560CF" w:rsidRDefault="00E801C1" w:rsidP="00E801C1">
            <w:pPr>
              <w:spacing w:before="60" w:after="60"/>
              <w:rPr>
                <w:rFonts w:asciiTheme="minorHAnsi" w:eastAsia="Times New Roman" w:hAnsiTheme="minorHAnsi" w:cstheme="minorHAnsi"/>
                <w:sz w:val="22"/>
                <w:lang w:eastAsia="en-GB" w:bidi="ar-SA"/>
              </w:rPr>
            </w:pPr>
          </w:p>
        </w:tc>
        <w:tc>
          <w:tcPr>
            <w:tcW w:w="3628" w:type="pct"/>
          </w:tcPr>
          <w:p w14:paraId="58D8E844" w14:textId="7E03FC64" w:rsidR="008560CF" w:rsidRPr="008560CF" w:rsidRDefault="00E801C1" w:rsidP="008560CF">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8" w:type="pct"/>
            <w:hideMark/>
          </w:tcPr>
          <w:p w14:paraId="14535013" w14:textId="77777777" w:rsidR="00E801C1" w:rsidRPr="008560CF" w:rsidRDefault="00E801C1"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6F68D3EC" w14:textId="77777777" w:rsidTr="008560CF">
        <w:trPr>
          <w:cantSplit/>
        </w:trPr>
        <w:tc>
          <w:tcPr>
            <w:tcW w:w="464" w:type="pct"/>
            <w:vMerge/>
          </w:tcPr>
          <w:p w14:paraId="64D2549E" w14:textId="77777777" w:rsidR="00E801C1" w:rsidRPr="008560CF" w:rsidRDefault="00E801C1" w:rsidP="00E801C1">
            <w:pPr>
              <w:spacing w:before="60" w:after="60"/>
              <w:rPr>
                <w:rFonts w:asciiTheme="minorHAnsi" w:eastAsia="Times New Roman" w:hAnsiTheme="minorHAnsi" w:cstheme="minorHAnsi"/>
                <w:sz w:val="22"/>
                <w:lang w:eastAsia="en-GB" w:bidi="ar-SA"/>
              </w:rPr>
            </w:pPr>
          </w:p>
        </w:tc>
        <w:tc>
          <w:tcPr>
            <w:tcW w:w="3628" w:type="pct"/>
          </w:tcPr>
          <w:p w14:paraId="7405199F" w14:textId="49C74DE4" w:rsidR="008560CF" w:rsidRPr="008560CF" w:rsidRDefault="00E801C1" w:rsidP="008560CF">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 xml:space="preserve">Very sensitive information where compromise could </w:t>
            </w:r>
            <w:r w:rsidRPr="008560CF">
              <w:rPr>
                <w:rFonts w:asciiTheme="minorHAnsi" w:hAnsiTheme="minorHAnsi" w:cstheme="minorHAnsi"/>
                <w:sz w:val="22"/>
              </w:rPr>
              <w:t>threaten life (an individual or group) or seriously damage the UK’s national or nuclear security</w:t>
            </w:r>
            <w:r w:rsidRPr="008560CF">
              <w:rPr>
                <w:rFonts w:asciiTheme="minorHAnsi" w:hAnsiTheme="minorHAnsi" w:cstheme="minorHAnsi"/>
                <w:sz w:val="22"/>
                <w:lang w:eastAsia="en-GB" w:bidi="ar-SA"/>
              </w:rPr>
              <w:t>.</w:t>
            </w:r>
          </w:p>
        </w:tc>
        <w:tc>
          <w:tcPr>
            <w:tcW w:w="908" w:type="pct"/>
          </w:tcPr>
          <w:p w14:paraId="02B4DC01" w14:textId="77777777" w:rsidR="00E801C1" w:rsidRPr="008560CF" w:rsidRDefault="00E801C1"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r w:rsidR="008560CF" w:rsidRPr="008560CF" w14:paraId="73467834" w14:textId="77777777" w:rsidTr="008560CF">
        <w:trPr>
          <w:cantSplit/>
        </w:trPr>
        <w:tc>
          <w:tcPr>
            <w:tcW w:w="5000" w:type="pct"/>
            <w:gridSpan w:val="3"/>
            <w:hideMark/>
          </w:tcPr>
          <w:p w14:paraId="23970278" w14:textId="77777777" w:rsidR="00253FDE" w:rsidRPr="008560CF" w:rsidRDefault="00253FDE" w:rsidP="00E801C1">
            <w:pPr>
              <w:spacing w:before="60" w:after="60"/>
              <w:rPr>
                <w:rFonts w:asciiTheme="minorHAnsi" w:hAnsiTheme="minorHAnsi" w:cstheme="minorHAnsi"/>
                <w:sz w:val="22"/>
                <w:lang w:eastAsia="en-GB" w:bidi="ar-SA"/>
              </w:rPr>
            </w:pPr>
            <w:bookmarkStart w:id="19" w:name="_Toc498675947"/>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1.3 – Decision Making</w:t>
            </w:r>
            <w:bookmarkEnd w:id="19"/>
          </w:p>
        </w:tc>
      </w:tr>
      <w:tr w:rsidR="008560CF" w:rsidRPr="008560CF" w14:paraId="274324CE" w14:textId="77777777" w:rsidTr="008560CF">
        <w:trPr>
          <w:cantSplit/>
        </w:trPr>
        <w:tc>
          <w:tcPr>
            <w:tcW w:w="464" w:type="pct"/>
          </w:tcPr>
          <w:p w14:paraId="717E4F16"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1.3.1</w:t>
            </w:r>
          </w:p>
        </w:tc>
        <w:tc>
          <w:tcPr>
            <w:tcW w:w="3628" w:type="pct"/>
            <w:hideMark/>
          </w:tcPr>
          <w:p w14:paraId="15ACE3EC"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relating to security decision making, which may include decision makers, processes, and information flows etc.</w:t>
            </w:r>
          </w:p>
        </w:tc>
        <w:tc>
          <w:tcPr>
            <w:tcW w:w="908" w:type="pct"/>
            <w:hideMark/>
          </w:tcPr>
          <w:p w14:paraId="24B0A1FD"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0CEF9ED1" w14:textId="77777777" w:rsidTr="008560CF">
        <w:trPr>
          <w:cantSplit/>
        </w:trPr>
        <w:tc>
          <w:tcPr>
            <w:tcW w:w="464" w:type="pct"/>
            <w:vMerge w:val="restart"/>
          </w:tcPr>
          <w:p w14:paraId="55E7A7A9" w14:textId="77777777" w:rsidR="00E801C1" w:rsidRPr="008560CF" w:rsidRDefault="00E801C1"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1.3.2</w:t>
            </w:r>
          </w:p>
        </w:tc>
        <w:tc>
          <w:tcPr>
            <w:tcW w:w="3628" w:type="pct"/>
          </w:tcPr>
          <w:p w14:paraId="3317DA68" w14:textId="77777777" w:rsidR="00E801C1" w:rsidRPr="008560CF" w:rsidRDefault="00E801C1"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SNI relating to decision making may include documents detailing security options, uncertainties, conservatism, detailed operational requirements, concept of operations etc.</w:t>
            </w:r>
          </w:p>
        </w:tc>
        <w:tc>
          <w:tcPr>
            <w:tcW w:w="908" w:type="pct"/>
            <w:hideMark/>
          </w:tcPr>
          <w:p w14:paraId="3522A3B8" w14:textId="77777777" w:rsidR="00E801C1" w:rsidRPr="008560CF" w:rsidRDefault="00E801C1" w:rsidP="00E801C1">
            <w:pPr>
              <w:spacing w:before="60" w:after="60"/>
              <w:rPr>
                <w:rFonts w:asciiTheme="minorHAnsi" w:eastAsia="Times New Roman" w:hAnsiTheme="minorHAnsi" w:cstheme="minorHAnsi"/>
                <w:sz w:val="22"/>
                <w:lang w:eastAsia="en-GB" w:bidi="ar-SA"/>
              </w:rPr>
            </w:pPr>
          </w:p>
        </w:tc>
      </w:tr>
      <w:tr w:rsidR="008560CF" w:rsidRPr="008560CF" w14:paraId="215DAAA9" w14:textId="77777777" w:rsidTr="008560CF">
        <w:trPr>
          <w:cantSplit/>
        </w:trPr>
        <w:tc>
          <w:tcPr>
            <w:tcW w:w="464" w:type="pct"/>
            <w:vMerge/>
          </w:tcPr>
          <w:p w14:paraId="5FAC6AA7" w14:textId="77777777" w:rsidR="00E801C1" w:rsidRPr="008560CF" w:rsidRDefault="00E801C1" w:rsidP="00E801C1">
            <w:pPr>
              <w:spacing w:before="60" w:after="60"/>
              <w:rPr>
                <w:rFonts w:asciiTheme="minorHAnsi" w:eastAsia="Times New Roman" w:hAnsiTheme="minorHAnsi" w:cstheme="minorHAnsi"/>
                <w:sz w:val="22"/>
                <w:lang w:eastAsia="en-GB" w:bidi="ar-SA"/>
              </w:rPr>
            </w:pPr>
          </w:p>
        </w:tc>
        <w:tc>
          <w:tcPr>
            <w:tcW w:w="3628" w:type="pct"/>
          </w:tcPr>
          <w:p w14:paraId="74846161" w14:textId="77777777" w:rsidR="00E801C1" w:rsidRPr="008560CF" w:rsidRDefault="00E801C1"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8" w:type="pct"/>
            <w:hideMark/>
          </w:tcPr>
          <w:p w14:paraId="1598C8D7" w14:textId="77777777" w:rsidR="00E801C1" w:rsidRPr="008560CF" w:rsidRDefault="00E801C1"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32BDDBFF" w14:textId="77777777" w:rsidTr="008560CF">
        <w:trPr>
          <w:cantSplit/>
        </w:trPr>
        <w:tc>
          <w:tcPr>
            <w:tcW w:w="464" w:type="pct"/>
            <w:vMerge/>
          </w:tcPr>
          <w:p w14:paraId="2168E4F8" w14:textId="77777777" w:rsidR="00E801C1" w:rsidRPr="008560CF" w:rsidRDefault="00E801C1" w:rsidP="00E801C1">
            <w:pPr>
              <w:spacing w:before="60" w:after="60"/>
              <w:rPr>
                <w:rFonts w:asciiTheme="minorHAnsi" w:eastAsia="Times New Roman" w:hAnsiTheme="minorHAnsi" w:cstheme="minorHAnsi"/>
                <w:sz w:val="22"/>
                <w:lang w:eastAsia="en-GB" w:bidi="ar-SA"/>
              </w:rPr>
            </w:pPr>
          </w:p>
        </w:tc>
        <w:tc>
          <w:tcPr>
            <w:tcW w:w="3628" w:type="pct"/>
          </w:tcPr>
          <w:p w14:paraId="5024D430" w14:textId="0B2506F7" w:rsidR="008560CF" w:rsidRPr="008560CF" w:rsidRDefault="00E801C1" w:rsidP="008560CF">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tc>
        <w:tc>
          <w:tcPr>
            <w:tcW w:w="908" w:type="pct"/>
          </w:tcPr>
          <w:p w14:paraId="2FED03F7" w14:textId="77777777" w:rsidR="00E801C1" w:rsidRPr="008560CF" w:rsidRDefault="00E801C1"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r w:rsidR="008560CF" w:rsidRPr="008560CF" w14:paraId="733FB15E" w14:textId="77777777" w:rsidTr="008560CF">
        <w:trPr>
          <w:cantSplit/>
        </w:trPr>
        <w:tc>
          <w:tcPr>
            <w:tcW w:w="5000" w:type="pct"/>
            <w:gridSpan w:val="3"/>
            <w:hideMark/>
          </w:tcPr>
          <w:p w14:paraId="38AD8121" w14:textId="77777777" w:rsidR="00253FDE" w:rsidRPr="008560CF" w:rsidRDefault="00253FDE" w:rsidP="00E801C1">
            <w:pPr>
              <w:spacing w:before="60" w:after="60"/>
              <w:rPr>
                <w:rFonts w:asciiTheme="minorHAnsi" w:hAnsiTheme="minorHAnsi" w:cstheme="minorHAnsi"/>
                <w:sz w:val="22"/>
                <w:lang w:eastAsia="en-GB" w:bidi="ar-SA"/>
              </w:rPr>
            </w:pPr>
            <w:bookmarkStart w:id="20" w:name="_Toc498675948"/>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1.4 – Organisational Learning</w:t>
            </w:r>
            <w:bookmarkEnd w:id="20"/>
          </w:p>
        </w:tc>
      </w:tr>
      <w:tr w:rsidR="008560CF" w:rsidRPr="008560CF" w14:paraId="2C5D37B7" w14:textId="77777777" w:rsidTr="008560CF">
        <w:trPr>
          <w:cantSplit/>
        </w:trPr>
        <w:tc>
          <w:tcPr>
            <w:tcW w:w="464" w:type="pct"/>
          </w:tcPr>
          <w:p w14:paraId="6D844FF1"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1.4.1</w:t>
            </w:r>
          </w:p>
        </w:tc>
        <w:tc>
          <w:tcPr>
            <w:tcW w:w="3628" w:type="pct"/>
            <w:hideMark/>
          </w:tcPr>
          <w:p w14:paraId="07FBC6DE"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relating to organisational learning for security, which may include policies, procedures, processes, procedures non-sensitive learning from experience reports etc.</w:t>
            </w:r>
          </w:p>
        </w:tc>
        <w:tc>
          <w:tcPr>
            <w:tcW w:w="908" w:type="pct"/>
            <w:hideMark/>
          </w:tcPr>
          <w:p w14:paraId="6108DEEE"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1EFF699D" w14:textId="77777777" w:rsidTr="008560CF">
        <w:trPr>
          <w:cantSplit/>
        </w:trPr>
        <w:tc>
          <w:tcPr>
            <w:tcW w:w="464" w:type="pct"/>
            <w:vMerge w:val="restart"/>
          </w:tcPr>
          <w:p w14:paraId="0F2F2680"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lastRenderedPageBreak/>
              <w:t>1.4.2</w:t>
            </w:r>
          </w:p>
        </w:tc>
        <w:tc>
          <w:tcPr>
            <w:tcW w:w="3628" w:type="pct"/>
          </w:tcPr>
          <w:p w14:paraId="1EE4A6C3"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SNI relating to organisational learning may include operational experience programmes, security event reports, investigation reports etc.</w:t>
            </w:r>
          </w:p>
        </w:tc>
        <w:tc>
          <w:tcPr>
            <w:tcW w:w="908" w:type="pct"/>
          </w:tcPr>
          <w:p w14:paraId="44DE4B66"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r>
      <w:tr w:rsidR="008560CF" w:rsidRPr="008560CF" w14:paraId="010D04AA" w14:textId="77777777" w:rsidTr="008560CF">
        <w:trPr>
          <w:cantSplit/>
        </w:trPr>
        <w:tc>
          <w:tcPr>
            <w:tcW w:w="464" w:type="pct"/>
            <w:vMerge/>
          </w:tcPr>
          <w:p w14:paraId="4783728B"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8" w:type="pct"/>
          </w:tcPr>
          <w:p w14:paraId="18CE156A"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rPr>
              <w:t>Sensitive information which could cause moderate damage if unintentionally disclosed or compromised (e.g. if lost, stolen or published in the media).</w:t>
            </w:r>
          </w:p>
        </w:tc>
        <w:tc>
          <w:tcPr>
            <w:tcW w:w="908" w:type="pct"/>
            <w:hideMark/>
          </w:tcPr>
          <w:p w14:paraId="351851F5"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79F8AEB3" w14:textId="77777777" w:rsidTr="008560CF">
        <w:trPr>
          <w:cantSplit/>
        </w:trPr>
        <w:tc>
          <w:tcPr>
            <w:tcW w:w="464" w:type="pct"/>
            <w:vMerge/>
          </w:tcPr>
          <w:p w14:paraId="6B78AD5F"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8" w:type="pct"/>
          </w:tcPr>
          <w:p w14:paraId="0F9FF786"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rPr>
              <w:t>Very sensitive information where compromise could threaten life (an individual or group) or seriously damage the UK’s national or nuclear security.</w:t>
            </w:r>
          </w:p>
        </w:tc>
        <w:tc>
          <w:tcPr>
            <w:tcW w:w="908" w:type="pct"/>
          </w:tcPr>
          <w:p w14:paraId="06E77ED0"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r w:rsidR="008560CF" w:rsidRPr="008560CF" w14:paraId="11D7DFB3" w14:textId="77777777" w:rsidTr="008560CF">
        <w:trPr>
          <w:cantSplit/>
        </w:trPr>
        <w:tc>
          <w:tcPr>
            <w:tcW w:w="5000" w:type="pct"/>
            <w:gridSpan w:val="3"/>
            <w:hideMark/>
          </w:tcPr>
          <w:p w14:paraId="5453119F" w14:textId="77777777" w:rsidR="00253FDE" w:rsidRPr="008560CF" w:rsidRDefault="00253FDE" w:rsidP="00E801C1">
            <w:pPr>
              <w:spacing w:before="60" w:after="60"/>
              <w:rPr>
                <w:rFonts w:asciiTheme="minorHAnsi" w:hAnsiTheme="minorHAnsi" w:cstheme="minorHAnsi"/>
                <w:sz w:val="22"/>
                <w:lang w:eastAsia="en-GB" w:bidi="ar-SA"/>
              </w:rPr>
            </w:pPr>
            <w:bookmarkStart w:id="21" w:name="_Toc498675949"/>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1.5 – Assurance Processes</w:t>
            </w:r>
            <w:bookmarkEnd w:id="21"/>
          </w:p>
        </w:tc>
      </w:tr>
      <w:tr w:rsidR="008560CF" w:rsidRPr="008560CF" w14:paraId="5D7AF184" w14:textId="77777777" w:rsidTr="008560CF">
        <w:trPr>
          <w:cantSplit/>
        </w:trPr>
        <w:tc>
          <w:tcPr>
            <w:tcW w:w="464" w:type="pct"/>
          </w:tcPr>
          <w:p w14:paraId="21AD8ED3"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1.5.1</w:t>
            </w:r>
          </w:p>
        </w:tc>
        <w:tc>
          <w:tcPr>
            <w:tcW w:w="3628" w:type="pct"/>
          </w:tcPr>
          <w:p w14:paraId="1A4D025B" w14:textId="73BF2CA0" w:rsidR="008560CF" w:rsidRPr="008560CF" w:rsidRDefault="00253FDE" w:rsidP="008560CF">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relating to assurance processes, which may include terms of reference, performance Indicators, frameworks, methodologies etc.</w:t>
            </w:r>
          </w:p>
        </w:tc>
        <w:tc>
          <w:tcPr>
            <w:tcW w:w="908" w:type="pct"/>
          </w:tcPr>
          <w:p w14:paraId="17601E66"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65743987" w14:textId="77777777" w:rsidTr="008560CF">
        <w:trPr>
          <w:cantSplit/>
        </w:trPr>
        <w:tc>
          <w:tcPr>
            <w:tcW w:w="464" w:type="pct"/>
            <w:vMerge w:val="restart"/>
          </w:tcPr>
          <w:p w14:paraId="50903336"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1.5.2</w:t>
            </w:r>
          </w:p>
        </w:tc>
        <w:tc>
          <w:tcPr>
            <w:tcW w:w="3628" w:type="pct"/>
            <w:hideMark/>
          </w:tcPr>
          <w:p w14:paraId="47098BCA" w14:textId="081FDF54" w:rsidR="008560CF" w:rsidRPr="008560CF" w:rsidRDefault="004B296C" w:rsidP="008560CF">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SNI relating to assurance processes may include detailed evidence-based assurance processes which may include security performance reports, internal inspection reports etc.</w:t>
            </w:r>
          </w:p>
        </w:tc>
        <w:tc>
          <w:tcPr>
            <w:tcW w:w="908" w:type="pct"/>
            <w:hideMark/>
          </w:tcPr>
          <w:p w14:paraId="544490CF"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r>
      <w:tr w:rsidR="008560CF" w:rsidRPr="008560CF" w14:paraId="29518386" w14:textId="77777777" w:rsidTr="008560CF">
        <w:trPr>
          <w:cantSplit/>
        </w:trPr>
        <w:tc>
          <w:tcPr>
            <w:tcW w:w="464" w:type="pct"/>
            <w:vMerge/>
          </w:tcPr>
          <w:p w14:paraId="36CFD233"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8" w:type="pct"/>
          </w:tcPr>
          <w:p w14:paraId="5DBFC66B" w14:textId="34A97005" w:rsidR="008560CF" w:rsidRPr="008560CF" w:rsidRDefault="004B296C" w:rsidP="008560CF">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(for example, if lost, stolen or published in the media).</w:t>
            </w:r>
          </w:p>
        </w:tc>
        <w:tc>
          <w:tcPr>
            <w:tcW w:w="908" w:type="pct"/>
            <w:hideMark/>
          </w:tcPr>
          <w:p w14:paraId="212BD32F"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27147569" w14:textId="77777777" w:rsidTr="008560CF">
        <w:trPr>
          <w:cantSplit/>
        </w:trPr>
        <w:tc>
          <w:tcPr>
            <w:tcW w:w="464" w:type="pct"/>
            <w:vMerge/>
          </w:tcPr>
          <w:p w14:paraId="372F702A"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8" w:type="pct"/>
          </w:tcPr>
          <w:p w14:paraId="31EED5D9" w14:textId="633B447C" w:rsidR="008560CF" w:rsidRPr="008560CF" w:rsidRDefault="004B296C" w:rsidP="008560CF">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tc>
        <w:tc>
          <w:tcPr>
            <w:tcW w:w="908" w:type="pct"/>
          </w:tcPr>
          <w:p w14:paraId="328EB076"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bl>
    <w:p w14:paraId="14523F9D" w14:textId="77777777" w:rsidR="008560CF" w:rsidRDefault="008560CF" w:rsidP="00E801C1">
      <w:pPr>
        <w:spacing w:before="60" w:after="60"/>
        <w:rPr>
          <w:rFonts w:asciiTheme="minorHAnsi" w:hAnsiTheme="minorHAnsi" w:cstheme="minorHAnsi"/>
          <w:b/>
          <w:bCs/>
          <w:sz w:val="22"/>
        </w:rPr>
        <w:sectPr w:rsidR="008560CF" w:rsidSect="00253FDE">
          <w:pgSz w:w="11906" w:h="16838" w:code="9"/>
          <w:pgMar w:top="1440" w:right="1440" w:bottom="1440" w:left="1440" w:header="397" w:footer="397" w:gutter="0"/>
          <w:cols w:space="312"/>
          <w:docGrid w:linePitch="360"/>
        </w:sectPr>
      </w:pPr>
      <w:bookmarkStart w:id="22" w:name="_Toc498675950"/>
    </w:p>
    <w:tbl>
      <w:tblPr>
        <w:tblStyle w:val="ONRTable1"/>
        <w:tblW w:w="5000" w:type="pct"/>
        <w:tblInd w:w="0" w:type="dxa"/>
        <w:tblLook w:val="01E0" w:firstRow="1" w:lastRow="1" w:firstColumn="1" w:lastColumn="1" w:noHBand="0" w:noVBand="0"/>
      </w:tblPr>
      <w:tblGrid>
        <w:gridCol w:w="839"/>
        <w:gridCol w:w="6546"/>
        <w:gridCol w:w="1641"/>
      </w:tblGrid>
      <w:tr w:rsidR="008560CF" w:rsidRPr="00366A2D" w14:paraId="45F5C0CC" w14:textId="77777777" w:rsidTr="008560CF">
        <w:trPr>
          <w:cnfStyle w:val="100000000000" w:firstRow="1" w:lastRow="0" w:firstColumn="0" w:lastColumn="0" w:oddVBand="0" w:evenVBand="0" w:oddHBand="0" w:evenHBand="0" w:firstRowFirstColumn="0" w:firstRowLastColumn="0" w:lastRowFirstColumn="0" w:lastRowLastColumn="0"/>
          <w:cantSplit/>
        </w:trPr>
        <w:tc>
          <w:tcPr>
            <w:tcW w:w="4091" w:type="pct"/>
            <w:gridSpan w:val="2"/>
            <w:hideMark/>
          </w:tcPr>
          <w:bookmarkEnd w:id="22"/>
          <w:p w14:paraId="5DBFDDDF" w14:textId="77777777" w:rsidR="008560CF" w:rsidRPr="00366A2D" w:rsidRDefault="008560CF" w:rsidP="00E801C1">
            <w:pPr>
              <w:spacing w:before="60" w:after="60"/>
              <w:rPr>
                <w:rFonts w:asciiTheme="minorHAnsi" w:eastAsia="Times New Roman" w:hAnsiTheme="minorHAnsi" w:cstheme="minorHAnsi"/>
                <w:bCs/>
                <w:caps/>
                <w:szCs w:val="24"/>
                <w:lang w:eastAsia="en-GB" w:bidi="ar-SA"/>
              </w:rPr>
            </w:pPr>
            <w:r w:rsidRPr="00366A2D">
              <w:rPr>
                <w:rFonts w:asciiTheme="minorHAnsi" w:hAnsiTheme="minorHAnsi" w:cstheme="minorHAnsi"/>
                <w:b w:val="0"/>
                <w:bCs/>
                <w:szCs w:val="24"/>
              </w:rPr>
              <w:t>FSyP 2 – Organisational Culture</w:t>
            </w:r>
          </w:p>
        </w:tc>
        <w:tc>
          <w:tcPr>
            <w:tcW w:w="909" w:type="pct"/>
          </w:tcPr>
          <w:p w14:paraId="56E90F1D" w14:textId="6A6D68F0" w:rsidR="008560CF" w:rsidRPr="00366A2D" w:rsidRDefault="008560CF" w:rsidP="008560CF">
            <w:pPr>
              <w:spacing w:before="60" w:after="60"/>
              <w:rPr>
                <w:rFonts w:asciiTheme="minorHAnsi" w:eastAsia="Times New Roman" w:hAnsiTheme="minorHAnsi" w:cstheme="minorHAnsi"/>
                <w:b w:val="0"/>
                <w:bCs/>
                <w:caps/>
                <w:szCs w:val="24"/>
                <w:lang w:eastAsia="en-GB" w:bidi="ar-SA"/>
              </w:rPr>
            </w:pPr>
            <w:r w:rsidRPr="00366A2D">
              <w:rPr>
                <w:rFonts w:asciiTheme="minorHAnsi" w:eastAsia="Times New Roman" w:hAnsiTheme="minorHAnsi" w:cstheme="minorHAnsi"/>
                <w:b w:val="0"/>
                <w:bCs/>
                <w:szCs w:val="24"/>
                <w:lang w:eastAsia="en-GB" w:bidi="ar-SA"/>
              </w:rPr>
              <w:t>Classification</w:t>
            </w:r>
          </w:p>
        </w:tc>
      </w:tr>
      <w:tr w:rsidR="008560CF" w:rsidRPr="008560CF" w14:paraId="226720C4" w14:textId="77777777" w:rsidTr="008560CF">
        <w:trPr>
          <w:cantSplit/>
        </w:trPr>
        <w:tc>
          <w:tcPr>
            <w:tcW w:w="5000" w:type="pct"/>
            <w:gridSpan w:val="3"/>
            <w:hideMark/>
          </w:tcPr>
          <w:p w14:paraId="0A16A93C" w14:textId="4101F854" w:rsidR="004B296C" w:rsidRPr="008560CF" w:rsidRDefault="004B296C" w:rsidP="00E801C1">
            <w:pPr>
              <w:spacing w:before="60" w:after="60"/>
              <w:rPr>
                <w:rFonts w:asciiTheme="minorHAnsi" w:eastAsia="Times New Roman" w:hAnsiTheme="minorHAnsi" w:cstheme="minorHAnsi"/>
                <w:sz w:val="22"/>
                <w:lang w:eastAsia="en-GB" w:bidi="ar-SA"/>
              </w:rPr>
            </w:pPr>
            <w:bookmarkStart w:id="23" w:name="_Toc498675951"/>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2.1 – Maintenance of a Robust Security Culture</w:t>
            </w:r>
            <w:bookmarkEnd w:id="23"/>
          </w:p>
        </w:tc>
      </w:tr>
      <w:tr w:rsidR="008560CF" w:rsidRPr="008560CF" w14:paraId="4C296F81" w14:textId="77777777" w:rsidTr="008560CF">
        <w:trPr>
          <w:cantSplit/>
        </w:trPr>
        <w:tc>
          <w:tcPr>
            <w:tcW w:w="465" w:type="pct"/>
          </w:tcPr>
          <w:p w14:paraId="6960BAFE"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2.1.1</w:t>
            </w:r>
          </w:p>
        </w:tc>
        <w:tc>
          <w:tcPr>
            <w:tcW w:w="3626" w:type="pct"/>
            <w:hideMark/>
          </w:tcPr>
          <w:p w14:paraId="3EF2A087" w14:textId="627250EF" w:rsidR="008560CF" w:rsidRPr="008560CF" w:rsidRDefault="00253FDE" w:rsidP="008560CF">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relating to the development and maintenance of a security culture, which may include policies, procedures, information management systems, security education material etc.</w:t>
            </w:r>
          </w:p>
        </w:tc>
        <w:tc>
          <w:tcPr>
            <w:tcW w:w="909" w:type="pct"/>
            <w:hideMark/>
          </w:tcPr>
          <w:p w14:paraId="7D05375A"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bl>
    <w:p w14:paraId="3BBCDAC9" w14:textId="77777777" w:rsidR="008560CF" w:rsidRDefault="008560CF" w:rsidP="00E801C1">
      <w:pPr>
        <w:spacing w:before="60" w:after="60"/>
        <w:rPr>
          <w:rFonts w:asciiTheme="minorHAnsi" w:hAnsiTheme="minorHAnsi" w:cstheme="minorHAnsi"/>
          <w:b/>
          <w:bCs/>
          <w:sz w:val="22"/>
        </w:rPr>
        <w:sectPr w:rsidR="008560CF" w:rsidSect="008560CF">
          <w:type w:val="continuous"/>
          <w:pgSz w:w="11906" w:h="16838" w:code="9"/>
          <w:pgMar w:top="1440" w:right="1440" w:bottom="1440" w:left="1440" w:header="397" w:footer="397" w:gutter="0"/>
          <w:cols w:space="312"/>
          <w:docGrid w:linePitch="360"/>
        </w:sectPr>
      </w:pPr>
      <w:bookmarkStart w:id="24" w:name="_Toc498675952"/>
    </w:p>
    <w:p w14:paraId="2853CE9F" w14:textId="77777777" w:rsidR="008560CF" w:rsidRDefault="008560CF" w:rsidP="00E801C1">
      <w:pPr>
        <w:spacing w:before="60" w:after="60"/>
        <w:rPr>
          <w:rFonts w:asciiTheme="minorHAnsi" w:hAnsiTheme="minorHAnsi" w:cstheme="minorHAnsi"/>
          <w:bCs/>
          <w:sz w:val="22"/>
        </w:rPr>
        <w:sectPr w:rsidR="008560CF" w:rsidSect="008560CF">
          <w:type w:val="continuous"/>
          <w:pgSz w:w="11906" w:h="16838" w:code="9"/>
          <w:pgMar w:top="1440" w:right="1440" w:bottom="1440" w:left="1440" w:header="397" w:footer="397" w:gutter="0"/>
          <w:cols w:space="312"/>
          <w:docGrid w:linePitch="360"/>
        </w:sectPr>
      </w:pPr>
    </w:p>
    <w:tbl>
      <w:tblPr>
        <w:tblStyle w:val="ONRTable1"/>
        <w:tblW w:w="5000" w:type="pct"/>
        <w:tblInd w:w="0" w:type="dxa"/>
        <w:tblLook w:val="01E0" w:firstRow="1" w:lastRow="1" w:firstColumn="1" w:lastColumn="1" w:noHBand="0" w:noVBand="0"/>
      </w:tblPr>
      <w:tblGrid>
        <w:gridCol w:w="839"/>
        <w:gridCol w:w="6546"/>
        <w:gridCol w:w="1641"/>
      </w:tblGrid>
      <w:tr w:rsidR="008560CF" w:rsidRPr="00366A2D" w14:paraId="73B70A93" w14:textId="77777777" w:rsidTr="008560CF">
        <w:trPr>
          <w:cnfStyle w:val="100000000000" w:firstRow="1" w:lastRow="0" w:firstColumn="0" w:lastColumn="0" w:oddVBand="0" w:evenVBand="0" w:oddHBand="0" w:evenHBand="0" w:firstRowFirstColumn="0" w:firstRowLastColumn="0" w:lastRowFirstColumn="0" w:lastRowLastColumn="0"/>
          <w:cantSplit/>
          <w:tblHeader/>
        </w:trPr>
        <w:tc>
          <w:tcPr>
            <w:tcW w:w="4091" w:type="pct"/>
            <w:gridSpan w:val="2"/>
            <w:hideMark/>
          </w:tcPr>
          <w:bookmarkEnd w:id="24"/>
          <w:p w14:paraId="28BD417C" w14:textId="77777777" w:rsidR="008560CF" w:rsidRPr="00366A2D" w:rsidRDefault="008560CF" w:rsidP="00E801C1">
            <w:pPr>
              <w:spacing w:before="60" w:after="60"/>
              <w:rPr>
                <w:rFonts w:asciiTheme="minorHAnsi" w:eastAsia="Times New Roman" w:hAnsiTheme="minorHAnsi" w:cstheme="minorHAnsi"/>
                <w:bCs/>
                <w:caps/>
                <w:szCs w:val="24"/>
                <w:lang w:eastAsia="en-GB" w:bidi="ar-SA"/>
              </w:rPr>
            </w:pPr>
            <w:r w:rsidRPr="00366A2D">
              <w:rPr>
                <w:rFonts w:asciiTheme="minorHAnsi" w:hAnsiTheme="minorHAnsi" w:cstheme="minorHAnsi"/>
                <w:b w:val="0"/>
                <w:bCs/>
                <w:szCs w:val="24"/>
              </w:rPr>
              <w:lastRenderedPageBreak/>
              <w:t>FSyP 3 – Management of Human Performance</w:t>
            </w:r>
          </w:p>
        </w:tc>
        <w:tc>
          <w:tcPr>
            <w:tcW w:w="909" w:type="pct"/>
          </w:tcPr>
          <w:p w14:paraId="6CA792C9" w14:textId="55F9534D" w:rsidR="008560CF" w:rsidRPr="00366A2D" w:rsidRDefault="008560CF" w:rsidP="00E801C1">
            <w:pPr>
              <w:spacing w:before="60" w:after="60"/>
              <w:rPr>
                <w:rFonts w:asciiTheme="minorHAnsi" w:eastAsia="Times New Roman" w:hAnsiTheme="minorHAnsi" w:cstheme="minorHAnsi"/>
                <w:b w:val="0"/>
                <w:bCs/>
                <w:caps/>
                <w:szCs w:val="24"/>
                <w:lang w:eastAsia="en-GB" w:bidi="ar-SA"/>
              </w:rPr>
            </w:pPr>
            <w:r w:rsidRPr="00366A2D">
              <w:rPr>
                <w:rFonts w:asciiTheme="minorHAnsi" w:eastAsia="Times New Roman" w:hAnsiTheme="minorHAnsi" w:cstheme="minorHAnsi"/>
                <w:b w:val="0"/>
                <w:bCs/>
                <w:szCs w:val="24"/>
                <w:lang w:eastAsia="en-GB" w:bidi="ar-SA"/>
              </w:rPr>
              <w:t>Classification</w:t>
            </w:r>
          </w:p>
        </w:tc>
      </w:tr>
      <w:tr w:rsidR="008560CF" w:rsidRPr="008560CF" w14:paraId="6E94226E" w14:textId="77777777" w:rsidTr="008560CF">
        <w:trPr>
          <w:cantSplit/>
        </w:trPr>
        <w:tc>
          <w:tcPr>
            <w:tcW w:w="5000" w:type="pct"/>
            <w:gridSpan w:val="3"/>
            <w:hideMark/>
          </w:tcPr>
          <w:p w14:paraId="1A20922A" w14:textId="0967A1E4" w:rsidR="004B296C" w:rsidRPr="008560CF" w:rsidRDefault="004B296C" w:rsidP="00E801C1">
            <w:pPr>
              <w:spacing w:before="60" w:after="60"/>
              <w:rPr>
                <w:rFonts w:asciiTheme="minorHAnsi" w:eastAsia="Times New Roman" w:hAnsiTheme="minorHAnsi" w:cstheme="minorHAnsi"/>
                <w:sz w:val="22"/>
                <w:lang w:eastAsia="en-GB" w:bidi="ar-SA"/>
              </w:rPr>
            </w:pPr>
            <w:bookmarkStart w:id="25" w:name="_Toc498675953"/>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3.1 – Identification and Analysis of Security Tasks and Roles</w:t>
            </w:r>
            <w:bookmarkEnd w:id="25"/>
          </w:p>
        </w:tc>
      </w:tr>
      <w:tr w:rsidR="008560CF" w:rsidRPr="008560CF" w14:paraId="5BFA0DA3" w14:textId="77777777" w:rsidTr="008560CF">
        <w:trPr>
          <w:cantSplit/>
        </w:trPr>
        <w:tc>
          <w:tcPr>
            <w:tcW w:w="465" w:type="pct"/>
          </w:tcPr>
          <w:p w14:paraId="43F9D99C"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3.1.1</w:t>
            </w:r>
          </w:p>
        </w:tc>
        <w:tc>
          <w:tcPr>
            <w:tcW w:w="3626" w:type="pct"/>
            <w:hideMark/>
          </w:tcPr>
          <w:p w14:paraId="631E150E"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related to the identification and analysis of security tasks and roles which may include policies, methodologies and procedures, roles, and responsibilities for conducting analyses of tasks.</w:t>
            </w:r>
          </w:p>
        </w:tc>
        <w:tc>
          <w:tcPr>
            <w:tcW w:w="909" w:type="pct"/>
            <w:hideMark/>
          </w:tcPr>
          <w:p w14:paraId="141A9CB2"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4D6B8778" w14:textId="77777777" w:rsidTr="008560CF">
        <w:trPr>
          <w:cantSplit/>
        </w:trPr>
        <w:tc>
          <w:tcPr>
            <w:tcW w:w="465" w:type="pct"/>
            <w:vMerge w:val="restart"/>
          </w:tcPr>
          <w:p w14:paraId="22EA102A"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3.1.2</w:t>
            </w:r>
          </w:p>
        </w:tc>
        <w:tc>
          <w:tcPr>
            <w:tcW w:w="3626" w:type="pct"/>
            <w:hideMark/>
          </w:tcPr>
          <w:p w14:paraId="087AEEF5"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SNI relating to specific tasks important to nuclear security and the ways in which they are undertaken. Metrics which identify the relative importance of specific tasks and roles that deliver security functions. Information drawn from the analysis of tasks important to security that identifies potential routes to human error and the failure to deliver security functions.</w:t>
            </w:r>
          </w:p>
        </w:tc>
        <w:tc>
          <w:tcPr>
            <w:tcW w:w="909" w:type="pct"/>
            <w:hideMark/>
          </w:tcPr>
          <w:p w14:paraId="6F2DDC5B"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r>
      <w:tr w:rsidR="008560CF" w:rsidRPr="008560CF" w14:paraId="3F9D0B4D" w14:textId="77777777" w:rsidTr="008560CF">
        <w:trPr>
          <w:cantSplit/>
        </w:trPr>
        <w:tc>
          <w:tcPr>
            <w:tcW w:w="465" w:type="pct"/>
            <w:vMerge/>
          </w:tcPr>
          <w:p w14:paraId="3138DC8A" w14:textId="77777777" w:rsidR="004B296C" w:rsidRPr="008560CF" w:rsidRDefault="004B296C" w:rsidP="00E801C1">
            <w:pPr>
              <w:spacing w:before="60" w:after="60"/>
              <w:rPr>
                <w:rFonts w:asciiTheme="minorHAnsi" w:eastAsia="Times New Roman" w:hAnsiTheme="minorHAnsi" w:cstheme="minorHAnsi"/>
                <w:sz w:val="22"/>
                <w:lang w:eastAsia="en-GB" w:bidi="ar-SA"/>
              </w:rPr>
            </w:pPr>
            <w:bookmarkStart w:id="26" w:name="_Hlk156203709"/>
          </w:p>
        </w:tc>
        <w:tc>
          <w:tcPr>
            <w:tcW w:w="3626" w:type="pct"/>
          </w:tcPr>
          <w:p w14:paraId="6D715AB8"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9" w:type="pct"/>
            <w:hideMark/>
          </w:tcPr>
          <w:p w14:paraId="30B234B7"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36CE8EE1" w14:textId="77777777" w:rsidTr="008560CF">
        <w:trPr>
          <w:cantSplit/>
        </w:trPr>
        <w:tc>
          <w:tcPr>
            <w:tcW w:w="465" w:type="pct"/>
            <w:vMerge/>
          </w:tcPr>
          <w:p w14:paraId="06C75301"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27C81286" w14:textId="2833F4FF" w:rsidR="008560CF" w:rsidRPr="008560CF" w:rsidRDefault="004B296C" w:rsidP="008560CF">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tc>
        <w:tc>
          <w:tcPr>
            <w:tcW w:w="909" w:type="pct"/>
          </w:tcPr>
          <w:p w14:paraId="417B6B42"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r w:rsidR="008560CF" w:rsidRPr="008560CF" w14:paraId="798A4DF7" w14:textId="77777777" w:rsidTr="008560CF">
        <w:trPr>
          <w:cantSplit/>
        </w:trPr>
        <w:tc>
          <w:tcPr>
            <w:tcW w:w="5000" w:type="pct"/>
            <w:gridSpan w:val="3"/>
            <w:hideMark/>
          </w:tcPr>
          <w:p w14:paraId="5D9A0A4F" w14:textId="51CBDDF0" w:rsidR="004B296C" w:rsidRPr="008560CF" w:rsidRDefault="004B296C" w:rsidP="00E801C1">
            <w:pPr>
              <w:spacing w:before="60" w:after="60"/>
              <w:rPr>
                <w:rFonts w:asciiTheme="minorHAnsi" w:eastAsia="Times New Roman" w:hAnsiTheme="minorHAnsi" w:cstheme="minorHAnsi"/>
                <w:sz w:val="22"/>
                <w:lang w:eastAsia="en-GB" w:bidi="ar-SA"/>
              </w:rPr>
            </w:pPr>
            <w:bookmarkStart w:id="27" w:name="_Toc498675954"/>
            <w:bookmarkEnd w:id="26"/>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3.2 – Sufficiency and Competence of Persons Delivering Security</w:t>
            </w:r>
            <w:bookmarkEnd w:id="27"/>
          </w:p>
        </w:tc>
      </w:tr>
      <w:tr w:rsidR="008560CF" w:rsidRPr="008560CF" w14:paraId="61AA4FBE" w14:textId="77777777" w:rsidTr="008560CF">
        <w:trPr>
          <w:cantSplit/>
        </w:trPr>
        <w:tc>
          <w:tcPr>
            <w:tcW w:w="465" w:type="pct"/>
          </w:tcPr>
          <w:p w14:paraId="49DDF1B1"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3.2.1</w:t>
            </w:r>
          </w:p>
        </w:tc>
        <w:tc>
          <w:tcPr>
            <w:tcW w:w="3626" w:type="pct"/>
            <w:hideMark/>
          </w:tcPr>
          <w:p w14:paraId="628E01F8"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related to the identification of required staffing numbers, organisation and competency for staff delivering tasks. This may include policies, processes and methods of analysis including activity, task and workload analysis. The general arrangement of the competence assurance function and the methods employed to systematically analyse tasks in order to identify training needs and the associated planning, conduct and assessment of training and trainees.</w:t>
            </w:r>
          </w:p>
        </w:tc>
        <w:tc>
          <w:tcPr>
            <w:tcW w:w="909" w:type="pct"/>
            <w:hideMark/>
          </w:tcPr>
          <w:p w14:paraId="7CEE6BCB"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r w:rsidRPr="008560CF">
              <w:rPr>
                <w:rFonts w:asciiTheme="minorHAnsi" w:eastAsia="Times New Roman" w:hAnsiTheme="minorHAnsi" w:cstheme="minorHAnsi"/>
                <w:sz w:val="22"/>
                <w:vertAlign w:val="superscript"/>
                <w:lang w:eastAsia="en-GB" w:bidi="ar-SA"/>
              </w:rPr>
              <w:footnoteReference w:id="7"/>
            </w:r>
          </w:p>
        </w:tc>
      </w:tr>
      <w:tr w:rsidR="008560CF" w:rsidRPr="008560CF" w14:paraId="2BE56BFB" w14:textId="77777777" w:rsidTr="008560CF">
        <w:trPr>
          <w:cantSplit/>
        </w:trPr>
        <w:tc>
          <w:tcPr>
            <w:tcW w:w="465" w:type="pct"/>
            <w:vMerge w:val="restart"/>
          </w:tcPr>
          <w:p w14:paraId="5DC215BF"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3.2.2</w:t>
            </w:r>
          </w:p>
        </w:tc>
        <w:tc>
          <w:tcPr>
            <w:tcW w:w="3626" w:type="pct"/>
          </w:tcPr>
          <w:p w14:paraId="79C92589"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 xml:space="preserve">SNI deriving from the specific analysis of staffing and competence management arrangements including, detailed role descriptions, staffing numbers, organisation of staffing and chains of command. Training and competence assessment materials that reveal details of how tasks important to security are undertaken and how they contribute to the delivery of security functions.  </w:t>
            </w:r>
          </w:p>
        </w:tc>
        <w:tc>
          <w:tcPr>
            <w:tcW w:w="909" w:type="pct"/>
          </w:tcPr>
          <w:p w14:paraId="34B20137"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r>
      <w:tr w:rsidR="008560CF" w:rsidRPr="008560CF" w14:paraId="6DC5E699" w14:textId="77777777" w:rsidTr="008560CF">
        <w:trPr>
          <w:cantSplit/>
        </w:trPr>
        <w:tc>
          <w:tcPr>
            <w:tcW w:w="465" w:type="pct"/>
            <w:vMerge/>
          </w:tcPr>
          <w:p w14:paraId="1B6C3D39"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227580A9"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9" w:type="pct"/>
            <w:hideMark/>
          </w:tcPr>
          <w:p w14:paraId="10D59BC7"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741A8059" w14:textId="77777777" w:rsidTr="008560CF">
        <w:trPr>
          <w:cantSplit/>
        </w:trPr>
        <w:tc>
          <w:tcPr>
            <w:tcW w:w="465" w:type="pct"/>
            <w:vMerge/>
          </w:tcPr>
          <w:p w14:paraId="5C2C7C75"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31AF7E87"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tc>
        <w:tc>
          <w:tcPr>
            <w:tcW w:w="909" w:type="pct"/>
          </w:tcPr>
          <w:p w14:paraId="3495DBB5"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r w:rsidR="008560CF" w:rsidRPr="008560CF" w14:paraId="14A8843F" w14:textId="77777777" w:rsidTr="008560CF">
        <w:trPr>
          <w:cantSplit/>
        </w:trPr>
        <w:tc>
          <w:tcPr>
            <w:tcW w:w="5000" w:type="pct"/>
            <w:gridSpan w:val="3"/>
            <w:hideMark/>
          </w:tcPr>
          <w:p w14:paraId="37BACF1E" w14:textId="77777777" w:rsidR="00253FDE" w:rsidRPr="008560CF" w:rsidRDefault="00253FDE" w:rsidP="00E801C1">
            <w:pPr>
              <w:spacing w:before="60" w:after="60"/>
              <w:rPr>
                <w:rFonts w:asciiTheme="minorHAnsi" w:hAnsiTheme="minorHAnsi" w:cstheme="minorHAnsi"/>
                <w:sz w:val="22"/>
                <w:lang w:eastAsia="en-GB" w:bidi="ar-SA"/>
              </w:rPr>
            </w:pPr>
            <w:bookmarkStart w:id="28" w:name="_Toc498675955"/>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3.3 – Suitable and Sufficient Workspaces, Equipment and User Interfaces</w:t>
            </w:r>
            <w:bookmarkEnd w:id="28"/>
          </w:p>
        </w:tc>
      </w:tr>
      <w:tr w:rsidR="008560CF" w:rsidRPr="008560CF" w14:paraId="45734E19" w14:textId="77777777" w:rsidTr="008560CF">
        <w:trPr>
          <w:cantSplit/>
        </w:trPr>
        <w:tc>
          <w:tcPr>
            <w:tcW w:w="465" w:type="pct"/>
          </w:tcPr>
          <w:p w14:paraId="1FE63044"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3.3.1</w:t>
            </w:r>
          </w:p>
        </w:tc>
        <w:tc>
          <w:tcPr>
            <w:tcW w:w="3626" w:type="pct"/>
            <w:hideMark/>
          </w:tcPr>
          <w:p w14:paraId="5CD67033"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related to the methods to be employed to ensure, workspaces, equipment and user interfaces necessary for the delivery of security functions are designed to maximise human reliability and minimise the likelihood of human error. This may include policies, processes, methods and standards to be used in the identification of user requirements for the design and/or procurement of workspaces, equipment and user interfaces.</w:t>
            </w:r>
          </w:p>
        </w:tc>
        <w:tc>
          <w:tcPr>
            <w:tcW w:w="909" w:type="pct"/>
            <w:hideMark/>
          </w:tcPr>
          <w:p w14:paraId="299B4A04"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15603A61" w14:textId="77777777" w:rsidTr="008560CF">
        <w:trPr>
          <w:cantSplit/>
        </w:trPr>
        <w:tc>
          <w:tcPr>
            <w:tcW w:w="465" w:type="pct"/>
            <w:vMerge w:val="restart"/>
          </w:tcPr>
          <w:p w14:paraId="7387FC55"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3.3.2</w:t>
            </w:r>
          </w:p>
        </w:tc>
        <w:tc>
          <w:tcPr>
            <w:tcW w:w="3626" w:type="pct"/>
          </w:tcPr>
          <w:p w14:paraId="42E82E42"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SNI deriving from the specific analysis of user requirements including identification of key parameters, equipment and human interfaces where compromise could lead to the failure to deliver safety or security functions.</w:t>
            </w:r>
          </w:p>
        </w:tc>
        <w:tc>
          <w:tcPr>
            <w:tcW w:w="909" w:type="pct"/>
          </w:tcPr>
          <w:p w14:paraId="60436AAC"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r>
      <w:tr w:rsidR="008560CF" w:rsidRPr="008560CF" w14:paraId="4D2DC6E8" w14:textId="77777777" w:rsidTr="008560CF">
        <w:trPr>
          <w:cantSplit/>
        </w:trPr>
        <w:tc>
          <w:tcPr>
            <w:tcW w:w="465" w:type="pct"/>
            <w:vMerge/>
          </w:tcPr>
          <w:p w14:paraId="27AC5250"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18DE8DF3"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9" w:type="pct"/>
            <w:hideMark/>
          </w:tcPr>
          <w:p w14:paraId="2CF85050"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04D34779" w14:textId="77777777" w:rsidTr="008560CF">
        <w:trPr>
          <w:cantSplit/>
        </w:trPr>
        <w:tc>
          <w:tcPr>
            <w:tcW w:w="465" w:type="pct"/>
            <w:vMerge/>
          </w:tcPr>
          <w:p w14:paraId="703494CF"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2C3DC3EF"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tc>
        <w:tc>
          <w:tcPr>
            <w:tcW w:w="909" w:type="pct"/>
          </w:tcPr>
          <w:p w14:paraId="58926FAE"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r w:rsidR="008560CF" w:rsidRPr="008560CF" w14:paraId="2591A7EE" w14:textId="77777777" w:rsidTr="008560CF">
        <w:trPr>
          <w:cantSplit/>
        </w:trPr>
        <w:tc>
          <w:tcPr>
            <w:tcW w:w="5000" w:type="pct"/>
            <w:gridSpan w:val="3"/>
            <w:hideMark/>
          </w:tcPr>
          <w:p w14:paraId="45E96342" w14:textId="415C733B" w:rsidR="008560CF" w:rsidRPr="008560CF" w:rsidRDefault="008560CF" w:rsidP="00E801C1">
            <w:pPr>
              <w:spacing w:before="60" w:after="60"/>
              <w:rPr>
                <w:rFonts w:asciiTheme="minorHAnsi" w:eastAsia="Times New Roman" w:hAnsiTheme="minorHAnsi" w:cstheme="minorHAnsi"/>
                <w:sz w:val="22"/>
                <w:lang w:eastAsia="en-GB" w:bidi="ar-SA"/>
              </w:rPr>
            </w:pPr>
            <w:bookmarkStart w:id="29" w:name="_Toc498675956"/>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3.4 – Suitable and Sufficient Procedures and Administrative Controls</w:t>
            </w:r>
            <w:bookmarkEnd w:id="29"/>
          </w:p>
        </w:tc>
      </w:tr>
      <w:tr w:rsidR="008560CF" w:rsidRPr="008560CF" w14:paraId="129850DD" w14:textId="77777777" w:rsidTr="008560CF">
        <w:trPr>
          <w:cantSplit/>
        </w:trPr>
        <w:tc>
          <w:tcPr>
            <w:tcW w:w="465" w:type="pct"/>
          </w:tcPr>
          <w:p w14:paraId="5FE41DD7"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3.4.1</w:t>
            </w:r>
          </w:p>
        </w:tc>
        <w:tc>
          <w:tcPr>
            <w:tcW w:w="3626" w:type="pct"/>
            <w:hideMark/>
          </w:tcPr>
          <w:p w14:paraId="4D59ACC7"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related to the methods for the production, verification, validation, use and management of procedures and other documents that control the way in which tasks important to security are undertaken.</w:t>
            </w:r>
          </w:p>
        </w:tc>
        <w:tc>
          <w:tcPr>
            <w:tcW w:w="909" w:type="pct"/>
            <w:hideMark/>
          </w:tcPr>
          <w:p w14:paraId="044628CF"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4C7F4E82" w14:textId="77777777" w:rsidTr="008560CF">
        <w:trPr>
          <w:cantSplit/>
        </w:trPr>
        <w:tc>
          <w:tcPr>
            <w:tcW w:w="465" w:type="pct"/>
            <w:vMerge w:val="restart"/>
          </w:tcPr>
          <w:p w14:paraId="7862E295"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3.4.2</w:t>
            </w:r>
          </w:p>
        </w:tc>
        <w:tc>
          <w:tcPr>
            <w:tcW w:w="3626" w:type="pct"/>
          </w:tcPr>
          <w:p w14:paraId="049B6618"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SNI relating to specific information that provides details of how tasks important to security are undertaken, this could include security operating procedures.</w:t>
            </w:r>
          </w:p>
        </w:tc>
        <w:tc>
          <w:tcPr>
            <w:tcW w:w="909" w:type="pct"/>
          </w:tcPr>
          <w:p w14:paraId="58A852DA"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r>
      <w:tr w:rsidR="008560CF" w:rsidRPr="008560CF" w14:paraId="5C4A9076" w14:textId="77777777" w:rsidTr="008560CF">
        <w:trPr>
          <w:cantSplit/>
        </w:trPr>
        <w:tc>
          <w:tcPr>
            <w:tcW w:w="465" w:type="pct"/>
            <w:vMerge/>
          </w:tcPr>
          <w:p w14:paraId="4AF3BED9"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03ED5AB6"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9" w:type="pct"/>
            <w:hideMark/>
          </w:tcPr>
          <w:p w14:paraId="43BD9D5B"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5B61C893" w14:textId="77777777" w:rsidTr="008560CF">
        <w:trPr>
          <w:cantSplit/>
        </w:trPr>
        <w:tc>
          <w:tcPr>
            <w:tcW w:w="465" w:type="pct"/>
            <w:vMerge/>
          </w:tcPr>
          <w:p w14:paraId="3394E7FE"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7294CF0A"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tc>
        <w:tc>
          <w:tcPr>
            <w:tcW w:w="909" w:type="pct"/>
          </w:tcPr>
          <w:p w14:paraId="51D7B5AE"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bl>
    <w:p w14:paraId="685D774B" w14:textId="77777777" w:rsidR="008560CF" w:rsidRDefault="008560CF" w:rsidP="00E801C1">
      <w:pPr>
        <w:spacing w:before="60" w:after="60"/>
        <w:rPr>
          <w:rFonts w:asciiTheme="minorHAnsi" w:hAnsiTheme="minorHAnsi" w:cstheme="minorHAnsi"/>
          <w:b/>
          <w:bCs/>
          <w:sz w:val="22"/>
          <w:lang w:eastAsia="en-GB" w:bidi="ar-SA"/>
        </w:rPr>
        <w:sectPr w:rsidR="008560CF" w:rsidSect="008560CF">
          <w:pgSz w:w="11906" w:h="16838" w:code="9"/>
          <w:pgMar w:top="1440" w:right="1440" w:bottom="1440" w:left="1440" w:header="397" w:footer="397" w:gutter="0"/>
          <w:cols w:space="312"/>
          <w:docGrid w:linePitch="360"/>
        </w:sectPr>
      </w:pPr>
      <w:bookmarkStart w:id="30" w:name="_Toc498675957"/>
    </w:p>
    <w:p w14:paraId="5FBDB6CB" w14:textId="77777777" w:rsidR="008560CF" w:rsidRDefault="008560CF" w:rsidP="00E801C1">
      <w:pPr>
        <w:spacing w:before="60" w:after="60"/>
        <w:rPr>
          <w:rFonts w:asciiTheme="minorHAnsi" w:hAnsiTheme="minorHAnsi" w:cstheme="minorHAnsi"/>
          <w:bCs/>
          <w:sz w:val="22"/>
          <w:lang w:eastAsia="en-GB" w:bidi="ar-SA"/>
        </w:rPr>
        <w:sectPr w:rsidR="008560CF" w:rsidSect="008560CF">
          <w:type w:val="continuous"/>
          <w:pgSz w:w="11906" w:h="16838" w:code="9"/>
          <w:pgMar w:top="1440" w:right="1440" w:bottom="1440" w:left="1440" w:header="397" w:footer="397" w:gutter="0"/>
          <w:cols w:space="312"/>
          <w:docGrid w:linePitch="360"/>
        </w:sectPr>
      </w:pPr>
    </w:p>
    <w:tbl>
      <w:tblPr>
        <w:tblStyle w:val="ONRTable1"/>
        <w:tblW w:w="5000" w:type="pct"/>
        <w:tblInd w:w="0" w:type="dxa"/>
        <w:tblLook w:val="01E0" w:firstRow="1" w:lastRow="1" w:firstColumn="1" w:lastColumn="1" w:noHBand="0" w:noVBand="0"/>
      </w:tblPr>
      <w:tblGrid>
        <w:gridCol w:w="839"/>
        <w:gridCol w:w="6546"/>
        <w:gridCol w:w="1641"/>
      </w:tblGrid>
      <w:tr w:rsidR="008560CF" w:rsidRPr="00366A2D" w14:paraId="4D173B60" w14:textId="77777777" w:rsidTr="008560CF">
        <w:trPr>
          <w:cnfStyle w:val="100000000000" w:firstRow="1" w:lastRow="0" w:firstColumn="0" w:lastColumn="0" w:oddVBand="0" w:evenVBand="0" w:oddHBand="0" w:evenHBand="0" w:firstRowFirstColumn="0" w:firstRowLastColumn="0" w:lastRowFirstColumn="0" w:lastRowLastColumn="0"/>
          <w:cantSplit/>
          <w:tblHeader/>
        </w:trPr>
        <w:tc>
          <w:tcPr>
            <w:tcW w:w="4091" w:type="pct"/>
            <w:gridSpan w:val="2"/>
            <w:hideMark/>
          </w:tcPr>
          <w:bookmarkEnd w:id="30"/>
          <w:p w14:paraId="2C7A7FB4" w14:textId="77777777" w:rsidR="008560CF" w:rsidRPr="00366A2D" w:rsidRDefault="008560CF" w:rsidP="00E801C1">
            <w:pPr>
              <w:spacing w:before="60" w:after="60"/>
              <w:rPr>
                <w:rFonts w:asciiTheme="minorHAnsi" w:hAnsiTheme="minorHAnsi" w:cstheme="minorHAnsi"/>
                <w:bCs/>
                <w:szCs w:val="24"/>
                <w:lang w:eastAsia="en-GB" w:bidi="ar-SA"/>
              </w:rPr>
            </w:pPr>
            <w:r w:rsidRPr="00366A2D">
              <w:rPr>
                <w:rFonts w:asciiTheme="minorHAnsi" w:hAnsiTheme="minorHAnsi" w:cstheme="minorHAnsi"/>
                <w:b w:val="0"/>
                <w:bCs/>
                <w:szCs w:val="24"/>
                <w:lang w:eastAsia="en-GB" w:bidi="ar-SA"/>
              </w:rPr>
              <w:lastRenderedPageBreak/>
              <w:t>FSyP 4 – Nuclear Supply Chain Management</w:t>
            </w:r>
          </w:p>
        </w:tc>
        <w:tc>
          <w:tcPr>
            <w:tcW w:w="909" w:type="pct"/>
          </w:tcPr>
          <w:p w14:paraId="51588C9D" w14:textId="7139CD45" w:rsidR="008560CF" w:rsidRPr="00366A2D" w:rsidRDefault="008560CF" w:rsidP="00E801C1">
            <w:pPr>
              <w:spacing w:before="60" w:after="60"/>
              <w:rPr>
                <w:rFonts w:asciiTheme="minorHAnsi" w:hAnsiTheme="minorHAnsi" w:cstheme="minorHAnsi"/>
                <w:b w:val="0"/>
                <w:bCs/>
                <w:szCs w:val="24"/>
                <w:lang w:eastAsia="en-GB" w:bidi="ar-SA"/>
              </w:rPr>
            </w:pPr>
            <w:r w:rsidRPr="00366A2D">
              <w:rPr>
                <w:rFonts w:asciiTheme="minorHAnsi" w:eastAsia="Times New Roman" w:hAnsiTheme="minorHAnsi" w:cstheme="minorHAnsi"/>
                <w:b w:val="0"/>
                <w:bCs/>
                <w:szCs w:val="24"/>
                <w:lang w:eastAsia="en-GB" w:bidi="ar-SA"/>
              </w:rPr>
              <w:t>Classification</w:t>
            </w:r>
          </w:p>
        </w:tc>
      </w:tr>
      <w:tr w:rsidR="008560CF" w:rsidRPr="008560CF" w14:paraId="69DA27EB" w14:textId="77777777" w:rsidTr="008560CF">
        <w:trPr>
          <w:cantSplit/>
        </w:trPr>
        <w:tc>
          <w:tcPr>
            <w:tcW w:w="5000" w:type="pct"/>
            <w:gridSpan w:val="3"/>
            <w:hideMark/>
          </w:tcPr>
          <w:p w14:paraId="32A472F0" w14:textId="25E2A4EE" w:rsidR="008560CF" w:rsidRPr="008560CF" w:rsidRDefault="008560CF" w:rsidP="00E801C1">
            <w:pPr>
              <w:spacing w:before="60" w:after="60"/>
              <w:rPr>
                <w:rFonts w:asciiTheme="minorHAnsi" w:eastAsia="Times New Roman" w:hAnsiTheme="minorHAnsi" w:cstheme="minorHAnsi"/>
                <w:sz w:val="22"/>
                <w:lang w:eastAsia="en-GB" w:bidi="ar-SA"/>
              </w:rPr>
            </w:pPr>
            <w:bookmarkStart w:id="31" w:name="_Toc498675958"/>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4.1 – Procurement and Intelligent Customer Capability</w:t>
            </w:r>
            <w:bookmarkEnd w:id="31"/>
          </w:p>
        </w:tc>
      </w:tr>
      <w:tr w:rsidR="008560CF" w:rsidRPr="008560CF" w14:paraId="4B6D890F" w14:textId="77777777" w:rsidTr="008560CF">
        <w:trPr>
          <w:cantSplit/>
        </w:trPr>
        <w:tc>
          <w:tcPr>
            <w:tcW w:w="465" w:type="pct"/>
          </w:tcPr>
          <w:p w14:paraId="713A4E31"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4.1.1</w:t>
            </w:r>
          </w:p>
        </w:tc>
        <w:tc>
          <w:tcPr>
            <w:tcW w:w="3626" w:type="pct"/>
            <w:hideMark/>
          </w:tcPr>
          <w:p w14:paraId="64D69640"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regarding procurement and intelligent customer capability, which may include supply chain policy and procedures; generic contractual requirements; quality assurance; arrangements to mitigate the risks of counterfeit, fraudulent and suspect items etc.</w:t>
            </w:r>
          </w:p>
        </w:tc>
        <w:tc>
          <w:tcPr>
            <w:tcW w:w="909" w:type="pct"/>
            <w:hideMark/>
          </w:tcPr>
          <w:p w14:paraId="174EF72F"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4CCA6B45" w14:textId="77777777" w:rsidTr="008560CF">
        <w:trPr>
          <w:cantSplit/>
        </w:trPr>
        <w:tc>
          <w:tcPr>
            <w:tcW w:w="465" w:type="pct"/>
            <w:vMerge w:val="restart"/>
          </w:tcPr>
          <w:p w14:paraId="442FED20"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4.1.2</w:t>
            </w:r>
          </w:p>
        </w:tc>
        <w:tc>
          <w:tcPr>
            <w:tcW w:w="3626" w:type="pct"/>
          </w:tcPr>
          <w:p w14:paraId="7DA8B4F2"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SNI relating to procurement and intelligent customer capability may include detailed information on arrangements to mitigate the risks of counterfeit, fraudulent and suspect items being introduced; or specifications of nuclear and related equipment items in documents such as security specifications, technical specifications etc.</w:t>
            </w:r>
          </w:p>
        </w:tc>
        <w:tc>
          <w:tcPr>
            <w:tcW w:w="909" w:type="pct"/>
          </w:tcPr>
          <w:p w14:paraId="4C329D54"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r>
      <w:tr w:rsidR="008560CF" w:rsidRPr="008560CF" w14:paraId="4B36D59F" w14:textId="77777777" w:rsidTr="008560CF">
        <w:trPr>
          <w:cantSplit/>
        </w:trPr>
        <w:tc>
          <w:tcPr>
            <w:tcW w:w="465" w:type="pct"/>
            <w:vMerge/>
          </w:tcPr>
          <w:p w14:paraId="0C82020C"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729540E0"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9" w:type="pct"/>
            <w:hideMark/>
          </w:tcPr>
          <w:p w14:paraId="62E6CC41"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61301CA9" w14:textId="77777777" w:rsidTr="008560CF">
        <w:trPr>
          <w:cantSplit/>
        </w:trPr>
        <w:tc>
          <w:tcPr>
            <w:tcW w:w="465" w:type="pct"/>
            <w:vMerge/>
          </w:tcPr>
          <w:p w14:paraId="11ADFFD8"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5B3CB518"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tc>
        <w:tc>
          <w:tcPr>
            <w:tcW w:w="909" w:type="pct"/>
          </w:tcPr>
          <w:p w14:paraId="42FC3954"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r w:rsidR="008560CF" w:rsidRPr="008560CF" w14:paraId="68B9B6DB" w14:textId="77777777" w:rsidTr="008560CF">
        <w:trPr>
          <w:cantSplit/>
        </w:trPr>
        <w:tc>
          <w:tcPr>
            <w:tcW w:w="5000" w:type="pct"/>
            <w:gridSpan w:val="3"/>
            <w:hideMark/>
          </w:tcPr>
          <w:p w14:paraId="5E331501" w14:textId="4B8BF834" w:rsidR="004B296C" w:rsidRPr="008560CF" w:rsidRDefault="004B296C" w:rsidP="00E801C1">
            <w:pPr>
              <w:spacing w:before="60" w:after="60"/>
              <w:rPr>
                <w:rFonts w:asciiTheme="minorHAnsi" w:eastAsia="Times New Roman" w:hAnsiTheme="minorHAnsi" w:cstheme="minorHAnsi"/>
                <w:sz w:val="22"/>
                <w:lang w:eastAsia="en-GB" w:bidi="ar-SA"/>
              </w:rPr>
            </w:pPr>
            <w:bookmarkStart w:id="32" w:name="_Toc498675959"/>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4.2 – Supplier Capability</w:t>
            </w:r>
            <w:bookmarkEnd w:id="32"/>
          </w:p>
        </w:tc>
      </w:tr>
      <w:tr w:rsidR="008560CF" w:rsidRPr="008560CF" w14:paraId="6BCFF7CA" w14:textId="77777777" w:rsidTr="008560CF">
        <w:trPr>
          <w:cantSplit/>
        </w:trPr>
        <w:tc>
          <w:tcPr>
            <w:tcW w:w="465" w:type="pct"/>
          </w:tcPr>
          <w:p w14:paraId="37A8D430"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4.2.1</w:t>
            </w:r>
          </w:p>
        </w:tc>
        <w:tc>
          <w:tcPr>
            <w:tcW w:w="3626" w:type="pct"/>
            <w:hideMark/>
          </w:tcPr>
          <w:p w14:paraId="62E10D1A"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concerning dutyholder due diligence to ensure supplier capability to carry out work with nuclear security significance, which may include q</w:t>
            </w:r>
            <w:r w:rsidRPr="008560CF">
              <w:rPr>
                <w:rFonts w:asciiTheme="minorHAnsi" w:eastAsia="Times New Roman" w:hAnsiTheme="minorHAnsi" w:cstheme="minorHAnsi"/>
                <w:bCs/>
                <w:sz w:val="22"/>
                <w:lang w:eastAsia="en-GB" w:bidi="ar-SA"/>
              </w:rPr>
              <w:t xml:space="preserve">uality plans, </w:t>
            </w:r>
            <w:r w:rsidRPr="008560CF">
              <w:rPr>
                <w:rFonts w:asciiTheme="minorHAnsi" w:eastAsia="Times New Roman" w:hAnsiTheme="minorHAnsi" w:cstheme="minorHAnsi"/>
                <w:sz w:val="22"/>
                <w:lang w:eastAsia="en-GB" w:bidi="ar-SA"/>
              </w:rPr>
              <w:t>design, procurement, manufacturing, fabrication and inspection records etc.</w:t>
            </w:r>
          </w:p>
        </w:tc>
        <w:tc>
          <w:tcPr>
            <w:tcW w:w="909" w:type="pct"/>
            <w:hideMark/>
          </w:tcPr>
          <w:p w14:paraId="6EC08C36"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649E8951" w14:textId="77777777" w:rsidTr="008560CF">
        <w:trPr>
          <w:cantSplit/>
        </w:trPr>
        <w:tc>
          <w:tcPr>
            <w:tcW w:w="5000" w:type="pct"/>
            <w:gridSpan w:val="3"/>
            <w:hideMark/>
          </w:tcPr>
          <w:p w14:paraId="5B5EF309" w14:textId="4B69C8FF" w:rsidR="004B296C" w:rsidRPr="008560CF" w:rsidRDefault="004B296C" w:rsidP="00E801C1">
            <w:pPr>
              <w:spacing w:before="60" w:after="60"/>
              <w:rPr>
                <w:rFonts w:asciiTheme="minorHAnsi" w:eastAsia="Times New Roman" w:hAnsiTheme="minorHAnsi" w:cstheme="minorHAnsi"/>
                <w:sz w:val="22"/>
                <w:lang w:eastAsia="en-GB" w:bidi="ar-SA"/>
              </w:rPr>
            </w:pPr>
            <w:bookmarkStart w:id="33" w:name="_Toc498675960"/>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4.3 – Oversight of Suppliers of Items or Services that may Impact on Nuclear Security</w:t>
            </w:r>
            <w:bookmarkEnd w:id="33"/>
          </w:p>
        </w:tc>
      </w:tr>
      <w:tr w:rsidR="008560CF" w:rsidRPr="008560CF" w14:paraId="3BE20B8A" w14:textId="77777777" w:rsidTr="008560CF">
        <w:trPr>
          <w:cantSplit/>
        </w:trPr>
        <w:tc>
          <w:tcPr>
            <w:tcW w:w="465" w:type="pct"/>
          </w:tcPr>
          <w:p w14:paraId="3106DB98"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4.3.1</w:t>
            </w:r>
          </w:p>
        </w:tc>
        <w:tc>
          <w:tcPr>
            <w:tcW w:w="3626" w:type="pct"/>
            <w:hideMark/>
          </w:tcPr>
          <w:p w14:paraId="6F2310A9"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relating to dutyholders conducting effective oversight and assurance of their supply chain for items or services that may impact on nuclear security, which may include oversight and assurance processes, procurement process arrangements etc.</w:t>
            </w:r>
          </w:p>
        </w:tc>
        <w:tc>
          <w:tcPr>
            <w:tcW w:w="909" w:type="pct"/>
            <w:hideMark/>
          </w:tcPr>
          <w:p w14:paraId="2F43174F"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1CC4405D" w14:textId="77777777" w:rsidTr="008560CF">
        <w:trPr>
          <w:cantSplit/>
        </w:trPr>
        <w:tc>
          <w:tcPr>
            <w:tcW w:w="465" w:type="pct"/>
            <w:vMerge w:val="restart"/>
          </w:tcPr>
          <w:p w14:paraId="69E17ECD"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4.3.2</w:t>
            </w:r>
          </w:p>
        </w:tc>
        <w:tc>
          <w:tcPr>
            <w:tcW w:w="3626" w:type="pct"/>
          </w:tcPr>
          <w:p w14:paraId="0ACA7E3B"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SNI relating to dutyholders conducting effective oversight and assurance of their supply chain for items or services that may impact on nuclear security may include detailed information concerning security arrangements for the protection of SNI in the supply chain in documents such as contracting authority assurance reports, security plans, vulnerability assessments etc.</w:t>
            </w:r>
          </w:p>
        </w:tc>
        <w:tc>
          <w:tcPr>
            <w:tcW w:w="909" w:type="pct"/>
          </w:tcPr>
          <w:p w14:paraId="1559454C"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r>
      <w:tr w:rsidR="008560CF" w:rsidRPr="008560CF" w14:paraId="09EA7638" w14:textId="77777777" w:rsidTr="008560CF">
        <w:trPr>
          <w:cantSplit/>
        </w:trPr>
        <w:tc>
          <w:tcPr>
            <w:tcW w:w="465" w:type="pct"/>
            <w:vMerge/>
          </w:tcPr>
          <w:p w14:paraId="2FE5FBC4"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24F848B9"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9" w:type="pct"/>
            <w:hideMark/>
          </w:tcPr>
          <w:p w14:paraId="640AB5B9"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767377D5" w14:textId="77777777" w:rsidTr="008560CF">
        <w:trPr>
          <w:cantSplit/>
        </w:trPr>
        <w:tc>
          <w:tcPr>
            <w:tcW w:w="465" w:type="pct"/>
            <w:vMerge/>
          </w:tcPr>
          <w:p w14:paraId="02C5E710"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7D3E046F"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tc>
        <w:tc>
          <w:tcPr>
            <w:tcW w:w="909" w:type="pct"/>
          </w:tcPr>
          <w:p w14:paraId="4F3D1C4C"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r w:rsidR="008560CF" w:rsidRPr="008560CF" w14:paraId="2BE8AA53" w14:textId="77777777" w:rsidTr="008560CF">
        <w:trPr>
          <w:cantSplit/>
        </w:trPr>
        <w:tc>
          <w:tcPr>
            <w:tcW w:w="5000" w:type="pct"/>
            <w:gridSpan w:val="3"/>
            <w:hideMark/>
          </w:tcPr>
          <w:p w14:paraId="46C9199E" w14:textId="77777777" w:rsidR="00253FDE" w:rsidRPr="008560CF" w:rsidRDefault="00253FDE" w:rsidP="00E801C1">
            <w:pPr>
              <w:spacing w:before="60" w:after="60"/>
              <w:rPr>
                <w:rFonts w:asciiTheme="minorHAnsi" w:hAnsiTheme="minorHAnsi" w:cstheme="minorHAnsi"/>
                <w:sz w:val="22"/>
                <w:lang w:eastAsia="en-GB" w:bidi="ar-SA"/>
              </w:rPr>
            </w:pPr>
            <w:bookmarkStart w:id="34" w:name="_Toc498675961"/>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4.4 – Commissioning</w:t>
            </w:r>
            <w:bookmarkEnd w:id="34"/>
          </w:p>
        </w:tc>
      </w:tr>
      <w:tr w:rsidR="008560CF" w:rsidRPr="008560CF" w14:paraId="4C5690DF" w14:textId="77777777" w:rsidTr="008560CF">
        <w:trPr>
          <w:cantSplit/>
        </w:trPr>
        <w:tc>
          <w:tcPr>
            <w:tcW w:w="465" w:type="pct"/>
          </w:tcPr>
          <w:p w14:paraId="17DB0986"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4.4.1</w:t>
            </w:r>
          </w:p>
        </w:tc>
        <w:tc>
          <w:tcPr>
            <w:tcW w:w="3626" w:type="pct"/>
            <w:hideMark/>
          </w:tcPr>
          <w:p w14:paraId="49090536"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 xml:space="preserve">General information relating to testing and commissioning, which may include details for handover of responsibilities and acceptance etc. </w:t>
            </w:r>
          </w:p>
        </w:tc>
        <w:tc>
          <w:tcPr>
            <w:tcW w:w="909" w:type="pct"/>
            <w:hideMark/>
          </w:tcPr>
          <w:p w14:paraId="7A19D6E9"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6AE290FB" w14:textId="77777777" w:rsidTr="008560CF">
        <w:trPr>
          <w:cantSplit/>
        </w:trPr>
        <w:tc>
          <w:tcPr>
            <w:tcW w:w="465" w:type="pct"/>
            <w:vMerge w:val="restart"/>
          </w:tcPr>
          <w:p w14:paraId="300087F7"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4.4.2</w:t>
            </w:r>
          </w:p>
        </w:tc>
        <w:tc>
          <w:tcPr>
            <w:tcW w:w="3626" w:type="pct"/>
            <w:hideMark/>
          </w:tcPr>
          <w:p w14:paraId="1F6CD71D"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SNI relating to commissioning may include detailed information concerning testing and commissioning any facility, system or process that may affect security, detailed in documents such as risk assessments, drawings, operating and maintenance procedures, security improvement schedules, modification procedures, operating and maintenance manuals, operational requirements, security plans etc.</w:t>
            </w:r>
          </w:p>
        </w:tc>
        <w:tc>
          <w:tcPr>
            <w:tcW w:w="909" w:type="pct"/>
            <w:hideMark/>
          </w:tcPr>
          <w:p w14:paraId="2D8538D8"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r>
      <w:tr w:rsidR="008560CF" w:rsidRPr="008560CF" w14:paraId="4EA9E468" w14:textId="77777777" w:rsidTr="008560CF">
        <w:trPr>
          <w:cantSplit/>
        </w:trPr>
        <w:tc>
          <w:tcPr>
            <w:tcW w:w="465" w:type="pct"/>
            <w:vMerge/>
          </w:tcPr>
          <w:p w14:paraId="10E0D736"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1CACE6FF"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9" w:type="pct"/>
            <w:hideMark/>
          </w:tcPr>
          <w:p w14:paraId="302676D7"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631A0297" w14:textId="77777777" w:rsidTr="008560CF">
        <w:trPr>
          <w:cantSplit/>
        </w:trPr>
        <w:tc>
          <w:tcPr>
            <w:tcW w:w="465" w:type="pct"/>
            <w:vMerge/>
          </w:tcPr>
          <w:p w14:paraId="66AC3C80"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7899E8B7"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tc>
        <w:tc>
          <w:tcPr>
            <w:tcW w:w="909" w:type="pct"/>
          </w:tcPr>
          <w:p w14:paraId="4381BC1A"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bl>
    <w:p w14:paraId="609F042D" w14:textId="77777777" w:rsidR="008560CF" w:rsidRDefault="008560CF" w:rsidP="00E801C1">
      <w:pPr>
        <w:spacing w:before="60" w:after="60"/>
        <w:rPr>
          <w:rFonts w:asciiTheme="minorHAnsi" w:hAnsiTheme="minorHAnsi" w:cstheme="minorHAnsi"/>
          <w:b/>
          <w:bCs/>
          <w:sz w:val="22"/>
          <w:lang w:eastAsia="en-GB" w:bidi="ar-SA"/>
        </w:rPr>
        <w:sectPr w:rsidR="008560CF" w:rsidSect="008560CF">
          <w:pgSz w:w="11906" w:h="16838" w:code="9"/>
          <w:pgMar w:top="1440" w:right="1440" w:bottom="1440" w:left="1440" w:header="397" w:footer="397" w:gutter="0"/>
          <w:cols w:space="312"/>
          <w:docGrid w:linePitch="360"/>
        </w:sectPr>
      </w:pPr>
      <w:bookmarkStart w:id="35" w:name="_Toc498675962"/>
    </w:p>
    <w:bookmarkEnd w:id="35"/>
    <w:p w14:paraId="461BA809" w14:textId="77777777" w:rsidR="008560CF" w:rsidRDefault="008560CF" w:rsidP="00E801C1">
      <w:pPr>
        <w:spacing w:before="60" w:after="60"/>
        <w:rPr>
          <w:rFonts w:asciiTheme="minorHAnsi" w:hAnsiTheme="minorHAnsi" w:cstheme="minorHAnsi"/>
          <w:bCs/>
          <w:sz w:val="22"/>
          <w:lang w:eastAsia="en-GB" w:bidi="ar-SA"/>
        </w:rPr>
        <w:sectPr w:rsidR="008560CF" w:rsidSect="008560CF">
          <w:type w:val="continuous"/>
          <w:pgSz w:w="11906" w:h="16838" w:code="9"/>
          <w:pgMar w:top="1440" w:right="1440" w:bottom="1440" w:left="1440" w:header="397" w:footer="397" w:gutter="0"/>
          <w:cols w:space="312"/>
          <w:docGrid w:linePitch="360"/>
        </w:sectPr>
      </w:pPr>
    </w:p>
    <w:tbl>
      <w:tblPr>
        <w:tblStyle w:val="ONRTable1"/>
        <w:tblW w:w="5000" w:type="pct"/>
        <w:tblInd w:w="0" w:type="dxa"/>
        <w:tblLook w:val="01E0" w:firstRow="1" w:lastRow="1" w:firstColumn="1" w:lastColumn="1" w:noHBand="0" w:noVBand="0"/>
      </w:tblPr>
      <w:tblGrid>
        <w:gridCol w:w="839"/>
        <w:gridCol w:w="6546"/>
        <w:gridCol w:w="1641"/>
      </w:tblGrid>
      <w:tr w:rsidR="008560CF" w:rsidRPr="00366A2D" w14:paraId="402B52E0" w14:textId="77777777" w:rsidTr="008560CF">
        <w:trPr>
          <w:cnfStyle w:val="100000000000" w:firstRow="1" w:lastRow="0" w:firstColumn="0" w:lastColumn="0" w:oddVBand="0" w:evenVBand="0" w:oddHBand="0" w:evenHBand="0" w:firstRowFirstColumn="0" w:firstRowLastColumn="0" w:lastRowFirstColumn="0" w:lastRowLastColumn="0"/>
          <w:cantSplit/>
          <w:tblHeader/>
        </w:trPr>
        <w:tc>
          <w:tcPr>
            <w:tcW w:w="4091" w:type="pct"/>
            <w:gridSpan w:val="2"/>
            <w:hideMark/>
          </w:tcPr>
          <w:p w14:paraId="25DD0A10" w14:textId="77777777" w:rsidR="008560CF" w:rsidRPr="00366A2D" w:rsidRDefault="008560CF" w:rsidP="00E801C1">
            <w:pPr>
              <w:spacing w:before="60" w:after="60"/>
              <w:rPr>
                <w:rFonts w:asciiTheme="minorHAnsi" w:hAnsiTheme="minorHAnsi" w:cstheme="minorHAnsi"/>
                <w:bCs/>
                <w:szCs w:val="24"/>
                <w:lang w:eastAsia="en-GB" w:bidi="ar-SA"/>
              </w:rPr>
            </w:pPr>
            <w:r w:rsidRPr="00366A2D">
              <w:rPr>
                <w:rFonts w:asciiTheme="minorHAnsi" w:hAnsiTheme="minorHAnsi" w:cstheme="minorHAnsi"/>
                <w:b w:val="0"/>
                <w:bCs/>
                <w:szCs w:val="24"/>
                <w:lang w:eastAsia="en-GB" w:bidi="ar-SA"/>
              </w:rPr>
              <w:lastRenderedPageBreak/>
              <w:t>FSyP 5 – Reliability, Resilience and Sustainability</w:t>
            </w:r>
          </w:p>
        </w:tc>
        <w:tc>
          <w:tcPr>
            <w:tcW w:w="909" w:type="pct"/>
          </w:tcPr>
          <w:p w14:paraId="77E25031" w14:textId="6332D103" w:rsidR="008560CF" w:rsidRPr="00366A2D" w:rsidRDefault="008560CF" w:rsidP="00E801C1">
            <w:pPr>
              <w:spacing w:before="60" w:after="60"/>
              <w:rPr>
                <w:rFonts w:asciiTheme="minorHAnsi" w:hAnsiTheme="minorHAnsi" w:cstheme="minorHAnsi"/>
                <w:b w:val="0"/>
                <w:bCs/>
                <w:szCs w:val="24"/>
                <w:lang w:eastAsia="en-GB" w:bidi="ar-SA"/>
              </w:rPr>
            </w:pPr>
            <w:r w:rsidRPr="00366A2D">
              <w:rPr>
                <w:rFonts w:asciiTheme="minorHAnsi" w:eastAsia="Times New Roman" w:hAnsiTheme="minorHAnsi" w:cstheme="minorHAnsi"/>
                <w:b w:val="0"/>
                <w:bCs/>
                <w:szCs w:val="24"/>
                <w:lang w:eastAsia="en-GB" w:bidi="ar-SA"/>
              </w:rPr>
              <w:t>Classification</w:t>
            </w:r>
          </w:p>
        </w:tc>
      </w:tr>
      <w:tr w:rsidR="008560CF" w:rsidRPr="008560CF" w14:paraId="11501C55" w14:textId="77777777" w:rsidTr="008560CF">
        <w:trPr>
          <w:cantSplit/>
        </w:trPr>
        <w:tc>
          <w:tcPr>
            <w:tcW w:w="5000" w:type="pct"/>
            <w:gridSpan w:val="3"/>
            <w:hideMark/>
          </w:tcPr>
          <w:p w14:paraId="67E32D5C" w14:textId="2FAE5F01" w:rsidR="004B296C" w:rsidRPr="008560CF" w:rsidRDefault="004B296C" w:rsidP="00E801C1">
            <w:pPr>
              <w:spacing w:before="60" w:after="60"/>
              <w:rPr>
                <w:rFonts w:asciiTheme="minorHAnsi" w:eastAsia="Times New Roman" w:hAnsiTheme="minorHAnsi" w:cstheme="minorHAnsi"/>
                <w:sz w:val="22"/>
                <w:lang w:eastAsia="en-GB" w:bidi="ar-SA"/>
              </w:rPr>
            </w:pPr>
            <w:bookmarkStart w:id="36" w:name="_Toc498675963"/>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5.1 – Reliability and Resilience</w:t>
            </w:r>
            <w:bookmarkEnd w:id="36"/>
          </w:p>
        </w:tc>
      </w:tr>
      <w:tr w:rsidR="008560CF" w:rsidRPr="008560CF" w14:paraId="77E84853" w14:textId="77777777" w:rsidTr="008560CF">
        <w:trPr>
          <w:cantSplit/>
        </w:trPr>
        <w:tc>
          <w:tcPr>
            <w:tcW w:w="465" w:type="pct"/>
          </w:tcPr>
          <w:p w14:paraId="495BB0A9"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5.1.1</w:t>
            </w:r>
          </w:p>
        </w:tc>
        <w:tc>
          <w:tcPr>
            <w:tcW w:w="3626" w:type="pct"/>
            <w:hideMark/>
          </w:tcPr>
          <w:p w14:paraId="5D951DAF"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regarding the reliability and resilience of security structures, systems and components etc.</w:t>
            </w:r>
          </w:p>
        </w:tc>
        <w:tc>
          <w:tcPr>
            <w:tcW w:w="909" w:type="pct"/>
            <w:hideMark/>
          </w:tcPr>
          <w:p w14:paraId="3CA097B1"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3658F7D0" w14:textId="77777777" w:rsidTr="008560CF">
        <w:trPr>
          <w:cantSplit/>
        </w:trPr>
        <w:tc>
          <w:tcPr>
            <w:tcW w:w="465" w:type="pct"/>
            <w:vMerge w:val="restart"/>
          </w:tcPr>
          <w:p w14:paraId="252B8EFE"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5.1.2</w:t>
            </w:r>
          </w:p>
        </w:tc>
        <w:tc>
          <w:tcPr>
            <w:tcW w:w="3626" w:type="pct"/>
          </w:tcPr>
          <w:p w14:paraId="13195D0D"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SNI relating to reliability and resilience may include records indicating mean time between failure, probabilities and/or parameters of detection etc.</w:t>
            </w:r>
          </w:p>
        </w:tc>
        <w:tc>
          <w:tcPr>
            <w:tcW w:w="909" w:type="pct"/>
          </w:tcPr>
          <w:p w14:paraId="4F1366BB"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r>
      <w:tr w:rsidR="008560CF" w:rsidRPr="008560CF" w14:paraId="6A89D2CA" w14:textId="77777777" w:rsidTr="008560CF">
        <w:trPr>
          <w:cantSplit/>
        </w:trPr>
        <w:tc>
          <w:tcPr>
            <w:tcW w:w="465" w:type="pct"/>
            <w:vMerge/>
          </w:tcPr>
          <w:p w14:paraId="0E27C546"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26C7D8AF"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9" w:type="pct"/>
            <w:hideMark/>
          </w:tcPr>
          <w:p w14:paraId="5BD08BA3"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090DA703" w14:textId="77777777" w:rsidTr="008560CF">
        <w:trPr>
          <w:cantSplit/>
        </w:trPr>
        <w:tc>
          <w:tcPr>
            <w:tcW w:w="465" w:type="pct"/>
            <w:vMerge/>
          </w:tcPr>
          <w:p w14:paraId="446882C6"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786DB547" w14:textId="2F893E33" w:rsidR="008560CF" w:rsidRPr="008560CF" w:rsidRDefault="004B296C" w:rsidP="008560CF">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tc>
        <w:tc>
          <w:tcPr>
            <w:tcW w:w="909" w:type="pct"/>
          </w:tcPr>
          <w:p w14:paraId="23D04C59"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r w:rsidR="008560CF" w:rsidRPr="008560CF" w14:paraId="29CD2DA7" w14:textId="77777777" w:rsidTr="008560CF">
        <w:trPr>
          <w:cantSplit/>
        </w:trPr>
        <w:tc>
          <w:tcPr>
            <w:tcW w:w="5000" w:type="pct"/>
            <w:gridSpan w:val="3"/>
            <w:hideMark/>
          </w:tcPr>
          <w:p w14:paraId="6BCCC5CD" w14:textId="77777777" w:rsidR="00253FDE" w:rsidRPr="008560CF" w:rsidRDefault="00253FDE" w:rsidP="00E801C1">
            <w:pPr>
              <w:spacing w:before="60" w:after="60"/>
              <w:rPr>
                <w:rFonts w:asciiTheme="minorHAnsi" w:hAnsiTheme="minorHAnsi" w:cstheme="minorHAnsi"/>
                <w:sz w:val="22"/>
                <w:highlight w:val="yellow"/>
                <w:lang w:eastAsia="en-GB" w:bidi="ar-SA"/>
              </w:rPr>
            </w:pPr>
            <w:bookmarkStart w:id="37" w:name="_Toc498675964"/>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5.2 – Examination, Inspection, Maintenance and Testing</w:t>
            </w:r>
            <w:bookmarkEnd w:id="37"/>
          </w:p>
        </w:tc>
      </w:tr>
      <w:tr w:rsidR="008560CF" w:rsidRPr="008560CF" w14:paraId="7203BC35" w14:textId="77777777" w:rsidTr="008560CF">
        <w:trPr>
          <w:cantSplit/>
        </w:trPr>
        <w:tc>
          <w:tcPr>
            <w:tcW w:w="465" w:type="pct"/>
          </w:tcPr>
          <w:p w14:paraId="3F5D33F6"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5.2.1</w:t>
            </w:r>
          </w:p>
        </w:tc>
        <w:tc>
          <w:tcPr>
            <w:tcW w:w="3626" w:type="pct"/>
            <w:hideMark/>
          </w:tcPr>
          <w:p w14:paraId="759F4B77" w14:textId="7C943E50" w:rsidR="008560CF" w:rsidRPr="008560CF" w:rsidRDefault="00253FDE" w:rsidP="008560CF">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relating to the Examination, Inspection, Maintenance and Testing (EIMT) of security structures, systems, and components, which may include plant maintenance schedules, maintenance instructions, quality plans, maintenance records etc.</w:t>
            </w:r>
          </w:p>
        </w:tc>
        <w:tc>
          <w:tcPr>
            <w:tcW w:w="909" w:type="pct"/>
            <w:hideMark/>
          </w:tcPr>
          <w:p w14:paraId="7B1F1208"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2A009839" w14:textId="77777777" w:rsidTr="008560CF">
        <w:trPr>
          <w:cantSplit/>
        </w:trPr>
        <w:tc>
          <w:tcPr>
            <w:tcW w:w="465" w:type="pct"/>
            <w:vMerge w:val="restart"/>
          </w:tcPr>
          <w:p w14:paraId="14582E79"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5.2.2</w:t>
            </w:r>
          </w:p>
        </w:tc>
        <w:tc>
          <w:tcPr>
            <w:tcW w:w="3626" w:type="pct"/>
            <w:hideMark/>
          </w:tcPr>
          <w:p w14:paraId="15FB9D1E" w14:textId="68400F34" w:rsidR="008560CF" w:rsidRPr="008560CF" w:rsidRDefault="004B296C" w:rsidP="008560CF">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SNI relating to EIMT of security structures, systems and components may include configurations of operational security systems, temporary security plans, vulnerability analysis, risk assessments, inspection reports revealing vulnerabilities, etc.</w:t>
            </w:r>
          </w:p>
        </w:tc>
        <w:tc>
          <w:tcPr>
            <w:tcW w:w="909" w:type="pct"/>
            <w:hideMark/>
          </w:tcPr>
          <w:p w14:paraId="70C75479"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r>
      <w:tr w:rsidR="008560CF" w:rsidRPr="008560CF" w14:paraId="11C64AD1" w14:textId="77777777" w:rsidTr="008560CF">
        <w:trPr>
          <w:cantSplit/>
        </w:trPr>
        <w:tc>
          <w:tcPr>
            <w:tcW w:w="465" w:type="pct"/>
            <w:vMerge/>
          </w:tcPr>
          <w:p w14:paraId="73DC9CB1"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71743845" w14:textId="5B0BA183" w:rsidR="008560CF" w:rsidRPr="008560CF" w:rsidRDefault="004B296C" w:rsidP="008560CF">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9" w:type="pct"/>
            <w:hideMark/>
          </w:tcPr>
          <w:p w14:paraId="129FA695"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3E1B49FA" w14:textId="77777777" w:rsidTr="008560CF">
        <w:trPr>
          <w:cantSplit/>
        </w:trPr>
        <w:tc>
          <w:tcPr>
            <w:tcW w:w="465" w:type="pct"/>
            <w:vMerge/>
          </w:tcPr>
          <w:p w14:paraId="7F30FF9A"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15CAA252" w14:textId="2E0A4526" w:rsidR="008560CF" w:rsidRPr="008560CF" w:rsidRDefault="004B296C" w:rsidP="008560CF">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tc>
        <w:tc>
          <w:tcPr>
            <w:tcW w:w="909" w:type="pct"/>
          </w:tcPr>
          <w:p w14:paraId="19C1E282"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r w:rsidR="008560CF" w:rsidRPr="008560CF" w14:paraId="52E68E58" w14:textId="77777777" w:rsidTr="008560CF">
        <w:trPr>
          <w:cantSplit/>
        </w:trPr>
        <w:tc>
          <w:tcPr>
            <w:tcW w:w="5000" w:type="pct"/>
            <w:gridSpan w:val="3"/>
            <w:hideMark/>
          </w:tcPr>
          <w:p w14:paraId="37F1D0DD" w14:textId="77777777" w:rsidR="00253FDE" w:rsidRPr="008560CF" w:rsidRDefault="00253FDE" w:rsidP="00E801C1">
            <w:pPr>
              <w:spacing w:before="60" w:after="60"/>
              <w:rPr>
                <w:rFonts w:asciiTheme="minorHAnsi" w:hAnsiTheme="minorHAnsi" w:cstheme="minorHAnsi"/>
                <w:sz w:val="22"/>
                <w:lang w:eastAsia="en-GB" w:bidi="ar-SA"/>
              </w:rPr>
            </w:pPr>
            <w:bookmarkStart w:id="38" w:name="_Toc498675965"/>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5.3 – Sustainability</w:t>
            </w:r>
            <w:bookmarkEnd w:id="38"/>
          </w:p>
        </w:tc>
      </w:tr>
      <w:tr w:rsidR="008560CF" w:rsidRPr="008560CF" w14:paraId="49742473" w14:textId="77777777" w:rsidTr="008560CF">
        <w:trPr>
          <w:cantSplit/>
        </w:trPr>
        <w:tc>
          <w:tcPr>
            <w:tcW w:w="465" w:type="pct"/>
          </w:tcPr>
          <w:p w14:paraId="71EF9A8F"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5.3.1</w:t>
            </w:r>
          </w:p>
        </w:tc>
        <w:tc>
          <w:tcPr>
            <w:tcW w:w="3626" w:type="pct"/>
            <w:hideMark/>
          </w:tcPr>
          <w:p w14:paraId="100962ED" w14:textId="5E279000" w:rsidR="008560CF" w:rsidRPr="008560CF" w:rsidRDefault="00253FDE" w:rsidP="008560CF">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relating to sustainability of and support to the constituent parts of a nuclear security regime, which may include documented management decisions, funding, succession planning etc.</w:t>
            </w:r>
          </w:p>
        </w:tc>
        <w:tc>
          <w:tcPr>
            <w:tcW w:w="909" w:type="pct"/>
            <w:hideMark/>
          </w:tcPr>
          <w:p w14:paraId="5324E50E"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2D1FE1C5" w14:textId="77777777" w:rsidTr="008560CF">
        <w:trPr>
          <w:cantSplit/>
        </w:trPr>
        <w:tc>
          <w:tcPr>
            <w:tcW w:w="465" w:type="pct"/>
            <w:vMerge w:val="restart"/>
          </w:tcPr>
          <w:p w14:paraId="07A72BDE"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5.3.2</w:t>
            </w:r>
          </w:p>
        </w:tc>
        <w:tc>
          <w:tcPr>
            <w:tcW w:w="3626" w:type="pct"/>
            <w:hideMark/>
          </w:tcPr>
          <w:p w14:paraId="334AA031" w14:textId="2ECC4377" w:rsidR="008560CF" w:rsidRPr="008560CF" w:rsidRDefault="004B296C" w:rsidP="008560CF">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SNI relating to sustainability may include risk assessments, threat assessments, detailed procedures, security performance assessments etc.</w:t>
            </w:r>
          </w:p>
        </w:tc>
        <w:tc>
          <w:tcPr>
            <w:tcW w:w="909" w:type="pct"/>
            <w:hideMark/>
          </w:tcPr>
          <w:p w14:paraId="50F048A6"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r>
      <w:tr w:rsidR="008560CF" w:rsidRPr="008560CF" w14:paraId="79549D0F" w14:textId="77777777" w:rsidTr="008560CF">
        <w:trPr>
          <w:cantSplit/>
        </w:trPr>
        <w:tc>
          <w:tcPr>
            <w:tcW w:w="465" w:type="pct"/>
            <w:vMerge/>
          </w:tcPr>
          <w:p w14:paraId="3B2517C3"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190D5B79" w14:textId="3CB1D294" w:rsidR="008560CF" w:rsidRPr="008560CF" w:rsidRDefault="004B296C" w:rsidP="00366A2D">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9" w:type="pct"/>
            <w:hideMark/>
          </w:tcPr>
          <w:p w14:paraId="307AFD4F"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443A2298" w14:textId="77777777" w:rsidTr="008560CF">
        <w:trPr>
          <w:cantSplit/>
        </w:trPr>
        <w:tc>
          <w:tcPr>
            <w:tcW w:w="465" w:type="pct"/>
            <w:vMerge/>
          </w:tcPr>
          <w:p w14:paraId="3E1A2EBA"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0D7F6D2A" w14:textId="086C4578" w:rsidR="008560CF" w:rsidRPr="008560CF" w:rsidRDefault="004B296C" w:rsidP="00366A2D">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tc>
        <w:tc>
          <w:tcPr>
            <w:tcW w:w="909" w:type="pct"/>
          </w:tcPr>
          <w:p w14:paraId="6C8BA4B2"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bl>
    <w:p w14:paraId="16CF2C28" w14:textId="77777777" w:rsidR="008560CF" w:rsidRDefault="008560CF" w:rsidP="00E801C1">
      <w:pPr>
        <w:spacing w:before="60" w:after="60"/>
        <w:rPr>
          <w:rFonts w:asciiTheme="minorHAnsi" w:hAnsiTheme="minorHAnsi" w:cstheme="minorHAnsi"/>
          <w:b/>
          <w:bCs/>
          <w:sz w:val="22"/>
          <w:lang w:eastAsia="en-GB" w:bidi="ar-SA"/>
        </w:rPr>
        <w:sectPr w:rsidR="008560CF" w:rsidSect="008560CF">
          <w:pgSz w:w="11906" w:h="16838" w:code="9"/>
          <w:pgMar w:top="1440" w:right="1440" w:bottom="1440" w:left="1440" w:header="397" w:footer="397" w:gutter="0"/>
          <w:cols w:space="312"/>
          <w:docGrid w:linePitch="360"/>
        </w:sectPr>
      </w:pPr>
      <w:bookmarkStart w:id="39" w:name="_Toc498675966"/>
    </w:p>
    <w:tbl>
      <w:tblPr>
        <w:tblStyle w:val="ONRTable1"/>
        <w:tblW w:w="5000" w:type="pct"/>
        <w:tblInd w:w="0" w:type="dxa"/>
        <w:tblLook w:val="01E0" w:firstRow="1" w:lastRow="1" w:firstColumn="1" w:lastColumn="1" w:noHBand="0" w:noVBand="0"/>
      </w:tblPr>
      <w:tblGrid>
        <w:gridCol w:w="839"/>
        <w:gridCol w:w="6546"/>
        <w:gridCol w:w="1641"/>
      </w:tblGrid>
      <w:tr w:rsidR="008560CF" w:rsidRPr="00366A2D" w14:paraId="1DFB2539" w14:textId="77777777" w:rsidTr="008560CF">
        <w:trPr>
          <w:cnfStyle w:val="100000000000" w:firstRow="1" w:lastRow="0" w:firstColumn="0" w:lastColumn="0" w:oddVBand="0" w:evenVBand="0" w:oddHBand="0" w:evenHBand="0" w:firstRowFirstColumn="0" w:firstRowLastColumn="0" w:lastRowFirstColumn="0" w:lastRowLastColumn="0"/>
          <w:cantSplit/>
          <w:tblHeader/>
        </w:trPr>
        <w:tc>
          <w:tcPr>
            <w:tcW w:w="4091" w:type="pct"/>
            <w:gridSpan w:val="2"/>
            <w:hideMark/>
          </w:tcPr>
          <w:bookmarkEnd w:id="39"/>
          <w:p w14:paraId="1475D899" w14:textId="77777777" w:rsidR="008560CF" w:rsidRPr="00366A2D" w:rsidRDefault="008560CF" w:rsidP="00E801C1">
            <w:pPr>
              <w:spacing w:before="60" w:after="60"/>
              <w:rPr>
                <w:rFonts w:asciiTheme="minorHAnsi" w:hAnsiTheme="minorHAnsi" w:cstheme="minorHAnsi"/>
                <w:bCs/>
                <w:szCs w:val="24"/>
                <w:lang w:eastAsia="en-GB" w:bidi="ar-SA"/>
              </w:rPr>
            </w:pPr>
            <w:r w:rsidRPr="00366A2D">
              <w:rPr>
                <w:rFonts w:asciiTheme="minorHAnsi" w:hAnsiTheme="minorHAnsi" w:cstheme="minorHAnsi"/>
                <w:b w:val="0"/>
                <w:bCs/>
                <w:szCs w:val="24"/>
                <w:lang w:eastAsia="en-GB" w:bidi="ar-SA"/>
              </w:rPr>
              <w:t>FSyP 6 – Physical Protection Systems</w:t>
            </w:r>
          </w:p>
        </w:tc>
        <w:tc>
          <w:tcPr>
            <w:tcW w:w="909" w:type="pct"/>
          </w:tcPr>
          <w:p w14:paraId="054E0AA6" w14:textId="601C34FC" w:rsidR="008560CF" w:rsidRPr="00366A2D" w:rsidRDefault="008560CF" w:rsidP="00E801C1">
            <w:pPr>
              <w:spacing w:before="60" w:after="60"/>
              <w:rPr>
                <w:rFonts w:asciiTheme="minorHAnsi" w:hAnsiTheme="minorHAnsi" w:cstheme="minorHAnsi"/>
                <w:b w:val="0"/>
                <w:bCs/>
                <w:szCs w:val="24"/>
                <w:lang w:eastAsia="en-GB" w:bidi="ar-SA"/>
              </w:rPr>
            </w:pPr>
            <w:r w:rsidRPr="00366A2D">
              <w:rPr>
                <w:rFonts w:asciiTheme="minorHAnsi" w:eastAsia="Times New Roman" w:hAnsiTheme="minorHAnsi" w:cstheme="minorHAnsi"/>
                <w:b w:val="0"/>
                <w:bCs/>
                <w:szCs w:val="24"/>
                <w:lang w:eastAsia="en-GB" w:bidi="ar-SA"/>
              </w:rPr>
              <w:t>Classification</w:t>
            </w:r>
          </w:p>
        </w:tc>
      </w:tr>
      <w:tr w:rsidR="008560CF" w:rsidRPr="008560CF" w14:paraId="09104BB3" w14:textId="77777777" w:rsidTr="008560CF">
        <w:trPr>
          <w:cantSplit/>
        </w:trPr>
        <w:tc>
          <w:tcPr>
            <w:tcW w:w="5000" w:type="pct"/>
            <w:gridSpan w:val="3"/>
            <w:hideMark/>
          </w:tcPr>
          <w:p w14:paraId="2C350512" w14:textId="69B7F05D" w:rsidR="008560CF" w:rsidRPr="008560CF" w:rsidRDefault="008560CF" w:rsidP="00E801C1">
            <w:pPr>
              <w:spacing w:before="60" w:after="60"/>
              <w:rPr>
                <w:rFonts w:asciiTheme="minorHAnsi" w:eastAsia="Times New Roman" w:hAnsiTheme="minorHAnsi" w:cstheme="minorHAnsi"/>
                <w:sz w:val="22"/>
                <w:lang w:eastAsia="en-GB" w:bidi="ar-SA"/>
              </w:rPr>
            </w:pPr>
            <w:bookmarkStart w:id="40" w:name="_Toc498675967"/>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6.1 – Categorisation for Theft</w:t>
            </w:r>
            <w:bookmarkEnd w:id="40"/>
          </w:p>
        </w:tc>
      </w:tr>
      <w:tr w:rsidR="008560CF" w:rsidRPr="008560CF" w14:paraId="749C06CE" w14:textId="77777777" w:rsidTr="008560CF">
        <w:trPr>
          <w:cantSplit/>
        </w:trPr>
        <w:tc>
          <w:tcPr>
            <w:tcW w:w="465" w:type="pct"/>
          </w:tcPr>
          <w:p w14:paraId="5134C26E"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6.1.1</w:t>
            </w:r>
          </w:p>
        </w:tc>
        <w:tc>
          <w:tcPr>
            <w:tcW w:w="3626" w:type="pct"/>
            <w:hideMark/>
          </w:tcPr>
          <w:p w14:paraId="7013DCD6"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relating to the categorisation for theft, which may include the methodology used in order to determine the categorisation for theft, site categorisation, generic locations (e.g. site addresses) of where NM/ORM is in use or storage, accounting principles, aggregated annual NM material balance figures etc.</w:t>
            </w:r>
          </w:p>
        </w:tc>
        <w:tc>
          <w:tcPr>
            <w:tcW w:w="909" w:type="pct"/>
            <w:hideMark/>
          </w:tcPr>
          <w:p w14:paraId="450BE6A4"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r w:rsidRPr="008560CF">
              <w:rPr>
                <w:rFonts w:asciiTheme="minorHAnsi" w:eastAsia="Times New Roman" w:hAnsiTheme="minorHAnsi" w:cstheme="minorHAnsi"/>
                <w:sz w:val="22"/>
                <w:vertAlign w:val="superscript"/>
                <w:lang w:eastAsia="en-GB" w:bidi="ar-SA"/>
              </w:rPr>
              <w:footnoteReference w:id="8"/>
            </w:r>
          </w:p>
        </w:tc>
      </w:tr>
      <w:tr w:rsidR="008560CF" w:rsidRPr="008560CF" w14:paraId="0CC151ED" w14:textId="77777777" w:rsidTr="008560CF">
        <w:trPr>
          <w:cantSplit/>
        </w:trPr>
        <w:tc>
          <w:tcPr>
            <w:tcW w:w="465" w:type="pct"/>
            <w:vMerge w:val="restart"/>
          </w:tcPr>
          <w:p w14:paraId="20BDF5E3"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6.1.2</w:t>
            </w:r>
          </w:p>
        </w:tc>
        <w:tc>
          <w:tcPr>
            <w:tcW w:w="3626" w:type="pct"/>
          </w:tcPr>
          <w:p w14:paraId="328ED26B"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SNI relating to categorisation for theft may include quantity and form together with specific information (e.g. store locations, building numbers) of where Cat I-III NM is in use or storage including waste streams and waste intended for disposal; NM throughput; NM accounting; defence ownership of NM/ORM</w:t>
            </w:r>
            <w:r w:rsidRPr="008560CF">
              <w:rPr>
                <w:rFonts w:asciiTheme="minorHAnsi" w:eastAsia="Times New Roman" w:hAnsiTheme="minorHAnsi" w:cstheme="minorHAnsi"/>
                <w:sz w:val="22"/>
                <w:vertAlign w:val="superscript"/>
                <w:lang w:eastAsia="en-GB" w:bidi="ar-SA"/>
              </w:rPr>
              <w:footnoteReference w:id="9"/>
            </w:r>
            <w:r w:rsidRPr="008560CF">
              <w:rPr>
                <w:rFonts w:asciiTheme="minorHAnsi" w:eastAsia="Times New Roman" w:hAnsiTheme="minorHAnsi" w:cstheme="minorHAnsi"/>
                <w:sz w:val="22"/>
                <w:lang w:eastAsia="en-GB" w:bidi="ar-SA"/>
              </w:rPr>
              <w:t>; and detailed NM balance information etc.</w:t>
            </w:r>
          </w:p>
        </w:tc>
        <w:tc>
          <w:tcPr>
            <w:tcW w:w="909" w:type="pct"/>
          </w:tcPr>
          <w:p w14:paraId="2C2B1B41" w14:textId="77777777" w:rsidR="004B296C" w:rsidRPr="008560CF" w:rsidRDefault="004B296C" w:rsidP="00E801C1">
            <w:pPr>
              <w:spacing w:before="60" w:after="60"/>
              <w:rPr>
                <w:rFonts w:asciiTheme="minorHAnsi" w:eastAsia="Times New Roman" w:hAnsiTheme="minorHAnsi" w:cstheme="minorHAnsi"/>
                <w:sz w:val="22"/>
                <w:vertAlign w:val="superscript"/>
                <w:lang w:eastAsia="en-GB" w:bidi="ar-SA"/>
              </w:rPr>
            </w:pPr>
          </w:p>
        </w:tc>
      </w:tr>
      <w:tr w:rsidR="008560CF" w:rsidRPr="008560CF" w14:paraId="2ACDFC2B" w14:textId="77777777" w:rsidTr="008560CF">
        <w:trPr>
          <w:cantSplit/>
        </w:trPr>
        <w:tc>
          <w:tcPr>
            <w:tcW w:w="465" w:type="pct"/>
            <w:vMerge/>
          </w:tcPr>
          <w:p w14:paraId="6F70A53F"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4F804BE9"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9" w:type="pct"/>
            <w:hideMark/>
          </w:tcPr>
          <w:p w14:paraId="07ED0463"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016A61C2" w14:textId="77777777" w:rsidTr="008560CF">
        <w:trPr>
          <w:cantSplit/>
        </w:trPr>
        <w:tc>
          <w:tcPr>
            <w:tcW w:w="465" w:type="pct"/>
            <w:vMerge/>
          </w:tcPr>
          <w:p w14:paraId="3B4FCBEC"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7F4EEF74"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tc>
        <w:tc>
          <w:tcPr>
            <w:tcW w:w="909" w:type="pct"/>
          </w:tcPr>
          <w:p w14:paraId="1245235D"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r w:rsidR="008560CF" w:rsidRPr="008560CF" w14:paraId="46CDB6A6" w14:textId="77777777" w:rsidTr="008560CF">
        <w:trPr>
          <w:cantSplit/>
        </w:trPr>
        <w:tc>
          <w:tcPr>
            <w:tcW w:w="5000" w:type="pct"/>
            <w:gridSpan w:val="3"/>
            <w:hideMark/>
          </w:tcPr>
          <w:p w14:paraId="31773F8C" w14:textId="2D6E4F10" w:rsidR="008560CF" w:rsidRPr="008560CF" w:rsidRDefault="008560CF" w:rsidP="00E801C1">
            <w:pPr>
              <w:spacing w:before="60" w:after="60"/>
              <w:rPr>
                <w:rFonts w:asciiTheme="minorHAnsi" w:eastAsia="Times New Roman" w:hAnsiTheme="minorHAnsi" w:cstheme="minorHAnsi"/>
                <w:sz w:val="22"/>
                <w:lang w:eastAsia="en-GB" w:bidi="ar-SA"/>
              </w:rPr>
            </w:pPr>
            <w:bookmarkStart w:id="41" w:name="_Toc498675968"/>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6.2 – </w:t>
            </w:r>
            <w:bookmarkStart w:id="42" w:name="_Hlk156299038"/>
            <w:r w:rsidRPr="008560CF">
              <w:rPr>
                <w:rFonts w:asciiTheme="minorHAnsi" w:hAnsiTheme="minorHAnsi" w:cstheme="minorHAnsi"/>
                <w:sz w:val="22"/>
                <w:lang w:eastAsia="en-GB" w:bidi="ar-SA"/>
              </w:rPr>
              <w:t>Categorisation for Sabotage</w:t>
            </w:r>
            <w:bookmarkEnd w:id="41"/>
            <w:bookmarkEnd w:id="42"/>
          </w:p>
        </w:tc>
      </w:tr>
      <w:tr w:rsidR="008560CF" w:rsidRPr="008560CF" w14:paraId="6E4485AB" w14:textId="77777777" w:rsidTr="008560CF">
        <w:trPr>
          <w:cantSplit/>
        </w:trPr>
        <w:tc>
          <w:tcPr>
            <w:tcW w:w="465" w:type="pct"/>
          </w:tcPr>
          <w:p w14:paraId="5CE4E182"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6.2.1</w:t>
            </w:r>
          </w:p>
        </w:tc>
        <w:tc>
          <w:tcPr>
            <w:tcW w:w="3626" w:type="pct"/>
          </w:tcPr>
          <w:p w14:paraId="53AC24F2" w14:textId="7AD08705"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about the methodology used in order to determine the categorisation for sabotage, which may include the International Atomic Energy Agency and ONR definition of a VA</w:t>
            </w:r>
            <w:r w:rsidR="004B296C" w:rsidRPr="008560CF">
              <w:rPr>
                <w:rFonts w:asciiTheme="minorHAnsi" w:eastAsia="Times New Roman" w:hAnsiTheme="minorHAnsi" w:cstheme="minorHAnsi"/>
                <w:sz w:val="22"/>
                <w:lang w:eastAsia="en-GB" w:bidi="ar-SA"/>
              </w:rPr>
              <w:t xml:space="preserve"> </w:t>
            </w:r>
            <w:sdt>
              <w:sdtPr>
                <w:rPr>
                  <w:rFonts w:asciiTheme="minorHAnsi" w:eastAsia="Times New Roman" w:hAnsiTheme="minorHAnsi" w:cstheme="minorHAnsi"/>
                  <w:sz w:val="22"/>
                  <w:lang w:eastAsia="en-GB" w:bidi="ar-SA"/>
                </w:rPr>
                <w:id w:val="-1201925763"/>
                <w:citation/>
              </w:sdtPr>
              <w:sdtEndPr/>
              <w:sdtContent>
                <w:r w:rsidR="004B296C" w:rsidRPr="008560CF">
                  <w:rPr>
                    <w:rFonts w:asciiTheme="minorHAnsi" w:eastAsia="Times New Roman" w:hAnsiTheme="minorHAnsi" w:cstheme="minorHAnsi"/>
                    <w:sz w:val="22"/>
                    <w:lang w:eastAsia="en-GB" w:bidi="ar-SA"/>
                  </w:rPr>
                  <w:fldChar w:fldCharType="begin"/>
                </w:r>
                <w:r w:rsidR="004B296C" w:rsidRPr="008560CF">
                  <w:rPr>
                    <w:rFonts w:asciiTheme="minorHAnsi" w:eastAsia="Times New Roman" w:hAnsiTheme="minorHAnsi" w:cstheme="minorHAnsi"/>
                    <w:sz w:val="22"/>
                    <w:lang w:eastAsia="en-GB" w:bidi="ar-SA"/>
                  </w:rPr>
                  <w:instrText xml:space="preserve"> CITATION ONR228 \l 2057 </w:instrText>
                </w:r>
                <w:r w:rsidR="004B296C" w:rsidRPr="008560CF">
                  <w:rPr>
                    <w:rFonts w:asciiTheme="minorHAnsi" w:eastAsia="Times New Roman" w:hAnsiTheme="minorHAnsi" w:cstheme="minorHAnsi"/>
                    <w:sz w:val="22"/>
                    <w:lang w:eastAsia="en-GB" w:bidi="ar-SA"/>
                  </w:rPr>
                  <w:fldChar w:fldCharType="separate"/>
                </w:r>
                <w:r w:rsidR="004B296C" w:rsidRPr="008560CF">
                  <w:rPr>
                    <w:rFonts w:asciiTheme="minorHAnsi" w:eastAsia="Times New Roman" w:hAnsiTheme="minorHAnsi" w:cstheme="minorHAnsi"/>
                    <w:noProof/>
                    <w:sz w:val="22"/>
                    <w:lang w:eastAsia="en-GB" w:bidi="ar-SA"/>
                  </w:rPr>
                  <w:t>[10]</w:t>
                </w:r>
                <w:r w:rsidR="004B296C" w:rsidRPr="008560CF">
                  <w:rPr>
                    <w:rFonts w:asciiTheme="minorHAnsi" w:eastAsia="Times New Roman" w:hAnsiTheme="minorHAnsi" w:cstheme="minorHAnsi"/>
                    <w:sz w:val="22"/>
                    <w:lang w:eastAsia="en-GB" w:bidi="ar-SA"/>
                  </w:rPr>
                  <w:fldChar w:fldCharType="end"/>
                </w:r>
              </w:sdtContent>
            </w:sdt>
            <w:r w:rsidRPr="008560CF">
              <w:rPr>
                <w:rFonts w:asciiTheme="minorHAnsi" w:eastAsia="Times New Roman" w:hAnsiTheme="minorHAnsi" w:cstheme="minorHAnsi"/>
                <w:sz w:val="22"/>
                <w:lang w:eastAsia="en-GB" w:bidi="ar-SA"/>
              </w:rPr>
              <w:t>, the existence of a VA on a site etc.</w:t>
            </w:r>
          </w:p>
        </w:tc>
        <w:tc>
          <w:tcPr>
            <w:tcW w:w="909" w:type="pct"/>
          </w:tcPr>
          <w:p w14:paraId="0E124743"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3D90C2D4" w14:textId="77777777" w:rsidTr="008560CF">
        <w:trPr>
          <w:cantSplit/>
        </w:trPr>
        <w:tc>
          <w:tcPr>
            <w:tcW w:w="465" w:type="pct"/>
            <w:vMerge w:val="restart"/>
          </w:tcPr>
          <w:p w14:paraId="55C8D107"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lastRenderedPageBreak/>
              <w:t>6.2.2</w:t>
            </w:r>
          </w:p>
        </w:tc>
        <w:tc>
          <w:tcPr>
            <w:tcW w:w="3626" w:type="pct"/>
          </w:tcPr>
          <w:p w14:paraId="1407E691" w14:textId="77777777" w:rsidR="004B296C" w:rsidRPr="008560CF" w:rsidRDefault="004B296C" w:rsidP="00E801C1">
            <w:pPr>
              <w:spacing w:before="60" w:after="60"/>
              <w:rPr>
                <w:rFonts w:asciiTheme="minorHAnsi" w:eastAsia="Times New Roman" w:hAnsiTheme="minorHAnsi" w:cstheme="minorHAnsi"/>
                <w:bCs/>
                <w:sz w:val="22"/>
                <w:lang w:eastAsia="en-GB" w:bidi="ar-SA"/>
              </w:rPr>
            </w:pPr>
            <w:r w:rsidRPr="008560CF">
              <w:rPr>
                <w:rFonts w:asciiTheme="minorHAnsi" w:eastAsia="Times New Roman" w:hAnsiTheme="minorHAnsi" w:cstheme="minorHAnsi"/>
                <w:bCs/>
                <w:sz w:val="22"/>
                <w:lang w:eastAsia="en-GB" w:bidi="ar-SA"/>
              </w:rPr>
              <w:t>SNI relating to categorisation for sabotage may include VA identification submissions,</w:t>
            </w:r>
            <w:r w:rsidRPr="008560CF">
              <w:rPr>
                <w:rFonts w:asciiTheme="minorHAnsi" w:eastAsia="Times New Roman" w:hAnsiTheme="minorHAnsi" w:cstheme="minorHAnsi"/>
                <w:sz w:val="22"/>
                <w:lang w:eastAsia="en-GB" w:bidi="ar-SA"/>
              </w:rPr>
              <w:t xml:space="preserve"> the location of a VA on a site, the protective arrangements for a VA; also any i</w:t>
            </w:r>
            <w:r w:rsidRPr="008560CF">
              <w:rPr>
                <w:rFonts w:asciiTheme="minorHAnsi" w:eastAsia="Times New Roman" w:hAnsiTheme="minorHAnsi" w:cstheme="minorHAnsi"/>
                <w:sz w:val="22"/>
                <w:lang w:bidi="ar-SA"/>
              </w:rPr>
              <w:t>nformation that could identify means whereby individuals(s) acting maliciously can cause a radiological release</w:t>
            </w:r>
            <w:r w:rsidRPr="008560CF">
              <w:rPr>
                <w:rFonts w:asciiTheme="minorHAnsi" w:eastAsia="Times New Roman" w:hAnsiTheme="minorHAnsi" w:cstheme="minorHAnsi"/>
                <w:sz w:val="22"/>
                <w:vertAlign w:val="superscript"/>
                <w:lang w:bidi="ar-SA"/>
              </w:rPr>
              <w:footnoteReference w:id="10"/>
            </w:r>
            <w:r w:rsidRPr="008560CF">
              <w:rPr>
                <w:rFonts w:asciiTheme="minorHAnsi" w:eastAsia="Times New Roman" w:hAnsiTheme="minorHAnsi" w:cstheme="minorHAnsi"/>
                <w:sz w:val="22"/>
                <w:lang w:bidi="ar-SA"/>
              </w:rPr>
              <w:t xml:space="preserve"> from a plant such as safety cases, engineering documents and related information etc.</w:t>
            </w:r>
          </w:p>
        </w:tc>
        <w:tc>
          <w:tcPr>
            <w:tcW w:w="909" w:type="pct"/>
          </w:tcPr>
          <w:p w14:paraId="0E25072B"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r>
      <w:tr w:rsidR="008560CF" w:rsidRPr="008560CF" w14:paraId="7B035439" w14:textId="77777777" w:rsidTr="008560CF">
        <w:trPr>
          <w:cantSplit/>
        </w:trPr>
        <w:tc>
          <w:tcPr>
            <w:tcW w:w="465" w:type="pct"/>
            <w:vMerge/>
          </w:tcPr>
          <w:p w14:paraId="758F206B"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0EDBAE2C"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9" w:type="pct"/>
            <w:hideMark/>
          </w:tcPr>
          <w:p w14:paraId="1CB586DC"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7BB4B266" w14:textId="77777777" w:rsidTr="008560CF">
        <w:trPr>
          <w:cantSplit/>
        </w:trPr>
        <w:tc>
          <w:tcPr>
            <w:tcW w:w="465" w:type="pct"/>
            <w:vMerge/>
          </w:tcPr>
          <w:p w14:paraId="49C318A6"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5C958194" w14:textId="780AAF63" w:rsidR="004B296C" w:rsidRPr="008560CF" w:rsidRDefault="004B296C" w:rsidP="008560CF">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tc>
        <w:tc>
          <w:tcPr>
            <w:tcW w:w="909" w:type="pct"/>
          </w:tcPr>
          <w:p w14:paraId="6E98EC78"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r w:rsidR="008560CF" w:rsidRPr="008560CF" w14:paraId="7E42EDBE" w14:textId="77777777" w:rsidTr="008560CF">
        <w:trPr>
          <w:cantSplit/>
        </w:trPr>
        <w:tc>
          <w:tcPr>
            <w:tcW w:w="5000" w:type="pct"/>
            <w:gridSpan w:val="3"/>
            <w:hideMark/>
          </w:tcPr>
          <w:p w14:paraId="7BD38FDC" w14:textId="747B345C" w:rsidR="008560CF" w:rsidRPr="008560CF" w:rsidRDefault="008560CF" w:rsidP="00E801C1">
            <w:pPr>
              <w:spacing w:before="60" w:after="60"/>
              <w:rPr>
                <w:rFonts w:asciiTheme="minorHAnsi" w:eastAsia="Times New Roman" w:hAnsiTheme="minorHAnsi" w:cstheme="minorHAnsi"/>
                <w:sz w:val="22"/>
                <w:lang w:eastAsia="en-GB" w:bidi="ar-SA"/>
              </w:rPr>
            </w:pPr>
            <w:bookmarkStart w:id="43" w:name="_Toc498675969"/>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6.3 – Physical Protection System Design</w:t>
            </w:r>
            <w:bookmarkEnd w:id="43"/>
          </w:p>
        </w:tc>
      </w:tr>
      <w:tr w:rsidR="008560CF" w:rsidRPr="008560CF" w14:paraId="726CA008" w14:textId="77777777" w:rsidTr="008560CF">
        <w:trPr>
          <w:cantSplit/>
        </w:trPr>
        <w:tc>
          <w:tcPr>
            <w:tcW w:w="465" w:type="pct"/>
          </w:tcPr>
          <w:p w14:paraId="68A797EB"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6.3.1</w:t>
            </w:r>
          </w:p>
        </w:tc>
        <w:tc>
          <w:tcPr>
            <w:tcW w:w="3626" w:type="pct"/>
          </w:tcPr>
          <w:p w14:paraId="007C02FE" w14:textId="77777777" w:rsidR="00253FDE" w:rsidRPr="008560CF" w:rsidRDefault="00253FDE" w:rsidP="00E801C1">
            <w:pPr>
              <w:spacing w:before="60" w:after="60"/>
              <w:rPr>
                <w:rFonts w:asciiTheme="minorHAnsi" w:eastAsia="Times New Roman" w:hAnsiTheme="minorHAnsi" w:cstheme="minorHAnsi"/>
                <w:bCs/>
                <w:sz w:val="22"/>
                <w:lang w:bidi="ar-SA"/>
              </w:rPr>
            </w:pPr>
            <w:r w:rsidRPr="008560CF">
              <w:rPr>
                <w:rFonts w:asciiTheme="minorHAnsi" w:eastAsia="Times New Roman" w:hAnsiTheme="minorHAnsi" w:cstheme="minorHAnsi"/>
                <w:bCs/>
                <w:sz w:val="22"/>
                <w:lang w:bidi="ar-SA"/>
              </w:rPr>
              <w:t>General information about physical protection system design, which may include simple details of construction, layout and general references to utilities, easily observable external features etc.</w:t>
            </w:r>
          </w:p>
        </w:tc>
        <w:tc>
          <w:tcPr>
            <w:tcW w:w="909" w:type="pct"/>
          </w:tcPr>
          <w:p w14:paraId="308B7DFA"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41F074B2" w14:textId="77777777" w:rsidTr="008560CF">
        <w:trPr>
          <w:cantSplit/>
        </w:trPr>
        <w:tc>
          <w:tcPr>
            <w:tcW w:w="465" w:type="pct"/>
            <w:vMerge w:val="restart"/>
          </w:tcPr>
          <w:p w14:paraId="4C4451CC"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6.3.2</w:t>
            </w:r>
          </w:p>
        </w:tc>
        <w:tc>
          <w:tcPr>
            <w:tcW w:w="3626" w:type="pct"/>
          </w:tcPr>
          <w:p w14:paraId="7402DD24" w14:textId="77777777" w:rsidR="004B296C" w:rsidRPr="008560CF" w:rsidRDefault="004B296C" w:rsidP="00E801C1">
            <w:pPr>
              <w:spacing w:before="60" w:after="60"/>
              <w:rPr>
                <w:rFonts w:asciiTheme="minorHAnsi" w:eastAsia="Times New Roman" w:hAnsiTheme="minorHAnsi" w:cstheme="minorHAnsi"/>
                <w:bCs/>
                <w:sz w:val="22"/>
                <w:lang w:bidi="ar-SA"/>
              </w:rPr>
            </w:pPr>
            <w:r w:rsidRPr="008560CF">
              <w:rPr>
                <w:rFonts w:asciiTheme="minorHAnsi" w:eastAsia="Times New Roman" w:hAnsiTheme="minorHAnsi" w:cstheme="minorHAnsi"/>
                <w:bCs/>
                <w:sz w:val="22"/>
                <w:lang w:bidi="ar-SA"/>
              </w:rPr>
              <w:t>SNI relating to physical protection system design may include</w:t>
            </w:r>
            <w:r w:rsidRPr="008560CF">
              <w:rPr>
                <w:rFonts w:asciiTheme="minorHAnsi" w:eastAsia="Times New Roman" w:hAnsiTheme="minorHAnsi" w:cstheme="minorHAnsi"/>
                <w:sz w:val="22"/>
                <w:lang w:eastAsia="en-GB" w:bidi="ar-SA"/>
              </w:rPr>
              <w:t xml:space="preserve"> specific d</w:t>
            </w:r>
            <w:r w:rsidRPr="008560CF">
              <w:rPr>
                <w:rFonts w:asciiTheme="minorHAnsi" w:eastAsia="Times New Roman" w:hAnsiTheme="minorHAnsi" w:cstheme="minorHAnsi"/>
                <w:bCs/>
                <w:sz w:val="22"/>
                <w:lang w:bidi="ar-SA"/>
              </w:rPr>
              <w:t>etails of construction and layout showing features of physical security relevant to the prevention or theft or sabotage of NM/ORM; reference to utilities that are essential to the functioning of a plant including power supplies for security systems; circuit diagrams or data showing types, configuration and locations of intruder detection system sensors and closed circuit television cameras; and operational procedures covering the intra-site movement of Cat I/II NM or use of NM/ORM stores etc.</w:t>
            </w:r>
          </w:p>
        </w:tc>
        <w:tc>
          <w:tcPr>
            <w:tcW w:w="909" w:type="pct"/>
          </w:tcPr>
          <w:p w14:paraId="2CEAACB5"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r>
      <w:tr w:rsidR="008560CF" w:rsidRPr="008560CF" w14:paraId="246A5F5E" w14:textId="77777777" w:rsidTr="008560CF">
        <w:trPr>
          <w:cantSplit/>
        </w:trPr>
        <w:tc>
          <w:tcPr>
            <w:tcW w:w="465" w:type="pct"/>
            <w:vMerge/>
          </w:tcPr>
          <w:p w14:paraId="40B99B71"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2B8D2288"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9" w:type="pct"/>
            <w:hideMark/>
          </w:tcPr>
          <w:p w14:paraId="60728522"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6EFA3371" w14:textId="77777777" w:rsidTr="008560CF">
        <w:trPr>
          <w:cantSplit/>
        </w:trPr>
        <w:tc>
          <w:tcPr>
            <w:tcW w:w="465" w:type="pct"/>
            <w:vMerge/>
          </w:tcPr>
          <w:p w14:paraId="1FD94FD9"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55ABF0C2" w14:textId="77777777" w:rsidR="004B296C"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p w14:paraId="7A39F6AD" w14:textId="77777777" w:rsidR="00366A2D" w:rsidRDefault="00366A2D" w:rsidP="00E801C1">
            <w:pPr>
              <w:spacing w:before="60" w:after="60"/>
              <w:rPr>
                <w:rFonts w:asciiTheme="minorHAnsi" w:hAnsiTheme="minorHAnsi" w:cstheme="minorHAnsi"/>
                <w:sz w:val="22"/>
                <w:lang w:eastAsia="en-GB" w:bidi="ar-SA"/>
              </w:rPr>
            </w:pPr>
          </w:p>
          <w:p w14:paraId="0A16D3C5" w14:textId="77777777" w:rsidR="00366A2D" w:rsidRDefault="00366A2D" w:rsidP="00E801C1">
            <w:pPr>
              <w:spacing w:before="60" w:after="60"/>
              <w:rPr>
                <w:rFonts w:asciiTheme="minorHAnsi" w:hAnsiTheme="minorHAnsi" w:cstheme="minorHAnsi"/>
                <w:sz w:val="22"/>
                <w:lang w:eastAsia="en-GB" w:bidi="ar-SA"/>
              </w:rPr>
            </w:pPr>
          </w:p>
          <w:p w14:paraId="6ED9023C" w14:textId="77777777" w:rsidR="00366A2D" w:rsidRPr="008560CF" w:rsidRDefault="00366A2D" w:rsidP="00E801C1">
            <w:pPr>
              <w:spacing w:before="60" w:after="60"/>
              <w:rPr>
                <w:rFonts w:asciiTheme="minorHAnsi" w:hAnsiTheme="minorHAnsi" w:cstheme="minorHAnsi"/>
                <w:sz w:val="22"/>
                <w:lang w:eastAsia="en-GB" w:bidi="ar-SA"/>
              </w:rPr>
            </w:pPr>
          </w:p>
        </w:tc>
        <w:tc>
          <w:tcPr>
            <w:tcW w:w="909" w:type="pct"/>
          </w:tcPr>
          <w:p w14:paraId="16379FCD"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r w:rsidR="008560CF" w:rsidRPr="008560CF" w14:paraId="51EF8A41" w14:textId="77777777" w:rsidTr="008560CF">
        <w:trPr>
          <w:cantSplit/>
        </w:trPr>
        <w:tc>
          <w:tcPr>
            <w:tcW w:w="5000" w:type="pct"/>
            <w:gridSpan w:val="3"/>
            <w:hideMark/>
          </w:tcPr>
          <w:p w14:paraId="4BBAA242" w14:textId="0721CDA7" w:rsidR="008560CF" w:rsidRPr="008560CF" w:rsidRDefault="008560CF" w:rsidP="00E801C1">
            <w:pPr>
              <w:spacing w:before="60" w:after="60"/>
              <w:rPr>
                <w:rFonts w:asciiTheme="minorHAnsi" w:eastAsia="Times New Roman" w:hAnsiTheme="minorHAnsi" w:cstheme="minorHAnsi"/>
                <w:sz w:val="22"/>
                <w:lang w:eastAsia="en-GB" w:bidi="ar-SA"/>
              </w:rPr>
            </w:pPr>
            <w:bookmarkStart w:id="44" w:name="_Toc498675970"/>
            <w:proofErr w:type="spellStart"/>
            <w:r w:rsidRPr="008560CF">
              <w:rPr>
                <w:rFonts w:asciiTheme="minorHAnsi" w:hAnsiTheme="minorHAnsi" w:cstheme="minorHAnsi"/>
                <w:sz w:val="22"/>
                <w:lang w:eastAsia="en-GB" w:bidi="ar-SA"/>
              </w:rPr>
              <w:lastRenderedPageBreak/>
              <w:t>SyDP</w:t>
            </w:r>
            <w:proofErr w:type="spellEnd"/>
            <w:r w:rsidRPr="008560CF">
              <w:rPr>
                <w:rFonts w:asciiTheme="minorHAnsi" w:hAnsiTheme="minorHAnsi" w:cstheme="minorHAnsi"/>
                <w:sz w:val="22"/>
                <w:lang w:eastAsia="en-GB" w:bidi="ar-SA"/>
              </w:rPr>
              <w:t xml:space="preserve"> 6.4 – Vulnerability Assessments</w:t>
            </w:r>
            <w:bookmarkEnd w:id="44"/>
          </w:p>
        </w:tc>
      </w:tr>
      <w:tr w:rsidR="008560CF" w:rsidRPr="008560CF" w14:paraId="35EC119D" w14:textId="77777777" w:rsidTr="008560CF">
        <w:trPr>
          <w:cantSplit/>
        </w:trPr>
        <w:tc>
          <w:tcPr>
            <w:tcW w:w="465" w:type="pct"/>
          </w:tcPr>
          <w:p w14:paraId="6D97B601"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6.4.1</w:t>
            </w:r>
          </w:p>
        </w:tc>
        <w:tc>
          <w:tcPr>
            <w:tcW w:w="3626" w:type="pct"/>
            <w:hideMark/>
          </w:tcPr>
          <w:p w14:paraId="702E2EC2"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bCs/>
                <w:sz w:val="22"/>
                <w:lang w:eastAsia="en-GB" w:bidi="ar-SA"/>
              </w:rPr>
              <w:t>General information about vulnerability assessments, which may include the fact the site has undertaken a vulnerability assessment, review processes or initiators, the types of methodology used etc.</w:t>
            </w:r>
          </w:p>
        </w:tc>
        <w:tc>
          <w:tcPr>
            <w:tcW w:w="909" w:type="pct"/>
          </w:tcPr>
          <w:p w14:paraId="36C4C5FB"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016CF4D5" w14:textId="77777777" w:rsidTr="008560CF">
        <w:trPr>
          <w:cantSplit/>
        </w:trPr>
        <w:tc>
          <w:tcPr>
            <w:tcW w:w="465" w:type="pct"/>
            <w:vMerge w:val="restart"/>
          </w:tcPr>
          <w:p w14:paraId="3C6C8F4C"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6.4.2</w:t>
            </w:r>
          </w:p>
        </w:tc>
        <w:tc>
          <w:tcPr>
            <w:tcW w:w="3626" w:type="pct"/>
            <w:hideMark/>
          </w:tcPr>
          <w:p w14:paraId="2BC23997"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bidi="ar-SA"/>
              </w:rPr>
              <w:t>SNI relating to vulnerability assessments may include adversary path analysis, attack, delay and response times, any documents pertaining to the protection of NM/ORM where vulnerabilities are revealed etc.</w:t>
            </w:r>
          </w:p>
        </w:tc>
        <w:tc>
          <w:tcPr>
            <w:tcW w:w="909" w:type="pct"/>
          </w:tcPr>
          <w:p w14:paraId="55282DAC"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r>
      <w:tr w:rsidR="008560CF" w:rsidRPr="008560CF" w14:paraId="32819289" w14:textId="77777777" w:rsidTr="008560CF">
        <w:trPr>
          <w:cantSplit/>
        </w:trPr>
        <w:tc>
          <w:tcPr>
            <w:tcW w:w="465" w:type="pct"/>
            <w:vMerge/>
          </w:tcPr>
          <w:p w14:paraId="4BF93E95"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33E2C49B"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9" w:type="pct"/>
            <w:hideMark/>
          </w:tcPr>
          <w:p w14:paraId="1D9D3186"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1024BA71" w14:textId="77777777" w:rsidTr="008560CF">
        <w:trPr>
          <w:cantSplit/>
        </w:trPr>
        <w:tc>
          <w:tcPr>
            <w:tcW w:w="465" w:type="pct"/>
            <w:vMerge/>
          </w:tcPr>
          <w:p w14:paraId="2FDF55BB"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25E8B71C"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tc>
        <w:tc>
          <w:tcPr>
            <w:tcW w:w="909" w:type="pct"/>
          </w:tcPr>
          <w:p w14:paraId="6BC56E48"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r w:rsidR="008560CF" w:rsidRPr="008560CF" w14:paraId="34741D88" w14:textId="77777777" w:rsidTr="008560CF">
        <w:trPr>
          <w:cantSplit/>
        </w:trPr>
        <w:tc>
          <w:tcPr>
            <w:tcW w:w="5000" w:type="pct"/>
            <w:gridSpan w:val="3"/>
            <w:hideMark/>
          </w:tcPr>
          <w:p w14:paraId="6D9CD3BE" w14:textId="19CE96E2" w:rsidR="004B296C" w:rsidRPr="008560CF" w:rsidRDefault="004B296C" w:rsidP="00E801C1">
            <w:pPr>
              <w:spacing w:before="60" w:after="60"/>
              <w:rPr>
                <w:rFonts w:asciiTheme="minorHAnsi" w:eastAsia="Times New Roman" w:hAnsiTheme="minorHAnsi" w:cstheme="minorHAnsi"/>
                <w:sz w:val="22"/>
                <w:lang w:eastAsia="en-GB" w:bidi="ar-SA"/>
              </w:rPr>
            </w:pPr>
            <w:bookmarkStart w:id="45" w:name="_Toc498675971"/>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6.5 – Adjacent or Enclave Nuclear Premises</w:t>
            </w:r>
            <w:bookmarkEnd w:id="45"/>
          </w:p>
        </w:tc>
      </w:tr>
      <w:tr w:rsidR="008560CF" w:rsidRPr="008560CF" w14:paraId="5507FB0B" w14:textId="77777777" w:rsidTr="008560CF">
        <w:trPr>
          <w:cantSplit/>
        </w:trPr>
        <w:tc>
          <w:tcPr>
            <w:tcW w:w="465" w:type="pct"/>
          </w:tcPr>
          <w:p w14:paraId="659DA779"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6.5.1</w:t>
            </w:r>
          </w:p>
        </w:tc>
        <w:tc>
          <w:tcPr>
            <w:tcW w:w="3626" w:type="pct"/>
            <w:hideMark/>
          </w:tcPr>
          <w:p w14:paraId="6C2EA838"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about adjacent or enclave nuclear premises, which may include procedures for information sharing and maintenance of a coherent, coordinated approach towards all aspects of security (and emergency response).</w:t>
            </w:r>
          </w:p>
        </w:tc>
        <w:tc>
          <w:tcPr>
            <w:tcW w:w="909" w:type="pct"/>
            <w:hideMark/>
          </w:tcPr>
          <w:p w14:paraId="54F84F53"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050E2C7A" w14:textId="77777777" w:rsidTr="008560CF">
        <w:trPr>
          <w:cantSplit/>
        </w:trPr>
        <w:tc>
          <w:tcPr>
            <w:tcW w:w="465" w:type="pct"/>
            <w:vMerge w:val="restart"/>
          </w:tcPr>
          <w:p w14:paraId="2E36B14F"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6.5.2</w:t>
            </w:r>
          </w:p>
        </w:tc>
        <w:tc>
          <w:tcPr>
            <w:tcW w:w="3626" w:type="pct"/>
            <w:hideMark/>
          </w:tcPr>
          <w:p w14:paraId="033CF526"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SNI relating to adjacent, or enclave nuclear premises may include information detailing the shared security or safety services; or contingency/emergency arrangements between adjacent or enclave nuclear premises.</w:t>
            </w:r>
          </w:p>
        </w:tc>
        <w:tc>
          <w:tcPr>
            <w:tcW w:w="909" w:type="pct"/>
          </w:tcPr>
          <w:p w14:paraId="5495774A"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r>
      <w:tr w:rsidR="008560CF" w:rsidRPr="008560CF" w14:paraId="56EA07AC" w14:textId="77777777" w:rsidTr="008560CF">
        <w:trPr>
          <w:cantSplit/>
        </w:trPr>
        <w:tc>
          <w:tcPr>
            <w:tcW w:w="465" w:type="pct"/>
            <w:vMerge/>
          </w:tcPr>
          <w:p w14:paraId="0BCCFF98"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52761155"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9" w:type="pct"/>
            <w:hideMark/>
          </w:tcPr>
          <w:p w14:paraId="1683BCAD"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229C74F6" w14:textId="77777777" w:rsidTr="008560CF">
        <w:trPr>
          <w:cantSplit/>
        </w:trPr>
        <w:tc>
          <w:tcPr>
            <w:tcW w:w="465" w:type="pct"/>
            <w:vMerge/>
          </w:tcPr>
          <w:p w14:paraId="6B352E9E"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724A5B22"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tc>
        <w:tc>
          <w:tcPr>
            <w:tcW w:w="909" w:type="pct"/>
          </w:tcPr>
          <w:p w14:paraId="29970B62"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r w:rsidR="008560CF" w:rsidRPr="008560CF" w14:paraId="3575B917" w14:textId="77777777" w:rsidTr="008560CF">
        <w:trPr>
          <w:cantSplit/>
        </w:trPr>
        <w:tc>
          <w:tcPr>
            <w:tcW w:w="5000" w:type="pct"/>
            <w:gridSpan w:val="3"/>
            <w:hideMark/>
          </w:tcPr>
          <w:p w14:paraId="15428F07" w14:textId="6F9EE172" w:rsidR="004B296C" w:rsidRPr="008560CF" w:rsidRDefault="004B296C" w:rsidP="00E801C1">
            <w:pPr>
              <w:spacing w:before="60" w:after="60"/>
              <w:rPr>
                <w:rFonts w:asciiTheme="minorHAnsi" w:eastAsia="Times New Roman" w:hAnsiTheme="minorHAnsi" w:cstheme="minorHAnsi"/>
                <w:sz w:val="22"/>
                <w:lang w:eastAsia="en-GB" w:bidi="ar-SA"/>
              </w:rPr>
            </w:pPr>
            <w:bookmarkStart w:id="46" w:name="_Toc498675972"/>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6.6 – Nuclear Construction Sites</w:t>
            </w:r>
            <w:bookmarkEnd w:id="46"/>
          </w:p>
        </w:tc>
      </w:tr>
      <w:tr w:rsidR="008560CF" w:rsidRPr="008560CF" w14:paraId="1476AC0F" w14:textId="77777777" w:rsidTr="008560CF">
        <w:trPr>
          <w:cantSplit/>
        </w:trPr>
        <w:tc>
          <w:tcPr>
            <w:tcW w:w="465" w:type="pct"/>
          </w:tcPr>
          <w:p w14:paraId="004A6E04"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6.6.1</w:t>
            </w:r>
          </w:p>
        </w:tc>
        <w:tc>
          <w:tcPr>
            <w:tcW w:w="3626" w:type="pct"/>
          </w:tcPr>
          <w:p w14:paraId="426B4DF2"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about nuclear construction sites, which may include high level project plans, generic designs etc.</w:t>
            </w:r>
          </w:p>
        </w:tc>
        <w:tc>
          <w:tcPr>
            <w:tcW w:w="909" w:type="pct"/>
          </w:tcPr>
          <w:p w14:paraId="299A0320"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61DFCF0A" w14:textId="77777777" w:rsidTr="008560CF">
        <w:trPr>
          <w:cantSplit/>
        </w:trPr>
        <w:tc>
          <w:tcPr>
            <w:tcW w:w="465" w:type="pct"/>
            <w:vMerge w:val="restart"/>
          </w:tcPr>
          <w:p w14:paraId="27B36F3A"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6.6.2</w:t>
            </w:r>
          </w:p>
        </w:tc>
        <w:tc>
          <w:tcPr>
            <w:tcW w:w="3626" w:type="pct"/>
            <w:hideMark/>
          </w:tcPr>
          <w:p w14:paraId="29BECB41" w14:textId="0375F40F" w:rsidR="008560CF" w:rsidRPr="008560CF" w:rsidRDefault="004B296C" w:rsidP="00366A2D">
            <w:pPr>
              <w:spacing w:before="60" w:after="60"/>
              <w:rPr>
                <w:rFonts w:asciiTheme="minorHAnsi" w:eastAsia="Times New Roman" w:hAnsiTheme="minorHAnsi" w:cstheme="minorHAnsi"/>
                <w:sz w:val="22"/>
                <w:lang w:bidi="ar-SA"/>
              </w:rPr>
            </w:pPr>
            <w:r w:rsidRPr="008560CF">
              <w:rPr>
                <w:rFonts w:asciiTheme="minorHAnsi" w:eastAsia="Times New Roman" w:hAnsiTheme="minorHAnsi" w:cstheme="minorHAnsi"/>
                <w:bCs/>
                <w:sz w:val="22"/>
                <w:lang w:bidi="ar-SA"/>
              </w:rPr>
              <w:t>SNI relating to nuclear construction sites may include details of the physical protection system that ensure</w:t>
            </w:r>
            <w:r w:rsidRPr="008560CF">
              <w:rPr>
                <w:rFonts w:asciiTheme="minorHAnsi" w:eastAsia="Times New Roman" w:hAnsiTheme="minorHAnsi" w:cstheme="minorHAnsi"/>
                <w:sz w:val="22"/>
                <w:lang w:bidi="ar-SA"/>
              </w:rPr>
              <w:t xml:space="preserve"> its activities cannot be exploited by an adversary to incorporate a latent defect or to pose a threat to an adjacent site.</w:t>
            </w:r>
          </w:p>
        </w:tc>
        <w:tc>
          <w:tcPr>
            <w:tcW w:w="909" w:type="pct"/>
          </w:tcPr>
          <w:p w14:paraId="17884585"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r>
      <w:tr w:rsidR="008560CF" w:rsidRPr="008560CF" w14:paraId="12A21D8B" w14:textId="77777777" w:rsidTr="008560CF">
        <w:trPr>
          <w:cantSplit/>
        </w:trPr>
        <w:tc>
          <w:tcPr>
            <w:tcW w:w="465" w:type="pct"/>
            <w:vMerge/>
          </w:tcPr>
          <w:p w14:paraId="621696A9"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179EBE0B" w14:textId="00A10FE5" w:rsidR="008560CF" w:rsidRPr="008560CF" w:rsidRDefault="004B296C" w:rsidP="00366A2D">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9" w:type="pct"/>
            <w:hideMark/>
          </w:tcPr>
          <w:p w14:paraId="3FED6E02"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58FCA79D" w14:textId="77777777" w:rsidTr="008560CF">
        <w:trPr>
          <w:cantSplit/>
        </w:trPr>
        <w:tc>
          <w:tcPr>
            <w:tcW w:w="465" w:type="pct"/>
            <w:vMerge/>
          </w:tcPr>
          <w:p w14:paraId="705416AA"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64F6684C" w14:textId="5F20992C" w:rsidR="004B296C" w:rsidRPr="008560CF" w:rsidRDefault="004B296C" w:rsidP="00366A2D">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tc>
        <w:tc>
          <w:tcPr>
            <w:tcW w:w="909" w:type="pct"/>
          </w:tcPr>
          <w:p w14:paraId="5C0C2537"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r w:rsidR="008560CF" w:rsidRPr="008560CF" w14:paraId="469ABB0A" w14:textId="77777777" w:rsidTr="008560CF">
        <w:trPr>
          <w:cantSplit/>
        </w:trPr>
        <w:tc>
          <w:tcPr>
            <w:tcW w:w="5000" w:type="pct"/>
            <w:gridSpan w:val="3"/>
            <w:hideMark/>
          </w:tcPr>
          <w:p w14:paraId="5ED904D1" w14:textId="209A466D" w:rsidR="004B296C" w:rsidRPr="008560CF" w:rsidRDefault="004B296C" w:rsidP="00E801C1">
            <w:pPr>
              <w:spacing w:before="60" w:after="60"/>
              <w:rPr>
                <w:rFonts w:asciiTheme="minorHAnsi" w:eastAsia="Times New Roman" w:hAnsiTheme="minorHAnsi" w:cstheme="minorHAnsi"/>
                <w:sz w:val="22"/>
                <w:lang w:eastAsia="en-GB" w:bidi="ar-SA"/>
              </w:rPr>
            </w:pPr>
            <w:bookmarkStart w:id="47" w:name="_Toc498675973"/>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6.7 – Protection of NM During Offsite Transportation</w:t>
            </w:r>
            <w:bookmarkEnd w:id="47"/>
            <w:r w:rsidRPr="008560CF">
              <w:rPr>
                <w:rStyle w:val="FootnoteReference"/>
                <w:rFonts w:asciiTheme="minorHAnsi" w:hAnsiTheme="minorHAnsi" w:cstheme="minorHAnsi"/>
                <w:sz w:val="22"/>
                <w:lang w:eastAsia="en-GB" w:bidi="ar-SA"/>
              </w:rPr>
              <w:footnoteReference w:id="11"/>
            </w:r>
          </w:p>
        </w:tc>
      </w:tr>
      <w:tr w:rsidR="008560CF" w:rsidRPr="008560CF" w14:paraId="220AD408" w14:textId="77777777" w:rsidTr="008560CF">
        <w:trPr>
          <w:cantSplit/>
        </w:trPr>
        <w:tc>
          <w:tcPr>
            <w:tcW w:w="465" w:type="pct"/>
          </w:tcPr>
          <w:p w14:paraId="390644CD"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6.7.1</w:t>
            </w:r>
          </w:p>
        </w:tc>
        <w:tc>
          <w:tcPr>
            <w:tcW w:w="3626" w:type="pct"/>
          </w:tcPr>
          <w:p w14:paraId="408A41F7"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 xml:space="preserve">General information about the protection of NM during offsite transportation that does not reveal any potential vulnerability, which may include nuclear train routes, rolling stock details, flask/package design etc. </w:t>
            </w:r>
          </w:p>
        </w:tc>
        <w:tc>
          <w:tcPr>
            <w:tcW w:w="909" w:type="pct"/>
          </w:tcPr>
          <w:p w14:paraId="1311843D"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37515D1A" w14:textId="77777777" w:rsidTr="008560CF">
        <w:trPr>
          <w:cantSplit/>
        </w:trPr>
        <w:tc>
          <w:tcPr>
            <w:tcW w:w="465" w:type="pct"/>
            <w:vMerge w:val="restart"/>
          </w:tcPr>
          <w:p w14:paraId="1474EF68" w14:textId="77777777" w:rsidR="008560CF" w:rsidRPr="008560CF" w:rsidRDefault="008560CF"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6.7.2</w:t>
            </w:r>
          </w:p>
        </w:tc>
        <w:tc>
          <w:tcPr>
            <w:tcW w:w="3626" w:type="pct"/>
          </w:tcPr>
          <w:p w14:paraId="65111A9B" w14:textId="77777777" w:rsidR="008560CF" w:rsidRPr="008560CF" w:rsidRDefault="008560CF"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SNI relating to the protection of NM during offsite transportation may include movement information, notifications, security incident reports, high security vehicle data, vulnerabilities of vehicle and vessel tracking systems, design and function of security devices, alarms and immobilisation devices, keys and combination settings for security locks, information on secure communications systems, security plans, security staffing, temporary storage arrangements during transport, and Civil Nuclear Constabulary (CNC) escort arrangements for NM movements.</w:t>
            </w:r>
          </w:p>
        </w:tc>
        <w:tc>
          <w:tcPr>
            <w:tcW w:w="909" w:type="pct"/>
          </w:tcPr>
          <w:p w14:paraId="5C36A47E" w14:textId="77777777" w:rsidR="008560CF" w:rsidRPr="008560CF" w:rsidRDefault="008560CF" w:rsidP="00E801C1">
            <w:pPr>
              <w:spacing w:before="60" w:after="60"/>
              <w:rPr>
                <w:rFonts w:asciiTheme="minorHAnsi" w:eastAsia="Times New Roman" w:hAnsiTheme="minorHAnsi" w:cstheme="minorHAnsi"/>
                <w:sz w:val="22"/>
                <w:lang w:eastAsia="en-GB" w:bidi="ar-SA"/>
              </w:rPr>
            </w:pPr>
          </w:p>
        </w:tc>
      </w:tr>
      <w:tr w:rsidR="008560CF" w:rsidRPr="008560CF" w14:paraId="23F5E74B" w14:textId="77777777" w:rsidTr="008560CF">
        <w:trPr>
          <w:cantSplit/>
        </w:trPr>
        <w:tc>
          <w:tcPr>
            <w:tcW w:w="465" w:type="pct"/>
            <w:vMerge/>
          </w:tcPr>
          <w:p w14:paraId="476D746E" w14:textId="77777777" w:rsidR="008560CF" w:rsidRPr="008560CF" w:rsidRDefault="008560CF" w:rsidP="00E801C1">
            <w:pPr>
              <w:spacing w:before="60" w:after="60"/>
              <w:rPr>
                <w:rFonts w:asciiTheme="minorHAnsi" w:eastAsia="Times New Roman" w:hAnsiTheme="minorHAnsi" w:cstheme="minorHAnsi"/>
                <w:sz w:val="22"/>
                <w:lang w:eastAsia="en-GB" w:bidi="ar-SA"/>
              </w:rPr>
            </w:pPr>
          </w:p>
        </w:tc>
        <w:tc>
          <w:tcPr>
            <w:tcW w:w="3626" w:type="pct"/>
          </w:tcPr>
          <w:p w14:paraId="4D186C76" w14:textId="77777777" w:rsidR="008560CF" w:rsidRPr="008560CF" w:rsidRDefault="008560CF"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9" w:type="pct"/>
            <w:hideMark/>
          </w:tcPr>
          <w:p w14:paraId="3D05D62A" w14:textId="77777777" w:rsidR="008560CF" w:rsidRPr="008560CF" w:rsidRDefault="008560CF"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2540E1C6" w14:textId="77777777" w:rsidTr="008560CF">
        <w:trPr>
          <w:cantSplit/>
        </w:trPr>
        <w:tc>
          <w:tcPr>
            <w:tcW w:w="465" w:type="pct"/>
            <w:vMerge/>
          </w:tcPr>
          <w:p w14:paraId="2BB70083" w14:textId="77777777" w:rsidR="008560CF" w:rsidRPr="008560CF" w:rsidRDefault="008560CF" w:rsidP="00E801C1">
            <w:pPr>
              <w:spacing w:before="60" w:after="60"/>
              <w:rPr>
                <w:rFonts w:asciiTheme="minorHAnsi" w:eastAsia="Times New Roman" w:hAnsiTheme="minorHAnsi" w:cstheme="minorHAnsi"/>
                <w:sz w:val="22"/>
                <w:lang w:eastAsia="en-GB" w:bidi="ar-SA"/>
              </w:rPr>
            </w:pPr>
          </w:p>
        </w:tc>
        <w:tc>
          <w:tcPr>
            <w:tcW w:w="3626" w:type="pct"/>
          </w:tcPr>
          <w:p w14:paraId="269B7A62" w14:textId="77777777" w:rsidR="008560CF" w:rsidRPr="008560CF" w:rsidRDefault="008560CF"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tc>
        <w:tc>
          <w:tcPr>
            <w:tcW w:w="909" w:type="pct"/>
          </w:tcPr>
          <w:p w14:paraId="35B2BE72" w14:textId="77777777" w:rsidR="008560CF" w:rsidRPr="008560CF" w:rsidRDefault="008560CF"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bl>
    <w:p w14:paraId="0FDE8B90" w14:textId="77777777" w:rsidR="00366A2D" w:rsidRDefault="00366A2D" w:rsidP="00E801C1">
      <w:pPr>
        <w:spacing w:before="60" w:after="60"/>
        <w:rPr>
          <w:rFonts w:asciiTheme="minorHAnsi" w:hAnsiTheme="minorHAnsi" w:cstheme="minorHAnsi"/>
          <w:b/>
          <w:bCs/>
          <w:sz w:val="22"/>
          <w:lang w:eastAsia="en-GB" w:bidi="ar-SA"/>
        </w:rPr>
        <w:sectPr w:rsidR="00366A2D" w:rsidSect="008560CF">
          <w:type w:val="continuous"/>
          <w:pgSz w:w="11906" w:h="16838" w:code="9"/>
          <w:pgMar w:top="1440" w:right="1440" w:bottom="1440" w:left="1440" w:header="397" w:footer="397" w:gutter="0"/>
          <w:cols w:space="312"/>
          <w:docGrid w:linePitch="360"/>
        </w:sectPr>
      </w:pPr>
      <w:bookmarkStart w:id="48" w:name="_Toc498675974"/>
    </w:p>
    <w:p w14:paraId="75234A09" w14:textId="77777777" w:rsidR="00366A2D" w:rsidRDefault="00366A2D" w:rsidP="00E801C1">
      <w:pPr>
        <w:spacing w:before="60" w:after="60"/>
        <w:rPr>
          <w:rFonts w:asciiTheme="minorHAnsi" w:hAnsiTheme="minorHAnsi" w:cstheme="minorHAnsi"/>
          <w:bCs/>
          <w:sz w:val="22"/>
          <w:lang w:eastAsia="en-GB" w:bidi="ar-SA"/>
        </w:rPr>
        <w:sectPr w:rsidR="00366A2D" w:rsidSect="008560CF">
          <w:type w:val="continuous"/>
          <w:pgSz w:w="11906" w:h="16838" w:code="9"/>
          <w:pgMar w:top="1440" w:right="1440" w:bottom="1440" w:left="1440" w:header="397" w:footer="397" w:gutter="0"/>
          <w:cols w:space="312"/>
          <w:docGrid w:linePitch="360"/>
        </w:sectPr>
      </w:pPr>
    </w:p>
    <w:tbl>
      <w:tblPr>
        <w:tblStyle w:val="ONRTable1"/>
        <w:tblW w:w="5000" w:type="pct"/>
        <w:tblInd w:w="0" w:type="dxa"/>
        <w:tblLook w:val="01E0" w:firstRow="1" w:lastRow="1" w:firstColumn="1" w:lastColumn="1" w:noHBand="0" w:noVBand="0"/>
      </w:tblPr>
      <w:tblGrid>
        <w:gridCol w:w="839"/>
        <w:gridCol w:w="6546"/>
        <w:gridCol w:w="1641"/>
      </w:tblGrid>
      <w:tr w:rsidR="00366A2D" w:rsidRPr="00366A2D" w14:paraId="271E5927" w14:textId="77777777" w:rsidTr="00366A2D">
        <w:trPr>
          <w:cnfStyle w:val="100000000000" w:firstRow="1" w:lastRow="0" w:firstColumn="0" w:lastColumn="0" w:oddVBand="0" w:evenVBand="0" w:oddHBand="0" w:evenHBand="0" w:firstRowFirstColumn="0" w:firstRowLastColumn="0" w:lastRowFirstColumn="0" w:lastRowLastColumn="0"/>
          <w:cantSplit/>
          <w:tblHeader/>
        </w:trPr>
        <w:tc>
          <w:tcPr>
            <w:tcW w:w="4091" w:type="pct"/>
            <w:gridSpan w:val="2"/>
            <w:hideMark/>
          </w:tcPr>
          <w:bookmarkEnd w:id="48"/>
          <w:p w14:paraId="5900F773" w14:textId="77777777" w:rsidR="00366A2D" w:rsidRPr="00366A2D" w:rsidRDefault="00366A2D" w:rsidP="00E801C1">
            <w:pPr>
              <w:spacing w:before="60" w:after="60"/>
              <w:rPr>
                <w:rFonts w:asciiTheme="minorHAnsi" w:eastAsia="Times New Roman" w:hAnsiTheme="minorHAnsi" w:cstheme="minorHAnsi"/>
                <w:bCs/>
                <w:szCs w:val="24"/>
                <w:lang w:eastAsia="en-GB" w:bidi="ar-SA"/>
              </w:rPr>
            </w:pPr>
            <w:r w:rsidRPr="00366A2D">
              <w:rPr>
                <w:rFonts w:asciiTheme="minorHAnsi" w:hAnsiTheme="minorHAnsi" w:cstheme="minorHAnsi"/>
                <w:b w:val="0"/>
                <w:bCs/>
                <w:szCs w:val="24"/>
                <w:lang w:eastAsia="en-GB" w:bidi="ar-SA"/>
              </w:rPr>
              <w:lastRenderedPageBreak/>
              <w:t>FSyP 7 – Cyber Security and Information Assurance</w:t>
            </w:r>
          </w:p>
        </w:tc>
        <w:tc>
          <w:tcPr>
            <w:tcW w:w="909" w:type="pct"/>
          </w:tcPr>
          <w:p w14:paraId="4BE18E56" w14:textId="6BC005A5" w:rsidR="00366A2D" w:rsidRPr="00366A2D" w:rsidRDefault="00366A2D" w:rsidP="00E801C1">
            <w:pPr>
              <w:spacing w:before="60" w:after="60"/>
              <w:rPr>
                <w:rFonts w:asciiTheme="minorHAnsi" w:eastAsia="Times New Roman" w:hAnsiTheme="minorHAnsi" w:cstheme="minorHAnsi"/>
                <w:b w:val="0"/>
                <w:bCs/>
                <w:szCs w:val="24"/>
                <w:lang w:eastAsia="en-GB" w:bidi="ar-SA"/>
              </w:rPr>
            </w:pPr>
            <w:r w:rsidRPr="00366A2D">
              <w:rPr>
                <w:rFonts w:asciiTheme="minorHAnsi" w:eastAsia="Times New Roman" w:hAnsiTheme="minorHAnsi" w:cstheme="minorHAnsi"/>
                <w:b w:val="0"/>
                <w:bCs/>
                <w:szCs w:val="24"/>
                <w:lang w:eastAsia="en-GB" w:bidi="ar-SA"/>
              </w:rPr>
              <w:t>Classification</w:t>
            </w:r>
          </w:p>
        </w:tc>
      </w:tr>
      <w:tr w:rsidR="008560CF" w:rsidRPr="008560CF" w14:paraId="4C21A36F" w14:textId="77777777" w:rsidTr="008560CF">
        <w:trPr>
          <w:cantSplit/>
        </w:trPr>
        <w:tc>
          <w:tcPr>
            <w:tcW w:w="5000" w:type="pct"/>
            <w:gridSpan w:val="3"/>
            <w:hideMark/>
          </w:tcPr>
          <w:p w14:paraId="39ECCA82" w14:textId="4ACA5CD0" w:rsidR="008560CF" w:rsidRPr="008560CF" w:rsidRDefault="008560CF" w:rsidP="00E801C1">
            <w:pPr>
              <w:spacing w:before="60" w:after="60"/>
              <w:rPr>
                <w:rFonts w:asciiTheme="minorHAnsi" w:hAnsiTheme="minorHAnsi" w:cstheme="minorHAnsi"/>
                <w:sz w:val="22"/>
                <w:lang w:eastAsia="en-GB" w:bidi="ar-SA"/>
              </w:rPr>
            </w:pPr>
            <w:bookmarkStart w:id="49" w:name="_Toc498675975"/>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7.1 – Effective Cyber and Information Risk Management</w:t>
            </w:r>
            <w:bookmarkEnd w:id="49"/>
            <w:r w:rsidRPr="008560CF">
              <w:rPr>
                <w:rFonts w:asciiTheme="minorHAnsi" w:hAnsiTheme="minorHAnsi" w:cstheme="minorHAnsi"/>
                <w:sz w:val="22"/>
                <w:lang w:eastAsia="en-GB" w:bidi="ar-SA"/>
              </w:rPr>
              <w:tab/>
            </w:r>
          </w:p>
        </w:tc>
      </w:tr>
      <w:tr w:rsidR="008560CF" w:rsidRPr="008560CF" w14:paraId="12862FE7" w14:textId="77777777" w:rsidTr="008560CF">
        <w:trPr>
          <w:cantSplit/>
        </w:trPr>
        <w:tc>
          <w:tcPr>
            <w:tcW w:w="465" w:type="pct"/>
          </w:tcPr>
          <w:p w14:paraId="4187BABB"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7.1.1</w:t>
            </w:r>
          </w:p>
        </w:tc>
        <w:tc>
          <w:tcPr>
            <w:tcW w:w="3626" w:type="pct"/>
            <w:hideMark/>
          </w:tcPr>
          <w:p w14:paraId="0F1376DF"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about effective cyber and information risk management, which may include CS&amp;IA policies, procedures, risk management communications plans, business objectives, business risk registers, risk appetite statements etc.</w:t>
            </w:r>
          </w:p>
        </w:tc>
        <w:tc>
          <w:tcPr>
            <w:tcW w:w="909" w:type="pct"/>
            <w:hideMark/>
          </w:tcPr>
          <w:p w14:paraId="78C401CE"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09D75F4A" w14:textId="77777777" w:rsidTr="008560CF">
        <w:trPr>
          <w:cantSplit/>
        </w:trPr>
        <w:tc>
          <w:tcPr>
            <w:tcW w:w="465" w:type="pct"/>
            <w:vMerge w:val="restart"/>
          </w:tcPr>
          <w:p w14:paraId="40E87255" w14:textId="77777777" w:rsidR="008560CF" w:rsidRPr="008560CF" w:rsidRDefault="008560CF"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7.1.2</w:t>
            </w:r>
          </w:p>
        </w:tc>
        <w:tc>
          <w:tcPr>
            <w:tcW w:w="3626" w:type="pct"/>
            <w:hideMark/>
          </w:tcPr>
          <w:p w14:paraId="3076F04F" w14:textId="77777777" w:rsidR="008560CF" w:rsidRPr="008560CF" w:rsidRDefault="008560CF"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SNI relating to effective cyber and information risk management may include security risk registers, risk assessments, threat assessments, details of security controls, cyber protection systems.</w:t>
            </w:r>
          </w:p>
        </w:tc>
        <w:tc>
          <w:tcPr>
            <w:tcW w:w="909" w:type="pct"/>
            <w:hideMark/>
          </w:tcPr>
          <w:p w14:paraId="5DEDE0D6" w14:textId="77777777" w:rsidR="008560CF" w:rsidRPr="008560CF" w:rsidRDefault="008560CF" w:rsidP="00E801C1">
            <w:pPr>
              <w:spacing w:before="60" w:after="60"/>
              <w:rPr>
                <w:rFonts w:asciiTheme="minorHAnsi" w:eastAsia="Times New Roman" w:hAnsiTheme="minorHAnsi" w:cstheme="minorHAnsi"/>
                <w:sz w:val="22"/>
                <w:lang w:eastAsia="en-GB" w:bidi="ar-SA"/>
              </w:rPr>
            </w:pPr>
          </w:p>
        </w:tc>
      </w:tr>
      <w:tr w:rsidR="008560CF" w:rsidRPr="008560CF" w14:paraId="4CDF3863" w14:textId="77777777" w:rsidTr="008560CF">
        <w:trPr>
          <w:cantSplit/>
        </w:trPr>
        <w:tc>
          <w:tcPr>
            <w:tcW w:w="465" w:type="pct"/>
            <w:vMerge/>
          </w:tcPr>
          <w:p w14:paraId="266F62CA" w14:textId="77777777" w:rsidR="008560CF" w:rsidRPr="008560CF" w:rsidRDefault="008560CF" w:rsidP="00E801C1">
            <w:pPr>
              <w:spacing w:before="60" w:after="60"/>
              <w:rPr>
                <w:rFonts w:asciiTheme="minorHAnsi" w:eastAsia="Times New Roman" w:hAnsiTheme="minorHAnsi" w:cstheme="minorHAnsi"/>
                <w:sz w:val="22"/>
                <w:lang w:eastAsia="en-GB" w:bidi="ar-SA"/>
              </w:rPr>
            </w:pPr>
          </w:p>
        </w:tc>
        <w:tc>
          <w:tcPr>
            <w:tcW w:w="3626" w:type="pct"/>
          </w:tcPr>
          <w:p w14:paraId="1A2DAF1C" w14:textId="77777777" w:rsidR="008560CF" w:rsidRPr="008560CF" w:rsidRDefault="008560CF"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9" w:type="pct"/>
            <w:hideMark/>
          </w:tcPr>
          <w:p w14:paraId="65A382D6" w14:textId="77777777" w:rsidR="008560CF" w:rsidRPr="008560CF" w:rsidRDefault="008560CF"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1F7419F7" w14:textId="77777777" w:rsidTr="008560CF">
        <w:trPr>
          <w:cantSplit/>
        </w:trPr>
        <w:tc>
          <w:tcPr>
            <w:tcW w:w="465" w:type="pct"/>
            <w:vMerge/>
          </w:tcPr>
          <w:p w14:paraId="2A831657" w14:textId="77777777" w:rsidR="008560CF" w:rsidRPr="008560CF" w:rsidRDefault="008560CF" w:rsidP="00E801C1">
            <w:pPr>
              <w:spacing w:before="60" w:after="60"/>
              <w:rPr>
                <w:rFonts w:asciiTheme="minorHAnsi" w:eastAsia="Times New Roman" w:hAnsiTheme="minorHAnsi" w:cstheme="minorHAnsi"/>
                <w:sz w:val="22"/>
                <w:lang w:eastAsia="en-GB" w:bidi="ar-SA"/>
              </w:rPr>
            </w:pPr>
          </w:p>
        </w:tc>
        <w:tc>
          <w:tcPr>
            <w:tcW w:w="3626" w:type="pct"/>
          </w:tcPr>
          <w:p w14:paraId="01FCE26C" w14:textId="77777777" w:rsidR="008560CF" w:rsidRPr="008560CF" w:rsidRDefault="008560CF"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tc>
        <w:tc>
          <w:tcPr>
            <w:tcW w:w="909" w:type="pct"/>
          </w:tcPr>
          <w:p w14:paraId="5D870267" w14:textId="77777777" w:rsidR="008560CF" w:rsidRPr="008560CF" w:rsidRDefault="008560CF"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r w:rsidR="008560CF" w:rsidRPr="008560CF" w14:paraId="0326C5C4" w14:textId="77777777" w:rsidTr="008560CF">
        <w:trPr>
          <w:cantSplit/>
        </w:trPr>
        <w:tc>
          <w:tcPr>
            <w:tcW w:w="5000" w:type="pct"/>
            <w:gridSpan w:val="3"/>
            <w:hideMark/>
          </w:tcPr>
          <w:p w14:paraId="6F5AA2DC" w14:textId="47E0B896" w:rsidR="004B296C" w:rsidRPr="008560CF" w:rsidRDefault="004B296C" w:rsidP="00E801C1">
            <w:pPr>
              <w:spacing w:before="60" w:after="60"/>
              <w:rPr>
                <w:rFonts w:asciiTheme="minorHAnsi" w:eastAsia="Times New Roman" w:hAnsiTheme="minorHAnsi" w:cstheme="minorHAnsi"/>
                <w:sz w:val="22"/>
                <w:lang w:eastAsia="en-GB" w:bidi="ar-SA"/>
              </w:rPr>
            </w:pPr>
            <w:bookmarkStart w:id="50" w:name="_Toc498675976"/>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7.2 – Information Security</w:t>
            </w:r>
            <w:bookmarkEnd w:id="50"/>
          </w:p>
        </w:tc>
      </w:tr>
      <w:tr w:rsidR="008560CF" w:rsidRPr="008560CF" w14:paraId="69F0CA2B" w14:textId="77777777" w:rsidTr="008560CF">
        <w:trPr>
          <w:cantSplit/>
        </w:trPr>
        <w:tc>
          <w:tcPr>
            <w:tcW w:w="465" w:type="pct"/>
          </w:tcPr>
          <w:p w14:paraId="017D9CCA"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7.2.1</w:t>
            </w:r>
          </w:p>
        </w:tc>
        <w:tc>
          <w:tcPr>
            <w:tcW w:w="3626" w:type="pct"/>
            <w:hideMark/>
          </w:tcPr>
          <w:p w14:paraId="4AF4A7C8"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about information security, which may include strategies, policies, procedures, organisation specific classification guidance etc.</w:t>
            </w:r>
          </w:p>
        </w:tc>
        <w:tc>
          <w:tcPr>
            <w:tcW w:w="909" w:type="pct"/>
            <w:hideMark/>
          </w:tcPr>
          <w:p w14:paraId="26D58F8D"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70DC2015" w14:textId="77777777" w:rsidTr="008560CF">
        <w:trPr>
          <w:cantSplit/>
        </w:trPr>
        <w:tc>
          <w:tcPr>
            <w:tcW w:w="465" w:type="pct"/>
            <w:vMerge w:val="restart"/>
          </w:tcPr>
          <w:p w14:paraId="5588CB6E"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7.2.2</w:t>
            </w:r>
          </w:p>
        </w:tc>
        <w:tc>
          <w:tcPr>
            <w:tcW w:w="3626" w:type="pct"/>
            <w:hideMark/>
          </w:tcPr>
          <w:p w14:paraId="7BF125CE"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 xml:space="preserve">SNI relating to information security may include detailed internal or third-party (contract security) assessments, information asset registers, and the location of sensitive assets. </w:t>
            </w:r>
          </w:p>
        </w:tc>
        <w:tc>
          <w:tcPr>
            <w:tcW w:w="909" w:type="pct"/>
          </w:tcPr>
          <w:p w14:paraId="6D4450C9"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r>
      <w:tr w:rsidR="008560CF" w:rsidRPr="008560CF" w14:paraId="6D5F94C9" w14:textId="77777777" w:rsidTr="008560CF">
        <w:trPr>
          <w:cantSplit/>
        </w:trPr>
        <w:tc>
          <w:tcPr>
            <w:tcW w:w="465" w:type="pct"/>
            <w:vMerge/>
          </w:tcPr>
          <w:p w14:paraId="47C7C994"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568D07A9"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9" w:type="pct"/>
            <w:hideMark/>
          </w:tcPr>
          <w:p w14:paraId="7B6BB083"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00976349" w14:textId="77777777" w:rsidTr="008560CF">
        <w:trPr>
          <w:cantSplit/>
        </w:trPr>
        <w:tc>
          <w:tcPr>
            <w:tcW w:w="465" w:type="pct"/>
            <w:vMerge/>
          </w:tcPr>
          <w:p w14:paraId="06DBE553"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3CF94FD5"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tc>
        <w:tc>
          <w:tcPr>
            <w:tcW w:w="909" w:type="pct"/>
          </w:tcPr>
          <w:p w14:paraId="43787E70"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r w:rsidR="008560CF" w:rsidRPr="008560CF" w14:paraId="3732DB82" w14:textId="77777777" w:rsidTr="008560CF">
        <w:trPr>
          <w:cantSplit/>
        </w:trPr>
        <w:tc>
          <w:tcPr>
            <w:tcW w:w="5000" w:type="pct"/>
            <w:gridSpan w:val="3"/>
            <w:hideMark/>
          </w:tcPr>
          <w:p w14:paraId="0D595587" w14:textId="68158EDA" w:rsidR="004B296C" w:rsidRPr="008560CF" w:rsidRDefault="004B296C" w:rsidP="00E801C1">
            <w:pPr>
              <w:spacing w:before="60" w:after="60"/>
              <w:rPr>
                <w:rFonts w:asciiTheme="minorHAnsi" w:hAnsiTheme="minorHAnsi" w:cstheme="minorHAnsi"/>
                <w:sz w:val="22"/>
                <w:lang w:eastAsia="en-GB" w:bidi="ar-SA"/>
              </w:rPr>
            </w:pPr>
            <w:bookmarkStart w:id="51" w:name="_Toc498675977"/>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7.3 – Protection of Nuclear Technology and Operations</w:t>
            </w:r>
            <w:bookmarkEnd w:id="51"/>
          </w:p>
        </w:tc>
      </w:tr>
      <w:tr w:rsidR="008560CF" w:rsidRPr="008560CF" w14:paraId="71F4D851" w14:textId="77777777" w:rsidTr="008560CF">
        <w:trPr>
          <w:cantSplit/>
        </w:trPr>
        <w:tc>
          <w:tcPr>
            <w:tcW w:w="465" w:type="pct"/>
          </w:tcPr>
          <w:p w14:paraId="351BDE4C"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7.3.1</w:t>
            </w:r>
          </w:p>
        </w:tc>
        <w:tc>
          <w:tcPr>
            <w:tcW w:w="3626" w:type="pct"/>
            <w:hideMark/>
          </w:tcPr>
          <w:p w14:paraId="092BDBCF"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about protection of nuclear technology and operations which may include system policies, operational technology categorisation processes, Security Operating Procedures, etc.</w:t>
            </w:r>
          </w:p>
        </w:tc>
        <w:tc>
          <w:tcPr>
            <w:tcW w:w="909" w:type="pct"/>
            <w:hideMark/>
          </w:tcPr>
          <w:p w14:paraId="729C51A3"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6FF6D8D0" w14:textId="77777777" w:rsidTr="008560CF">
        <w:trPr>
          <w:cantSplit/>
        </w:trPr>
        <w:tc>
          <w:tcPr>
            <w:tcW w:w="465" w:type="pct"/>
            <w:vMerge w:val="restart"/>
          </w:tcPr>
          <w:p w14:paraId="591B903D"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lastRenderedPageBreak/>
              <w:t>7.3.2</w:t>
            </w:r>
          </w:p>
        </w:tc>
        <w:tc>
          <w:tcPr>
            <w:tcW w:w="3626" w:type="pct"/>
            <w:hideMark/>
          </w:tcPr>
          <w:p w14:paraId="117954E5"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SNI relating to the protection of nuclear technology and operations may comprise comprehensive documentation which identifies cyber protection systems and be detailed in documents such as Operational Technology risk assessments, Information Technology Health Checks, vulnerability assessments, penetration tests, firewall rule sets, system configuration, and network topology diagrams etc.</w:t>
            </w:r>
            <w:r w:rsidRPr="008560CF">
              <w:rPr>
                <w:rFonts w:asciiTheme="minorHAnsi" w:eastAsia="Times New Roman" w:hAnsiTheme="minorHAnsi" w:cstheme="minorHAnsi"/>
                <w:sz w:val="22"/>
                <w:vertAlign w:val="superscript"/>
                <w:lang w:eastAsia="en-GB" w:bidi="ar-SA"/>
              </w:rPr>
              <w:footnoteReference w:id="12"/>
            </w:r>
          </w:p>
        </w:tc>
        <w:tc>
          <w:tcPr>
            <w:tcW w:w="909" w:type="pct"/>
          </w:tcPr>
          <w:p w14:paraId="76BA9BC5"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r>
      <w:tr w:rsidR="008560CF" w:rsidRPr="008560CF" w14:paraId="23164E6C" w14:textId="77777777" w:rsidTr="008560CF">
        <w:trPr>
          <w:cantSplit/>
        </w:trPr>
        <w:tc>
          <w:tcPr>
            <w:tcW w:w="465" w:type="pct"/>
            <w:vMerge/>
          </w:tcPr>
          <w:p w14:paraId="6BE89454"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548F4297"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9" w:type="pct"/>
            <w:hideMark/>
          </w:tcPr>
          <w:p w14:paraId="16FA803C"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216CF576" w14:textId="77777777" w:rsidTr="008560CF">
        <w:trPr>
          <w:cantSplit/>
        </w:trPr>
        <w:tc>
          <w:tcPr>
            <w:tcW w:w="465" w:type="pct"/>
            <w:vMerge/>
          </w:tcPr>
          <w:p w14:paraId="29CB49CC"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76DAD24D"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tc>
        <w:tc>
          <w:tcPr>
            <w:tcW w:w="909" w:type="pct"/>
          </w:tcPr>
          <w:p w14:paraId="43C2C0D8"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r w:rsidR="008560CF" w:rsidRPr="008560CF" w14:paraId="7F14E582" w14:textId="77777777" w:rsidTr="008560CF">
        <w:trPr>
          <w:cantSplit/>
        </w:trPr>
        <w:tc>
          <w:tcPr>
            <w:tcW w:w="5000" w:type="pct"/>
            <w:gridSpan w:val="3"/>
            <w:hideMark/>
          </w:tcPr>
          <w:p w14:paraId="77331E0E" w14:textId="65C19B2B" w:rsidR="004B296C" w:rsidRPr="008560CF" w:rsidRDefault="004B296C" w:rsidP="00E801C1">
            <w:pPr>
              <w:spacing w:before="60" w:after="60"/>
              <w:rPr>
                <w:rFonts w:asciiTheme="minorHAnsi" w:hAnsiTheme="minorHAnsi" w:cstheme="minorHAnsi"/>
                <w:sz w:val="22"/>
                <w:lang w:eastAsia="en-GB" w:bidi="ar-SA"/>
              </w:rPr>
            </w:pPr>
            <w:bookmarkStart w:id="52" w:name="_Toc498675978"/>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7.4 – Physical Protection of Information</w:t>
            </w:r>
            <w:bookmarkEnd w:id="52"/>
          </w:p>
        </w:tc>
      </w:tr>
      <w:tr w:rsidR="008560CF" w:rsidRPr="008560CF" w14:paraId="5AE0D345" w14:textId="77777777" w:rsidTr="008560CF">
        <w:trPr>
          <w:cantSplit/>
        </w:trPr>
        <w:tc>
          <w:tcPr>
            <w:tcW w:w="465" w:type="pct"/>
          </w:tcPr>
          <w:p w14:paraId="5FB5B81E"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7.4.1</w:t>
            </w:r>
          </w:p>
        </w:tc>
        <w:tc>
          <w:tcPr>
            <w:tcW w:w="3626" w:type="pct"/>
            <w:hideMark/>
          </w:tcPr>
          <w:p w14:paraId="59653588"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about the physical protection of information, which may include policies, procedures, etc.</w:t>
            </w:r>
          </w:p>
        </w:tc>
        <w:tc>
          <w:tcPr>
            <w:tcW w:w="909" w:type="pct"/>
            <w:hideMark/>
          </w:tcPr>
          <w:p w14:paraId="1AC38C0F"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51B24475" w14:textId="77777777" w:rsidTr="008560CF">
        <w:trPr>
          <w:cantSplit/>
        </w:trPr>
        <w:tc>
          <w:tcPr>
            <w:tcW w:w="465" w:type="pct"/>
          </w:tcPr>
          <w:p w14:paraId="7E15E444"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7.4.2</w:t>
            </w:r>
          </w:p>
        </w:tc>
        <w:tc>
          <w:tcPr>
            <w:tcW w:w="3626" w:type="pct"/>
            <w:hideMark/>
          </w:tcPr>
          <w:p w14:paraId="28E2FB9E"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SNI relating to the physical protection of information may include comprehensive physical security risk assessments relating to the protection of SNI, physical protection systems, operational requirements, security plans, Surreptitious Threat Mitigation Process (</w:t>
            </w:r>
            <w:proofErr w:type="spellStart"/>
            <w:r w:rsidRPr="008560CF">
              <w:rPr>
                <w:rFonts w:asciiTheme="minorHAnsi" w:eastAsia="Times New Roman" w:hAnsiTheme="minorHAnsi" w:cstheme="minorHAnsi"/>
                <w:sz w:val="22"/>
                <w:lang w:eastAsia="en-GB" w:bidi="ar-SA"/>
              </w:rPr>
              <w:t>STaMP</w:t>
            </w:r>
            <w:proofErr w:type="spellEnd"/>
            <w:r w:rsidRPr="008560CF">
              <w:rPr>
                <w:rFonts w:asciiTheme="minorHAnsi" w:eastAsia="Times New Roman" w:hAnsiTheme="minorHAnsi" w:cstheme="minorHAnsi"/>
                <w:sz w:val="22"/>
                <w:lang w:eastAsia="en-GB" w:bidi="ar-SA"/>
              </w:rPr>
              <w:t>) assessments, identification of single points of failure, details of security controls etc.</w:t>
            </w:r>
          </w:p>
        </w:tc>
        <w:tc>
          <w:tcPr>
            <w:tcW w:w="909" w:type="pct"/>
            <w:hideMark/>
          </w:tcPr>
          <w:p w14:paraId="26DB9A11" w14:textId="77777777" w:rsidR="00253FDE" w:rsidRPr="008560CF" w:rsidRDefault="00253FDE" w:rsidP="00E801C1">
            <w:pPr>
              <w:spacing w:before="60" w:after="60"/>
              <w:rPr>
                <w:rFonts w:asciiTheme="minorHAnsi" w:eastAsia="Times New Roman" w:hAnsiTheme="minorHAnsi" w:cstheme="minorHAnsi"/>
                <w:sz w:val="22"/>
                <w:lang w:eastAsia="en-GB" w:bidi="ar-SA"/>
              </w:rPr>
            </w:pPr>
          </w:p>
        </w:tc>
      </w:tr>
      <w:tr w:rsidR="008560CF" w:rsidRPr="008560CF" w14:paraId="34DC32BB" w14:textId="77777777" w:rsidTr="008560CF">
        <w:trPr>
          <w:cantSplit/>
        </w:trPr>
        <w:tc>
          <w:tcPr>
            <w:tcW w:w="465" w:type="pct"/>
          </w:tcPr>
          <w:p w14:paraId="3EF924E1" w14:textId="77777777" w:rsidR="00253FDE" w:rsidRPr="008560CF" w:rsidRDefault="00253FDE" w:rsidP="00E801C1">
            <w:pPr>
              <w:spacing w:before="60" w:after="60"/>
              <w:rPr>
                <w:rFonts w:asciiTheme="minorHAnsi" w:eastAsia="Times New Roman" w:hAnsiTheme="minorHAnsi" w:cstheme="minorHAnsi"/>
                <w:sz w:val="22"/>
                <w:lang w:eastAsia="en-GB" w:bidi="ar-SA"/>
              </w:rPr>
            </w:pPr>
          </w:p>
        </w:tc>
        <w:tc>
          <w:tcPr>
            <w:tcW w:w="3626" w:type="pct"/>
          </w:tcPr>
          <w:p w14:paraId="7708A68C" w14:textId="77777777" w:rsidR="00253FDE" w:rsidRPr="008560CF" w:rsidRDefault="00253FDE"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9" w:type="pct"/>
            <w:hideMark/>
          </w:tcPr>
          <w:p w14:paraId="21EA4EC2"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0EC8ECF3" w14:textId="77777777" w:rsidTr="008560CF">
        <w:trPr>
          <w:cantSplit/>
        </w:trPr>
        <w:tc>
          <w:tcPr>
            <w:tcW w:w="465" w:type="pct"/>
          </w:tcPr>
          <w:p w14:paraId="7E9309FE" w14:textId="77777777" w:rsidR="00253FDE" w:rsidRPr="008560CF" w:rsidRDefault="00253FDE" w:rsidP="00E801C1">
            <w:pPr>
              <w:spacing w:before="60" w:after="60"/>
              <w:rPr>
                <w:rFonts w:asciiTheme="minorHAnsi" w:eastAsia="Times New Roman" w:hAnsiTheme="minorHAnsi" w:cstheme="minorHAnsi"/>
                <w:sz w:val="22"/>
                <w:lang w:eastAsia="en-GB" w:bidi="ar-SA"/>
              </w:rPr>
            </w:pPr>
          </w:p>
        </w:tc>
        <w:tc>
          <w:tcPr>
            <w:tcW w:w="3626" w:type="pct"/>
          </w:tcPr>
          <w:p w14:paraId="69F36236" w14:textId="0C07DE86" w:rsidR="004B296C" w:rsidRPr="008560CF" w:rsidRDefault="00253FDE" w:rsidP="008560CF">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tc>
        <w:tc>
          <w:tcPr>
            <w:tcW w:w="909" w:type="pct"/>
          </w:tcPr>
          <w:p w14:paraId="390BA515"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r w:rsidR="008560CF" w:rsidRPr="008560CF" w14:paraId="4DBC823B" w14:textId="77777777" w:rsidTr="008560CF">
        <w:trPr>
          <w:cantSplit/>
        </w:trPr>
        <w:tc>
          <w:tcPr>
            <w:tcW w:w="5000" w:type="pct"/>
            <w:gridSpan w:val="3"/>
            <w:hideMark/>
          </w:tcPr>
          <w:p w14:paraId="4D36E358" w14:textId="77777777" w:rsidR="00253FDE" w:rsidRPr="008560CF" w:rsidRDefault="00253FDE" w:rsidP="00E801C1">
            <w:pPr>
              <w:spacing w:before="60" w:after="60"/>
              <w:rPr>
                <w:rFonts w:asciiTheme="minorHAnsi" w:hAnsiTheme="minorHAnsi" w:cstheme="minorHAnsi"/>
                <w:sz w:val="22"/>
                <w:lang w:eastAsia="en-GB" w:bidi="ar-SA"/>
              </w:rPr>
            </w:pPr>
            <w:bookmarkStart w:id="53" w:name="_Toc498675979"/>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7.5 – Preparation for and Response to Cyber Security Incidents</w:t>
            </w:r>
            <w:bookmarkEnd w:id="53"/>
          </w:p>
        </w:tc>
      </w:tr>
      <w:tr w:rsidR="008560CF" w:rsidRPr="008560CF" w14:paraId="565CBCB4" w14:textId="77777777" w:rsidTr="008560CF">
        <w:trPr>
          <w:cantSplit/>
        </w:trPr>
        <w:tc>
          <w:tcPr>
            <w:tcW w:w="465" w:type="pct"/>
          </w:tcPr>
          <w:p w14:paraId="53DCF46A"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7.5.1</w:t>
            </w:r>
          </w:p>
        </w:tc>
        <w:tc>
          <w:tcPr>
            <w:tcW w:w="3626" w:type="pct"/>
            <w:hideMark/>
          </w:tcPr>
          <w:p w14:paraId="5E995E52"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to both reduce the vulnerabilities of information and associated assets and to ensure that dutyholders are able to detect and manage cyber security incidents to recover operational functions. This may include incident management policies and procedures, test and exercise scenarios, etc.</w:t>
            </w:r>
          </w:p>
        </w:tc>
        <w:tc>
          <w:tcPr>
            <w:tcW w:w="909" w:type="pct"/>
            <w:hideMark/>
          </w:tcPr>
          <w:p w14:paraId="3CC46B7F"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06227CD8" w14:textId="77777777" w:rsidTr="008560CF">
        <w:trPr>
          <w:cantSplit/>
        </w:trPr>
        <w:tc>
          <w:tcPr>
            <w:tcW w:w="465" w:type="pct"/>
            <w:vMerge w:val="restart"/>
          </w:tcPr>
          <w:p w14:paraId="3EC02FDD"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lastRenderedPageBreak/>
              <w:t>7.5.2</w:t>
            </w:r>
          </w:p>
        </w:tc>
        <w:tc>
          <w:tcPr>
            <w:tcW w:w="3626" w:type="pct"/>
            <w:hideMark/>
          </w:tcPr>
          <w:p w14:paraId="6DF90F65"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SNI relating to preparation for and response to cyber security incidents may include business continuity and disaster recovery plans, risk assessments, threat assessments, post incident procedures, test and exercise reports, etc.</w:t>
            </w:r>
          </w:p>
        </w:tc>
        <w:tc>
          <w:tcPr>
            <w:tcW w:w="909" w:type="pct"/>
            <w:hideMark/>
          </w:tcPr>
          <w:p w14:paraId="06D074EE"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78119E7C" w14:textId="77777777" w:rsidTr="008560CF">
        <w:trPr>
          <w:cantSplit/>
        </w:trPr>
        <w:tc>
          <w:tcPr>
            <w:tcW w:w="465" w:type="pct"/>
            <w:vMerge/>
          </w:tcPr>
          <w:p w14:paraId="741C2EA7"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7836A1BE"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9" w:type="pct"/>
            <w:hideMark/>
          </w:tcPr>
          <w:p w14:paraId="62E7F793"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7A2B0C62" w14:textId="77777777" w:rsidTr="008560CF">
        <w:trPr>
          <w:cantSplit/>
        </w:trPr>
        <w:tc>
          <w:tcPr>
            <w:tcW w:w="465" w:type="pct"/>
            <w:vMerge/>
          </w:tcPr>
          <w:p w14:paraId="56FA0450"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50846846"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tc>
        <w:tc>
          <w:tcPr>
            <w:tcW w:w="909" w:type="pct"/>
          </w:tcPr>
          <w:p w14:paraId="02A11EE6"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bl>
    <w:p w14:paraId="0A47234D" w14:textId="77777777" w:rsidR="00366A2D" w:rsidRDefault="00366A2D" w:rsidP="00E801C1">
      <w:pPr>
        <w:spacing w:before="60" w:after="60"/>
        <w:rPr>
          <w:rFonts w:asciiTheme="minorHAnsi" w:hAnsiTheme="minorHAnsi" w:cstheme="minorHAnsi"/>
          <w:b/>
          <w:bCs/>
          <w:sz w:val="22"/>
          <w:lang w:eastAsia="en-GB" w:bidi="ar-SA"/>
        </w:rPr>
        <w:sectPr w:rsidR="00366A2D" w:rsidSect="00366A2D">
          <w:pgSz w:w="11906" w:h="16838" w:code="9"/>
          <w:pgMar w:top="1440" w:right="1440" w:bottom="1440" w:left="1440" w:header="397" w:footer="397" w:gutter="0"/>
          <w:cols w:space="312"/>
          <w:docGrid w:linePitch="360"/>
        </w:sectPr>
      </w:pPr>
    </w:p>
    <w:tbl>
      <w:tblPr>
        <w:tblStyle w:val="ONRTable1"/>
        <w:tblW w:w="5000" w:type="pct"/>
        <w:tblInd w:w="0" w:type="dxa"/>
        <w:tblLook w:val="01E0" w:firstRow="1" w:lastRow="1" w:firstColumn="1" w:lastColumn="1" w:noHBand="0" w:noVBand="0"/>
      </w:tblPr>
      <w:tblGrid>
        <w:gridCol w:w="839"/>
        <w:gridCol w:w="6546"/>
        <w:gridCol w:w="1641"/>
      </w:tblGrid>
      <w:tr w:rsidR="00366A2D" w:rsidRPr="00366A2D" w14:paraId="7EE4BC59" w14:textId="77777777" w:rsidTr="00366A2D">
        <w:trPr>
          <w:cnfStyle w:val="100000000000" w:firstRow="1" w:lastRow="0" w:firstColumn="0" w:lastColumn="0" w:oddVBand="0" w:evenVBand="0" w:oddHBand="0" w:evenHBand="0" w:firstRowFirstColumn="0" w:firstRowLastColumn="0" w:lastRowFirstColumn="0" w:lastRowLastColumn="0"/>
          <w:cantSplit/>
          <w:tblHeader/>
        </w:trPr>
        <w:tc>
          <w:tcPr>
            <w:tcW w:w="4091" w:type="pct"/>
            <w:gridSpan w:val="2"/>
            <w:hideMark/>
          </w:tcPr>
          <w:p w14:paraId="419AC372" w14:textId="77777777" w:rsidR="00366A2D" w:rsidRPr="00366A2D" w:rsidRDefault="00366A2D" w:rsidP="00E801C1">
            <w:pPr>
              <w:spacing w:before="60" w:after="60"/>
              <w:rPr>
                <w:rFonts w:asciiTheme="minorHAnsi" w:eastAsia="Times New Roman" w:hAnsiTheme="minorHAnsi" w:cstheme="minorHAnsi"/>
                <w:bCs/>
                <w:szCs w:val="24"/>
                <w:lang w:eastAsia="en-GB" w:bidi="ar-SA"/>
              </w:rPr>
            </w:pPr>
            <w:r w:rsidRPr="00366A2D">
              <w:rPr>
                <w:rFonts w:asciiTheme="minorHAnsi" w:hAnsiTheme="minorHAnsi" w:cstheme="minorHAnsi"/>
                <w:b w:val="0"/>
                <w:bCs/>
                <w:szCs w:val="24"/>
                <w:lang w:eastAsia="en-GB" w:bidi="ar-SA"/>
              </w:rPr>
              <w:t>FSyP 8 – Workforce Trustworthiness</w:t>
            </w:r>
          </w:p>
        </w:tc>
        <w:tc>
          <w:tcPr>
            <w:tcW w:w="909" w:type="pct"/>
          </w:tcPr>
          <w:p w14:paraId="35224603" w14:textId="36511A6F" w:rsidR="00366A2D" w:rsidRPr="00366A2D" w:rsidRDefault="00366A2D" w:rsidP="00E801C1">
            <w:pPr>
              <w:spacing w:before="60" w:after="60"/>
              <w:rPr>
                <w:rFonts w:asciiTheme="minorHAnsi" w:eastAsia="Times New Roman" w:hAnsiTheme="minorHAnsi" w:cstheme="minorHAnsi"/>
                <w:b w:val="0"/>
                <w:bCs/>
                <w:szCs w:val="24"/>
                <w:lang w:eastAsia="en-GB" w:bidi="ar-SA"/>
              </w:rPr>
            </w:pPr>
            <w:r w:rsidRPr="00366A2D">
              <w:rPr>
                <w:rFonts w:asciiTheme="minorHAnsi" w:eastAsia="Times New Roman" w:hAnsiTheme="minorHAnsi" w:cstheme="minorHAnsi"/>
                <w:b w:val="0"/>
                <w:bCs/>
                <w:szCs w:val="24"/>
                <w:lang w:eastAsia="en-GB" w:bidi="ar-SA"/>
              </w:rPr>
              <w:t>Classification</w:t>
            </w:r>
          </w:p>
        </w:tc>
      </w:tr>
      <w:tr w:rsidR="008560CF" w:rsidRPr="008560CF" w14:paraId="7B85A5F8" w14:textId="77777777" w:rsidTr="008560CF">
        <w:trPr>
          <w:cantSplit/>
        </w:trPr>
        <w:tc>
          <w:tcPr>
            <w:tcW w:w="5000" w:type="pct"/>
            <w:gridSpan w:val="3"/>
            <w:hideMark/>
          </w:tcPr>
          <w:p w14:paraId="2238E3BE" w14:textId="6A3013B9" w:rsidR="004B296C" w:rsidRPr="008560CF" w:rsidRDefault="004B296C" w:rsidP="00E801C1">
            <w:pPr>
              <w:spacing w:before="60" w:after="60"/>
              <w:rPr>
                <w:rFonts w:asciiTheme="minorHAnsi" w:eastAsia="Times New Roman" w:hAnsiTheme="minorHAnsi" w:cstheme="minorHAnsi"/>
                <w:sz w:val="22"/>
                <w:lang w:eastAsia="en-GB" w:bidi="ar-SA"/>
              </w:rPr>
            </w:pPr>
            <w:bookmarkStart w:id="54" w:name="_Toc498675981"/>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8.1 – Cooperation of Departments with Responsibility for Delivering Screening, Vetting and Ongoing Personnel Security</w:t>
            </w:r>
            <w:bookmarkEnd w:id="54"/>
            <w:r w:rsidRPr="008560CF">
              <w:rPr>
                <w:rStyle w:val="FootnoteReference"/>
                <w:rFonts w:asciiTheme="minorHAnsi" w:hAnsiTheme="minorHAnsi" w:cstheme="minorHAnsi"/>
                <w:sz w:val="22"/>
                <w:lang w:eastAsia="en-GB" w:bidi="ar-SA"/>
              </w:rPr>
              <w:footnoteReference w:id="13"/>
            </w:r>
            <w:r w:rsidRPr="008560CF">
              <w:rPr>
                <w:rFonts w:asciiTheme="minorHAnsi" w:hAnsiTheme="minorHAnsi" w:cstheme="minorHAnsi"/>
                <w:sz w:val="22"/>
                <w:lang w:eastAsia="en-GB" w:bidi="ar-SA"/>
              </w:rPr>
              <w:t xml:space="preserve"> </w:t>
            </w:r>
            <w:r w:rsidRPr="008560CF">
              <w:rPr>
                <w:rStyle w:val="FootnoteReference"/>
                <w:rFonts w:asciiTheme="minorHAnsi" w:hAnsiTheme="minorHAnsi" w:cstheme="minorHAnsi"/>
                <w:sz w:val="22"/>
                <w:lang w:eastAsia="en-GB" w:bidi="ar-SA"/>
              </w:rPr>
              <w:footnoteReference w:id="14"/>
            </w:r>
          </w:p>
        </w:tc>
      </w:tr>
      <w:tr w:rsidR="008560CF" w:rsidRPr="008560CF" w14:paraId="36397744" w14:textId="77777777" w:rsidTr="008560CF">
        <w:trPr>
          <w:cantSplit/>
        </w:trPr>
        <w:tc>
          <w:tcPr>
            <w:tcW w:w="465" w:type="pct"/>
          </w:tcPr>
          <w:p w14:paraId="513D12E7"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8.1.1</w:t>
            </w:r>
          </w:p>
        </w:tc>
        <w:tc>
          <w:tcPr>
            <w:tcW w:w="3626" w:type="pct"/>
            <w:hideMark/>
          </w:tcPr>
          <w:p w14:paraId="2F0B12D8"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about cooperation of departments with responsibility for delivering screening, vetting and ongoing personnel security. May include internal assurance policies and processes, inter-departmental protocols, exit policies, etc.</w:t>
            </w:r>
          </w:p>
        </w:tc>
        <w:tc>
          <w:tcPr>
            <w:tcW w:w="909" w:type="pct"/>
            <w:hideMark/>
          </w:tcPr>
          <w:p w14:paraId="56DEA3A9"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5598F768" w14:textId="77777777" w:rsidTr="008560CF">
        <w:trPr>
          <w:cantSplit/>
        </w:trPr>
        <w:tc>
          <w:tcPr>
            <w:tcW w:w="465" w:type="pct"/>
          </w:tcPr>
          <w:p w14:paraId="55A1429E"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8.1.2</w:t>
            </w:r>
          </w:p>
        </w:tc>
        <w:tc>
          <w:tcPr>
            <w:tcW w:w="3626" w:type="pct"/>
            <w:hideMark/>
          </w:tcPr>
          <w:p w14:paraId="26859C37"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 xml:space="preserve">Personnel records held by dutyholders (which may include sensitive information relating to financial difficulties, medical conditions, the misuse of alcohol or drugs, or criminality). </w:t>
            </w:r>
          </w:p>
        </w:tc>
        <w:tc>
          <w:tcPr>
            <w:tcW w:w="909" w:type="pct"/>
            <w:hideMark/>
          </w:tcPr>
          <w:p w14:paraId="6EC6A446"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2467E6B0" w14:textId="77777777" w:rsidTr="008560CF">
        <w:trPr>
          <w:cantSplit/>
        </w:trPr>
        <w:tc>
          <w:tcPr>
            <w:tcW w:w="5000" w:type="pct"/>
            <w:gridSpan w:val="3"/>
            <w:hideMark/>
          </w:tcPr>
          <w:p w14:paraId="1AA41936" w14:textId="4A97F35C" w:rsidR="004B296C" w:rsidRPr="008560CF" w:rsidRDefault="004B296C" w:rsidP="00E801C1">
            <w:pPr>
              <w:spacing w:before="60" w:after="60"/>
              <w:rPr>
                <w:rFonts w:asciiTheme="minorHAnsi" w:eastAsia="Times New Roman" w:hAnsiTheme="minorHAnsi" w:cstheme="minorHAnsi"/>
                <w:sz w:val="22"/>
                <w:lang w:eastAsia="en-GB" w:bidi="ar-SA"/>
              </w:rPr>
            </w:pPr>
            <w:bookmarkStart w:id="55" w:name="_Toc498675982"/>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8.2 – Pre-employment Screening and National Security Vetting</w:t>
            </w:r>
            <w:bookmarkEnd w:id="55"/>
          </w:p>
        </w:tc>
      </w:tr>
      <w:tr w:rsidR="008560CF" w:rsidRPr="008560CF" w14:paraId="3A95F2C4" w14:textId="77777777" w:rsidTr="008560CF">
        <w:trPr>
          <w:cantSplit/>
        </w:trPr>
        <w:tc>
          <w:tcPr>
            <w:tcW w:w="465" w:type="pct"/>
          </w:tcPr>
          <w:p w14:paraId="4109BF03"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8.2.1</w:t>
            </w:r>
          </w:p>
        </w:tc>
        <w:tc>
          <w:tcPr>
            <w:tcW w:w="3626" w:type="pct"/>
            <w:hideMark/>
          </w:tcPr>
          <w:p w14:paraId="2DF19E19"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about pre-employment screening and NSV, which will include BPSS or NSV record checks, personnel security policies and processes, Baseline Standard Verification Records, Basic Disclosure certificates, police certificates, sworn affidavit or statutory declarations, NSV clearance certificates, Annual Security Appraisal Forms etc.</w:t>
            </w:r>
          </w:p>
        </w:tc>
        <w:tc>
          <w:tcPr>
            <w:tcW w:w="909" w:type="pct"/>
            <w:hideMark/>
          </w:tcPr>
          <w:p w14:paraId="294AEDEA"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28B9F1BB" w14:textId="77777777" w:rsidTr="008560CF">
        <w:trPr>
          <w:cantSplit/>
        </w:trPr>
        <w:tc>
          <w:tcPr>
            <w:tcW w:w="465" w:type="pct"/>
            <w:vMerge w:val="restart"/>
          </w:tcPr>
          <w:p w14:paraId="258F0AFE"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lastRenderedPageBreak/>
              <w:t>8.2.2</w:t>
            </w:r>
          </w:p>
        </w:tc>
        <w:tc>
          <w:tcPr>
            <w:tcW w:w="3626" w:type="pct"/>
            <w:hideMark/>
          </w:tcPr>
          <w:p w14:paraId="7BA5782E"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SNI relating to pre-employment screening and NSV material that may include information relating to activities conducted on or in relation to civil nuclear premises that needs to be protected in the interests of national security.</w:t>
            </w:r>
          </w:p>
        </w:tc>
        <w:tc>
          <w:tcPr>
            <w:tcW w:w="909" w:type="pct"/>
            <w:hideMark/>
          </w:tcPr>
          <w:p w14:paraId="1600689C"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r>
      <w:tr w:rsidR="008560CF" w:rsidRPr="008560CF" w14:paraId="4456A97E" w14:textId="77777777" w:rsidTr="008560CF">
        <w:trPr>
          <w:cantSplit/>
        </w:trPr>
        <w:tc>
          <w:tcPr>
            <w:tcW w:w="465" w:type="pct"/>
            <w:vMerge/>
          </w:tcPr>
          <w:p w14:paraId="007B4A3C"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14DB9539"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9" w:type="pct"/>
            <w:hideMark/>
          </w:tcPr>
          <w:p w14:paraId="46F872BD"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237E1957" w14:textId="77777777" w:rsidTr="008560CF">
        <w:trPr>
          <w:cantSplit/>
        </w:trPr>
        <w:tc>
          <w:tcPr>
            <w:tcW w:w="465" w:type="pct"/>
            <w:vMerge/>
          </w:tcPr>
          <w:p w14:paraId="4BB12D6D"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67288297"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tc>
        <w:tc>
          <w:tcPr>
            <w:tcW w:w="909" w:type="pct"/>
          </w:tcPr>
          <w:p w14:paraId="1826CC73"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r w:rsidR="008560CF" w:rsidRPr="008560CF" w14:paraId="3F0C21FD" w14:textId="77777777" w:rsidTr="008560CF">
        <w:trPr>
          <w:cantSplit/>
        </w:trPr>
        <w:tc>
          <w:tcPr>
            <w:tcW w:w="5000" w:type="pct"/>
            <w:gridSpan w:val="3"/>
            <w:hideMark/>
          </w:tcPr>
          <w:p w14:paraId="684F235A" w14:textId="65986F43" w:rsidR="004B296C" w:rsidRPr="008560CF" w:rsidRDefault="004B296C" w:rsidP="00E801C1">
            <w:pPr>
              <w:spacing w:before="60" w:after="60"/>
              <w:rPr>
                <w:rFonts w:asciiTheme="minorHAnsi" w:eastAsia="Times New Roman" w:hAnsiTheme="minorHAnsi" w:cstheme="minorHAnsi"/>
                <w:sz w:val="22"/>
                <w:lang w:eastAsia="en-GB" w:bidi="ar-SA"/>
              </w:rPr>
            </w:pPr>
            <w:bookmarkStart w:id="56" w:name="_Toc498675983"/>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8.3 – Ongoing Personnel Security</w:t>
            </w:r>
            <w:bookmarkEnd w:id="56"/>
          </w:p>
        </w:tc>
      </w:tr>
      <w:tr w:rsidR="008560CF" w:rsidRPr="008560CF" w14:paraId="51C32648" w14:textId="77777777" w:rsidTr="008560CF">
        <w:trPr>
          <w:cantSplit/>
        </w:trPr>
        <w:tc>
          <w:tcPr>
            <w:tcW w:w="465" w:type="pct"/>
          </w:tcPr>
          <w:p w14:paraId="4F80CF23"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8.3.1</w:t>
            </w:r>
          </w:p>
        </w:tc>
        <w:tc>
          <w:tcPr>
            <w:tcW w:w="3626" w:type="pct"/>
            <w:hideMark/>
          </w:tcPr>
          <w:p w14:paraId="1B973E98"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 xml:space="preserve">General information about ongoing personnel security, which may include Aftercare Incident Reports, Annual Security Appraisal Forms, mandatory notification reports, Change of Personal Circumstances Questionnaires, police reports, medical reports, etc. </w:t>
            </w:r>
          </w:p>
        </w:tc>
        <w:tc>
          <w:tcPr>
            <w:tcW w:w="909" w:type="pct"/>
            <w:hideMark/>
          </w:tcPr>
          <w:p w14:paraId="14490EA2"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06BCEE65" w14:textId="77777777" w:rsidTr="008560CF">
        <w:trPr>
          <w:cantSplit/>
        </w:trPr>
        <w:tc>
          <w:tcPr>
            <w:tcW w:w="465" w:type="pct"/>
            <w:vMerge w:val="restart"/>
          </w:tcPr>
          <w:p w14:paraId="46A0724B"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8.3.2</w:t>
            </w:r>
          </w:p>
        </w:tc>
        <w:tc>
          <w:tcPr>
            <w:tcW w:w="3626" w:type="pct"/>
            <w:hideMark/>
          </w:tcPr>
          <w:p w14:paraId="144D94CB"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SNI relating to ongoing personnel security material may include information relating to activities conducted on or in relation to civil nuclear premises that needs to be protected in the interests of national security.</w:t>
            </w:r>
          </w:p>
        </w:tc>
        <w:tc>
          <w:tcPr>
            <w:tcW w:w="909" w:type="pct"/>
          </w:tcPr>
          <w:p w14:paraId="7F51F8A6"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r>
      <w:tr w:rsidR="008560CF" w:rsidRPr="008560CF" w14:paraId="2B05EC18" w14:textId="77777777" w:rsidTr="008560CF">
        <w:trPr>
          <w:cantSplit/>
        </w:trPr>
        <w:tc>
          <w:tcPr>
            <w:tcW w:w="465" w:type="pct"/>
            <w:vMerge/>
          </w:tcPr>
          <w:p w14:paraId="1912565C"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6F87CDB4"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9" w:type="pct"/>
            <w:hideMark/>
          </w:tcPr>
          <w:p w14:paraId="47EB5AC4"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6D6666D7" w14:textId="77777777" w:rsidTr="008560CF">
        <w:trPr>
          <w:cantSplit/>
        </w:trPr>
        <w:tc>
          <w:tcPr>
            <w:tcW w:w="465" w:type="pct"/>
            <w:vMerge/>
          </w:tcPr>
          <w:p w14:paraId="1D3F14DC"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181001FC"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tc>
        <w:tc>
          <w:tcPr>
            <w:tcW w:w="909" w:type="pct"/>
          </w:tcPr>
          <w:p w14:paraId="3928CDA8"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bl>
    <w:p w14:paraId="3E14CB5C" w14:textId="77777777" w:rsidR="00366A2D" w:rsidRDefault="00366A2D" w:rsidP="00E801C1">
      <w:pPr>
        <w:spacing w:before="60" w:after="60"/>
        <w:rPr>
          <w:rFonts w:asciiTheme="minorHAnsi" w:hAnsiTheme="minorHAnsi" w:cstheme="minorHAnsi"/>
          <w:sz w:val="22"/>
          <w:lang w:eastAsia="en-GB" w:bidi="ar-SA"/>
        </w:rPr>
        <w:sectPr w:rsidR="00366A2D" w:rsidSect="00366A2D">
          <w:type w:val="continuous"/>
          <w:pgSz w:w="11906" w:h="16838" w:code="9"/>
          <w:pgMar w:top="1440" w:right="1440" w:bottom="1440" w:left="1440" w:header="397" w:footer="397" w:gutter="0"/>
          <w:cols w:space="312"/>
          <w:docGrid w:linePitch="360"/>
        </w:sectPr>
      </w:pPr>
      <w:bookmarkStart w:id="57" w:name="_Toc498675984"/>
      <w:bookmarkStart w:id="58" w:name="_Hlk156204374"/>
    </w:p>
    <w:tbl>
      <w:tblPr>
        <w:tblStyle w:val="ONRTable1"/>
        <w:tblW w:w="5000" w:type="pct"/>
        <w:tblInd w:w="0" w:type="dxa"/>
        <w:tblLook w:val="01E0" w:firstRow="1" w:lastRow="1" w:firstColumn="1" w:lastColumn="1" w:noHBand="0" w:noVBand="0"/>
      </w:tblPr>
      <w:tblGrid>
        <w:gridCol w:w="839"/>
        <w:gridCol w:w="6546"/>
        <w:gridCol w:w="1641"/>
      </w:tblGrid>
      <w:tr w:rsidR="00366A2D" w:rsidRPr="00366A2D" w14:paraId="18504F3C" w14:textId="77777777" w:rsidTr="00366A2D">
        <w:trPr>
          <w:cnfStyle w:val="100000000000" w:firstRow="1" w:lastRow="0" w:firstColumn="0" w:lastColumn="0" w:oddVBand="0" w:evenVBand="0" w:oddHBand="0" w:evenHBand="0" w:firstRowFirstColumn="0" w:firstRowLastColumn="0" w:lastRowFirstColumn="0" w:lastRowLastColumn="0"/>
          <w:cantSplit/>
          <w:tblHeader/>
        </w:trPr>
        <w:tc>
          <w:tcPr>
            <w:tcW w:w="4091" w:type="pct"/>
            <w:gridSpan w:val="2"/>
            <w:hideMark/>
          </w:tcPr>
          <w:bookmarkEnd w:id="57"/>
          <w:p w14:paraId="1E9E6C20" w14:textId="77777777" w:rsidR="00366A2D" w:rsidRPr="00366A2D" w:rsidRDefault="00366A2D" w:rsidP="00E801C1">
            <w:pPr>
              <w:spacing w:before="60" w:after="60"/>
              <w:rPr>
                <w:rFonts w:asciiTheme="minorHAnsi" w:eastAsia="Times New Roman" w:hAnsiTheme="minorHAnsi" w:cstheme="minorHAnsi"/>
                <w:b w:val="0"/>
                <w:bCs/>
                <w:szCs w:val="24"/>
                <w:lang w:eastAsia="en-GB" w:bidi="ar-SA"/>
              </w:rPr>
            </w:pPr>
            <w:r w:rsidRPr="00366A2D">
              <w:rPr>
                <w:rFonts w:asciiTheme="minorHAnsi" w:hAnsiTheme="minorHAnsi" w:cstheme="minorHAnsi"/>
                <w:b w:val="0"/>
                <w:bCs/>
                <w:szCs w:val="24"/>
                <w:lang w:eastAsia="en-GB" w:bidi="ar-SA"/>
              </w:rPr>
              <w:t>FSyP 9 – Policing and Guarding</w:t>
            </w:r>
            <w:r w:rsidRPr="00366A2D">
              <w:rPr>
                <w:rFonts w:asciiTheme="minorHAnsi" w:hAnsiTheme="minorHAnsi" w:cstheme="minorHAnsi"/>
                <w:b w:val="0"/>
                <w:bCs/>
                <w:szCs w:val="24"/>
                <w:lang w:eastAsia="en-GB" w:bidi="ar-SA"/>
              </w:rPr>
              <w:tab/>
            </w:r>
          </w:p>
        </w:tc>
        <w:tc>
          <w:tcPr>
            <w:tcW w:w="909" w:type="pct"/>
          </w:tcPr>
          <w:p w14:paraId="4A396E7B" w14:textId="3EA6D8C6" w:rsidR="00366A2D" w:rsidRPr="00366A2D" w:rsidRDefault="00366A2D" w:rsidP="00E801C1">
            <w:pPr>
              <w:spacing w:before="60" w:after="60"/>
              <w:rPr>
                <w:rFonts w:asciiTheme="minorHAnsi" w:eastAsia="Times New Roman" w:hAnsiTheme="minorHAnsi" w:cstheme="minorHAnsi"/>
                <w:b w:val="0"/>
                <w:bCs/>
                <w:szCs w:val="24"/>
                <w:lang w:eastAsia="en-GB" w:bidi="ar-SA"/>
              </w:rPr>
            </w:pPr>
            <w:r w:rsidRPr="00366A2D">
              <w:rPr>
                <w:rFonts w:asciiTheme="minorHAnsi" w:eastAsia="Times New Roman" w:hAnsiTheme="minorHAnsi" w:cstheme="minorHAnsi"/>
                <w:b w:val="0"/>
                <w:bCs/>
                <w:szCs w:val="24"/>
                <w:lang w:eastAsia="en-GB" w:bidi="ar-SA"/>
              </w:rPr>
              <w:t>Classification</w:t>
            </w:r>
          </w:p>
        </w:tc>
      </w:tr>
      <w:tr w:rsidR="008560CF" w:rsidRPr="008560CF" w14:paraId="7E4ECFB3" w14:textId="77777777" w:rsidTr="008560CF">
        <w:trPr>
          <w:cantSplit/>
        </w:trPr>
        <w:tc>
          <w:tcPr>
            <w:tcW w:w="5000" w:type="pct"/>
            <w:gridSpan w:val="3"/>
            <w:hideMark/>
          </w:tcPr>
          <w:p w14:paraId="5BFC6F83" w14:textId="77777777" w:rsidR="00253FDE" w:rsidRPr="008560CF" w:rsidRDefault="00253FDE" w:rsidP="00E801C1">
            <w:pPr>
              <w:spacing w:before="60" w:after="60"/>
              <w:rPr>
                <w:rFonts w:asciiTheme="minorHAnsi" w:hAnsiTheme="minorHAnsi" w:cstheme="minorHAnsi"/>
                <w:sz w:val="22"/>
                <w:lang w:eastAsia="en-GB" w:bidi="ar-SA"/>
              </w:rPr>
            </w:pPr>
            <w:bookmarkStart w:id="59" w:name="_Toc498675985"/>
            <w:bookmarkEnd w:id="58"/>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9.1 – CNC Response Force</w:t>
            </w:r>
            <w:bookmarkEnd w:id="59"/>
          </w:p>
        </w:tc>
      </w:tr>
      <w:tr w:rsidR="008560CF" w:rsidRPr="008560CF" w14:paraId="276DCFAB" w14:textId="77777777" w:rsidTr="008560CF">
        <w:trPr>
          <w:cantSplit/>
        </w:trPr>
        <w:tc>
          <w:tcPr>
            <w:tcW w:w="465" w:type="pct"/>
          </w:tcPr>
          <w:p w14:paraId="3083016F"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9.1.1</w:t>
            </w:r>
          </w:p>
        </w:tc>
        <w:tc>
          <w:tcPr>
            <w:tcW w:w="3626" w:type="pct"/>
          </w:tcPr>
          <w:p w14:paraId="2CDADF75"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about the CNC Response force in support of the dutyholder that does not reveal any potential vulnerability, which may include total CNC establishment, statutory responsibilities etc.</w:t>
            </w:r>
          </w:p>
        </w:tc>
        <w:tc>
          <w:tcPr>
            <w:tcW w:w="909" w:type="pct"/>
          </w:tcPr>
          <w:p w14:paraId="63BB6710"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0B456A53" w14:textId="77777777" w:rsidTr="008560CF">
        <w:trPr>
          <w:cantSplit/>
        </w:trPr>
        <w:tc>
          <w:tcPr>
            <w:tcW w:w="465" w:type="pct"/>
            <w:vMerge w:val="restart"/>
          </w:tcPr>
          <w:p w14:paraId="3AC49A74"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lastRenderedPageBreak/>
              <w:t>9.1.2</w:t>
            </w:r>
          </w:p>
        </w:tc>
        <w:tc>
          <w:tcPr>
            <w:tcW w:w="3626" w:type="pct"/>
            <w:hideMark/>
          </w:tcPr>
          <w:p w14:paraId="23662AFC"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SNI relating to CNC operations in support of the dutyholder may include integrated plans covering tactical and operational policing arrangements, security contingency plans, coordinated policing policies, site specific MOUs, operational procedures, information about the strength and deployment of the CNC; armed response capabilities and timings at a site; and details of CNC firearms holdings and armouries, etc.</w:t>
            </w:r>
          </w:p>
        </w:tc>
        <w:tc>
          <w:tcPr>
            <w:tcW w:w="909" w:type="pct"/>
            <w:hideMark/>
          </w:tcPr>
          <w:p w14:paraId="218BCD08"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r>
      <w:tr w:rsidR="008560CF" w:rsidRPr="008560CF" w14:paraId="52527B0B" w14:textId="77777777" w:rsidTr="008560CF">
        <w:trPr>
          <w:cantSplit/>
        </w:trPr>
        <w:tc>
          <w:tcPr>
            <w:tcW w:w="465" w:type="pct"/>
            <w:vMerge/>
          </w:tcPr>
          <w:p w14:paraId="010CB165"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5EFE2EDB"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9" w:type="pct"/>
            <w:hideMark/>
          </w:tcPr>
          <w:p w14:paraId="5858661E"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6F5436FE" w14:textId="77777777" w:rsidTr="008560CF">
        <w:trPr>
          <w:cantSplit/>
        </w:trPr>
        <w:tc>
          <w:tcPr>
            <w:tcW w:w="465" w:type="pct"/>
            <w:vMerge/>
          </w:tcPr>
          <w:p w14:paraId="41472F49"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62EDD8A3"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tc>
        <w:tc>
          <w:tcPr>
            <w:tcW w:w="909" w:type="pct"/>
          </w:tcPr>
          <w:p w14:paraId="599CCC3D"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r w:rsidR="008560CF" w:rsidRPr="008560CF" w14:paraId="70810AA2" w14:textId="77777777" w:rsidTr="008560CF">
        <w:trPr>
          <w:cantSplit/>
        </w:trPr>
        <w:tc>
          <w:tcPr>
            <w:tcW w:w="5000" w:type="pct"/>
            <w:gridSpan w:val="3"/>
            <w:hideMark/>
          </w:tcPr>
          <w:p w14:paraId="0CCEB1A0" w14:textId="77777777" w:rsidR="00253FDE" w:rsidRPr="008560CF" w:rsidRDefault="00253FDE" w:rsidP="00E801C1">
            <w:pPr>
              <w:spacing w:before="60" w:after="60"/>
              <w:rPr>
                <w:rFonts w:asciiTheme="minorHAnsi" w:hAnsiTheme="minorHAnsi" w:cstheme="minorHAnsi"/>
                <w:sz w:val="22"/>
                <w:lang w:eastAsia="en-GB" w:bidi="ar-SA"/>
              </w:rPr>
            </w:pPr>
            <w:bookmarkStart w:id="60" w:name="_Toc498675986"/>
            <w:proofErr w:type="spellStart"/>
            <w:r w:rsidRPr="008560CF">
              <w:rPr>
                <w:rFonts w:asciiTheme="minorHAnsi" w:hAnsiTheme="minorHAnsi" w:cstheme="minorHAnsi"/>
                <w:sz w:val="22"/>
                <w:lang w:eastAsia="en-GB" w:bidi="ar-SA"/>
              </w:rPr>
              <w:t>S</w:t>
            </w:r>
            <w:bookmarkStart w:id="61" w:name="temp"/>
            <w:bookmarkEnd w:id="61"/>
            <w:r w:rsidRPr="008560CF">
              <w:rPr>
                <w:rFonts w:asciiTheme="minorHAnsi" w:hAnsiTheme="minorHAnsi" w:cstheme="minorHAnsi"/>
                <w:sz w:val="22"/>
                <w:lang w:eastAsia="en-GB" w:bidi="ar-SA"/>
              </w:rPr>
              <w:t>yDP</w:t>
            </w:r>
            <w:proofErr w:type="spellEnd"/>
            <w:r w:rsidRPr="008560CF">
              <w:rPr>
                <w:rFonts w:asciiTheme="minorHAnsi" w:hAnsiTheme="minorHAnsi" w:cstheme="minorHAnsi"/>
                <w:sz w:val="22"/>
                <w:lang w:eastAsia="en-GB" w:bidi="ar-SA"/>
              </w:rPr>
              <w:t xml:space="preserve"> 9.2 – Local Police Operations in Support of the Dutyholder</w:t>
            </w:r>
            <w:bookmarkEnd w:id="60"/>
          </w:p>
        </w:tc>
      </w:tr>
      <w:tr w:rsidR="008560CF" w:rsidRPr="008560CF" w14:paraId="7928E563" w14:textId="77777777" w:rsidTr="008560CF">
        <w:trPr>
          <w:cantSplit/>
        </w:trPr>
        <w:tc>
          <w:tcPr>
            <w:tcW w:w="465" w:type="pct"/>
          </w:tcPr>
          <w:p w14:paraId="2181DBF2"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9.2.1</w:t>
            </w:r>
          </w:p>
        </w:tc>
        <w:tc>
          <w:tcPr>
            <w:tcW w:w="3626" w:type="pct"/>
            <w:hideMark/>
          </w:tcPr>
          <w:p w14:paraId="0DDF8665"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about the local police operations in support of the dutyholder, which may include statutory responsibilities etc.</w:t>
            </w:r>
          </w:p>
        </w:tc>
        <w:tc>
          <w:tcPr>
            <w:tcW w:w="909" w:type="pct"/>
            <w:hideMark/>
          </w:tcPr>
          <w:p w14:paraId="53337C00"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25CC6803" w14:textId="77777777" w:rsidTr="008560CF">
        <w:trPr>
          <w:cantSplit/>
        </w:trPr>
        <w:tc>
          <w:tcPr>
            <w:tcW w:w="465" w:type="pct"/>
            <w:vMerge w:val="restart"/>
          </w:tcPr>
          <w:p w14:paraId="30F4FB8E"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9.2.2</w:t>
            </w:r>
          </w:p>
        </w:tc>
        <w:tc>
          <w:tcPr>
            <w:tcW w:w="3626" w:type="pct"/>
            <w:hideMark/>
          </w:tcPr>
          <w:p w14:paraId="41634257"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SNI relating to local police operations in support of the dutyholder may include integrated plans covering tactical and operational policing arrangements, security contingency plans, coordinated policing policies, site specific MOUs, operational procedures etc.</w:t>
            </w:r>
          </w:p>
        </w:tc>
        <w:tc>
          <w:tcPr>
            <w:tcW w:w="909" w:type="pct"/>
          </w:tcPr>
          <w:p w14:paraId="17F4CF96"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r>
      <w:tr w:rsidR="008560CF" w:rsidRPr="008560CF" w14:paraId="014255DB" w14:textId="77777777" w:rsidTr="008560CF">
        <w:trPr>
          <w:cantSplit/>
        </w:trPr>
        <w:tc>
          <w:tcPr>
            <w:tcW w:w="465" w:type="pct"/>
            <w:vMerge/>
          </w:tcPr>
          <w:p w14:paraId="2DBF0F9C"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15C6A951"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9" w:type="pct"/>
            <w:hideMark/>
          </w:tcPr>
          <w:p w14:paraId="015A5382"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7180D73E" w14:textId="77777777" w:rsidTr="008560CF">
        <w:trPr>
          <w:cantSplit/>
        </w:trPr>
        <w:tc>
          <w:tcPr>
            <w:tcW w:w="465" w:type="pct"/>
            <w:vMerge/>
          </w:tcPr>
          <w:p w14:paraId="68E46BCE"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1E089A7C"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tc>
        <w:tc>
          <w:tcPr>
            <w:tcW w:w="909" w:type="pct"/>
          </w:tcPr>
          <w:p w14:paraId="4B1B4DB4"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r w:rsidR="008560CF" w:rsidRPr="008560CF" w14:paraId="64304433" w14:textId="77777777" w:rsidTr="008560CF">
        <w:trPr>
          <w:cantSplit/>
        </w:trPr>
        <w:tc>
          <w:tcPr>
            <w:tcW w:w="5000" w:type="pct"/>
            <w:gridSpan w:val="3"/>
            <w:hideMark/>
          </w:tcPr>
          <w:p w14:paraId="76CE5217" w14:textId="77777777" w:rsidR="00253FDE" w:rsidRPr="008560CF" w:rsidRDefault="00253FDE" w:rsidP="00E801C1">
            <w:pPr>
              <w:spacing w:before="60" w:after="60"/>
              <w:rPr>
                <w:rFonts w:asciiTheme="minorHAnsi" w:hAnsiTheme="minorHAnsi" w:cstheme="minorHAnsi"/>
                <w:sz w:val="22"/>
                <w:lang w:eastAsia="en-GB" w:bidi="ar-SA"/>
              </w:rPr>
            </w:pPr>
            <w:bookmarkStart w:id="62" w:name="_Toc498675987"/>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9.3 – Security Guard Services</w:t>
            </w:r>
            <w:bookmarkEnd w:id="62"/>
          </w:p>
        </w:tc>
      </w:tr>
      <w:tr w:rsidR="008560CF" w:rsidRPr="008560CF" w14:paraId="3CD56849" w14:textId="77777777" w:rsidTr="008560CF">
        <w:trPr>
          <w:cantSplit/>
        </w:trPr>
        <w:tc>
          <w:tcPr>
            <w:tcW w:w="465" w:type="pct"/>
          </w:tcPr>
          <w:p w14:paraId="2AB53E82"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9.3.1</w:t>
            </w:r>
          </w:p>
        </w:tc>
        <w:tc>
          <w:tcPr>
            <w:tcW w:w="3626" w:type="pct"/>
            <w:hideMark/>
          </w:tcPr>
          <w:p w14:paraId="062BBCE0"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about security guard services, which may include roles and responsibilities, policies and procedures, resourcing, recruiting, training and equipping etc.</w:t>
            </w:r>
          </w:p>
        </w:tc>
        <w:tc>
          <w:tcPr>
            <w:tcW w:w="909" w:type="pct"/>
            <w:hideMark/>
          </w:tcPr>
          <w:p w14:paraId="56F980F7"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0243BEAA" w14:textId="77777777" w:rsidTr="008560CF">
        <w:trPr>
          <w:cantSplit/>
        </w:trPr>
        <w:tc>
          <w:tcPr>
            <w:tcW w:w="465" w:type="pct"/>
            <w:vMerge w:val="restart"/>
          </w:tcPr>
          <w:p w14:paraId="620E8937"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9.3.2</w:t>
            </w:r>
          </w:p>
        </w:tc>
        <w:tc>
          <w:tcPr>
            <w:tcW w:w="3626" w:type="pct"/>
            <w:hideMark/>
          </w:tcPr>
          <w:p w14:paraId="62B2F4DF"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SNI relating to security guard services may include security plans, security contingency plans etc.</w:t>
            </w:r>
          </w:p>
        </w:tc>
        <w:tc>
          <w:tcPr>
            <w:tcW w:w="909" w:type="pct"/>
          </w:tcPr>
          <w:p w14:paraId="0668EC73"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r>
      <w:tr w:rsidR="008560CF" w:rsidRPr="008560CF" w14:paraId="0C498281" w14:textId="77777777" w:rsidTr="008560CF">
        <w:trPr>
          <w:cantSplit/>
        </w:trPr>
        <w:tc>
          <w:tcPr>
            <w:tcW w:w="465" w:type="pct"/>
            <w:vMerge/>
          </w:tcPr>
          <w:p w14:paraId="7BF62CC9"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2E212198"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9" w:type="pct"/>
            <w:hideMark/>
          </w:tcPr>
          <w:p w14:paraId="48129777"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1CB64D21" w14:textId="77777777" w:rsidTr="008560CF">
        <w:trPr>
          <w:cantSplit/>
        </w:trPr>
        <w:tc>
          <w:tcPr>
            <w:tcW w:w="465" w:type="pct"/>
            <w:vMerge/>
          </w:tcPr>
          <w:p w14:paraId="7B205345"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2227780D"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tc>
        <w:tc>
          <w:tcPr>
            <w:tcW w:w="909" w:type="pct"/>
          </w:tcPr>
          <w:p w14:paraId="5F355979"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bl>
    <w:p w14:paraId="2E7922E5" w14:textId="77777777" w:rsidR="00366A2D" w:rsidRDefault="00366A2D" w:rsidP="00E801C1">
      <w:pPr>
        <w:spacing w:before="60" w:after="60"/>
        <w:rPr>
          <w:rFonts w:asciiTheme="minorHAnsi" w:hAnsiTheme="minorHAnsi" w:cstheme="minorHAnsi"/>
          <w:sz w:val="22"/>
          <w:lang w:eastAsia="en-GB" w:bidi="ar-SA"/>
        </w:rPr>
        <w:sectPr w:rsidR="00366A2D" w:rsidSect="00366A2D">
          <w:type w:val="continuous"/>
          <w:pgSz w:w="11906" w:h="16838" w:code="9"/>
          <w:pgMar w:top="1440" w:right="1440" w:bottom="1440" w:left="1440" w:header="397" w:footer="397" w:gutter="0"/>
          <w:cols w:space="312"/>
          <w:docGrid w:linePitch="360"/>
        </w:sectPr>
      </w:pPr>
      <w:bookmarkStart w:id="63" w:name="_Toc498675988"/>
    </w:p>
    <w:tbl>
      <w:tblPr>
        <w:tblStyle w:val="ONRTable1"/>
        <w:tblW w:w="5000" w:type="pct"/>
        <w:tblInd w:w="0" w:type="dxa"/>
        <w:tblLook w:val="01E0" w:firstRow="1" w:lastRow="1" w:firstColumn="1" w:lastColumn="1" w:noHBand="0" w:noVBand="0"/>
      </w:tblPr>
      <w:tblGrid>
        <w:gridCol w:w="839"/>
        <w:gridCol w:w="6546"/>
        <w:gridCol w:w="1599"/>
        <w:gridCol w:w="42"/>
      </w:tblGrid>
      <w:tr w:rsidR="00366A2D" w:rsidRPr="00366A2D" w14:paraId="5B64D5A6" w14:textId="77777777" w:rsidTr="00366A2D">
        <w:trPr>
          <w:cnfStyle w:val="100000000000" w:firstRow="1" w:lastRow="0" w:firstColumn="0" w:lastColumn="0" w:oddVBand="0" w:evenVBand="0" w:oddHBand="0" w:evenHBand="0" w:firstRowFirstColumn="0" w:firstRowLastColumn="0" w:lastRowFirstColumn="0" w:lastRowLastColumn="0"/>
          <w:cantSplit/>
          <w:tblHeader/>
        </w:trPr>
        <w:tc>
          <w:tcPr>
            <w:tcW w:w="4091" w:type="pct"/>
            <w:gridSpan w:val="2"/>
            <w:hideMark/>
          </w:tcPr>
          <w:bookmarkEnd w:id="63"/>
          <w:p w14:paraId="70AD11C7" w14:textId="77777777" w:rsidR="00366A2D" w:rsidRPr="00366A2D" w:rsidRDefault="00366A2D" w:rsidP="00E801C1">
            <w:pPr>
              <w:spacing w:before="60" w:after="60"/>
              <w:rPr>
                <w:rFonts w:asciiTheme="minorHAnsi" w:hAnsiTheme="minorHAnsi" w:cstheme="minorHAnsi"/>
                <w:b w:val="0"/>
                <w:bCs/>
                <w:szCs w:val="24"/>
                <w:lang w:eastAsia="en-GB" w:bidi="ar-SA"/>
              </w:rPr>
            </w:pPr>
            <w:r w:rsidRPr="00366A2D">
              <w:rPr>
                <w:rFonts w:asciiTheme="minorHAnsi" w:hAnsiTheme="minorHAnsi" w:cstheme="minorHAnsi"/>
                <w:b w:val="0"/>
                <w:bCs/>
                <w:szCs w:val="24"/>
                <w:lang w:eastAsia="en-GB" w:bidi="ar-SA"/>
              </w:rPr>
              <w:t>FSyP 10 – Emergency Preparedness and Response</w:t>
            </w:r>
            <w:r w:rsidRPr="00366A2D">
              <w:rPr>
                <w:rFonts w:asciiTheme="minorHAnsi" w:hAnsiTheme="minorHAnsi" w:cstheme="minorHAnsi"/>
                <w:b w:val="0"/>
                <w:bCs/>
                <w:szCs w:val="24"/>
                <w:lang w:eastAsia="en-GB" w:bidi="ar-SA"/>
              </w:rPr>
              <w:tab/>
            </w:r>
          </w:p>
        </w:tc>
        <w:tc>
          <w:tcPr>
            <w:tcW w:w="909" w:type="pct"/>
            <w:gridSpan w:val="2"/>
          </w:tcPr>
          <w:p w14:paraId="235A5468" w14:textId="3A8FEAAA" w:rsidR="00366A2D" w:rsidRPr="00366A2D" w:rsidRDefault="00366A2D" w:rsidP="00E801C1">
            <w:pPr>
              <w:spacing w:before="60" w:after="60"/>
              <w:rPr>
                <w:rFonts w:asciiTheme="minorHAnsi" w:hAnsiTheme="minorHAnsi" w:cstheme="minorHAnsi"/>
                <w:b w:val="0"/>
                <w:bCs/>
                <w:szCs w:val="24"/>
                <w:lang w:eastAsia="en-GB" w:bidi="ar-SA"/>
              </w:rPr>
            </w:pPr>
            <w:r w:rsidRPr="00366A2D">
              <w:rPr>
                <w:rFonts w:asciiTheme="minorHAnsi" w:eastAsia="Times New Roman" w:hAnsiTheme="minorHAnsi" w:cstheme="minorHAnsi"/>
                <w:b w:val="0"/>
                <w:bCs/>
                <w:szCs w:val="24"/>
                <w:lang w:eastAsia="en-GB" w:bidi="ar-SA"/>
              </w:rPr>
              <w:t>Classification</w:t>
            </w:r>
          </w:p>
        </w:tc>
      </w:tr>
      <w:tr w:rsidR="008560CF" w:rsidRPr="008560CF" w14:paraId="308FC373" w14:textId="77777777" w:rsidTr="008560CF">
        <w:trPr>
          <w:cantSplit/>
        </w:trPr>
        <w:tc>
          <w:tcPr>
            <w:tcW w:w="5000" w:type="pct"/>
            <w:gridSpan w:val="4"/>
            <w:hideMark/>
          </w:tcPr>
          <w:p w14:paraId="4665202A" w14:textId="77777777" w:rsidR="00253FDE" w:rsidRPr="008560CF" w:rsidRDefault="00253FDE" w:rsidP="00E801C1">
            <w:pPr>
              <w:spacing w:before="60" w:after="60"/>
              <w:rPr>
                <w:rFonts w:asciiTheme="minorHAnsi" w:hAnsiTheme="minorHAnsi" w:cstheme="minorHAnsi"/>
                <w:sz w:val="22"/>
                <w:lang w:eastAsia="en-GB" w:bidi="ar-SA"/>
              </w:rPr>
            </w:pPr>
            <w:bookmarkStart w:id="64" w:name="_Toc498675989"/>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10.1 – Counter Terrorism Measures, Emergency Preparedness and Response Planning</w:t>
            </w:r>
            <w:bookmarkEnd w:id="64"/>
          </w:p>
        </w:tc>
      </w:tr>
      <w:tr w:rsidR="008560CF" w:rsidRPr="008560CF" w14:paraId="13CEC4FE" w14:textId="77777777" w:rsidTr="008560CF">
        <w:trPr>
          <w:gridAfter w:val="1"/>
          <w:wAfter w:w="23" w:type="pct"/>
          <w:cantSplit/>
        </w:trPr>
        <w:tc>
          <w:tcPr>
            <w:tcW w:w="465" w:type="pct"/>
          </w:tcPr>
          <w:p w14:paraId="1649E49A"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10.1.1</w:t>
            </w:r>
          </w:p>
        </w:tc>
        <w:tc>
          <w:tcPr>
            <w:tcW w:w="3626" w:type="pct"/>
            <w:hideMark/>
          </w:tcPr>
          <w:p w14:paraId="2BD3A8E9"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about security contingency measures and response planning, which may include the existence of plans, national threat level, government response level system, media strategy, training policy, training material, etc.</w:t>
            </w:r>
          </w:p>
        </w:tc>
        <w:tc>
          <w:tcPr>
            <w:tcW w:w="886" w:type="pct"/>
            <w:hideMark/>
          </w:tcPr>
          <w:p w14:paraId="7203B8A0"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3EC461DF" w14:textId="77777777" w:rsidTr="008560CF">
        <w:trPr>
          <w:gridAfter w:val="1"/>
          <w:wAfter w:w="23" w:type="pct"/>
          <w:cantSplit/>
        </w:trPr>
        <w:tc>
          <w:tcPr>
            <w:tcW w:w="465" w:type="pct"/>
            <w:vMerge w:val="restart"/>
          </w:tcPr>
          <w:p w14:paraId="7E680947"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10.1.2</w:t>
            </w:r>
          </w:p>
        </w:tc>
        <w:tc>
          <w:tcPr>
            <w:tcW w:w="3626" w:type="pct"/>
            <w:hideMark/>
          </w:tcPr>
          <w:p w14:paraId="7838F428"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SNI relating to security contingency measures and response planning may include sector threat level and threat assessments, CT measures, emergency preparedness and response arrangements to deal with nuclear security events arising on the site and their potential effects, security plans etc:</w:t>
            </w:r>
          </w:p>
        </w:tc>
        <w:tc>
          <w:tcPr>
            <w:tcW w:w="886" w:type="pct"/>
            <w:hideMark/>
          </w:tcPr>
          <w:p w14:paraId="3BFB9D0A"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r>
      <w:tr w:rsidR="008560CF" w:rsidRPr="008560CF" w14:paraId="10E0A789" w14:textId="77777777" w:rsidTr="008560CF">
        <w:trPr>
          <w:cantSplit/>
        </w:trPr>
        <w:tc>
          <w:tcPr>
            <w:tcW w:w="465" w:type="pct"/>
            <w:vMerge/>
          </w:tcPr>
          <w:p w14:paraId="0EEB8EAB"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7DCCE3C0"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9" w:type="pct"/>
            <w:gridSpan w:val="2"/>
            <w:hideMark/>
          </w:tcPr>
          <w:p w14:paraId="384A2E58"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3ACC9C24" w14:textId="77777777" w:rsidTr="008560CF">
        <w:trPr>
          <w:cantSplit/>
        </w:trPr>
        <w:tc>
          <w:tcPr>
            <w:tcW w:w="465" w:type="pct"/>
            <w:vMerge/>
          </w:tcPr>
          <w:p w14:paraId="1587E3C7"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1939F4D4"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tc>
        <w:tc>
          <w:tcPr>
            <w:tcW w:w="909" w:type="pct"/>
            <w:gridSpan w:val="2"/>
          </w:tcPr>
          <w:p w14:paraId="5F7230F2"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r w:rsidR="008560CF" w:rsidRPr="008560CF" w14:paraId="41E5C16B" w14:textId="77777777" w:rsidTr="008560CF">
        <w:trPr>
          <w:cantSplit/>
        </w:trPr>
        <w:tc>
          <w:tcPr>
            <w:tcW w:w="5000" w:type="pct"/>
            <w:gridSpan w:val="4"/>
            <w:hideMark/>
          </w:tcPr>
          <w:p w14:paraId="568EDDF4" w14:textId="77777777" w:rsidR="00253FDE" w:rsidRPr="008560CF" w:rsidRDefault="00253FDE" w:rsidP="00E801C1">
            <w:pPr>
              <w:spacing w:before="60" w:after="60"/>
              <w:rPr>
                <w:rFonts w:asciiTheme="minorHAnsi" w:hAnsiTheme="minorHAnsi" w:cstheme="minorHAnsi"/>
                <w:sz w:val="22"/>
                <w:lang w:eastAsia="en-GB" w:bidi="ar-SA"/>
              </w:rPr>
            </w:pPr>
            <w:bookmarkStart w:id="65" w:name="_Toc498675990"/>
            <w:proofErr w:type="spellStart"/>
            <w:r w:rsidRPr="008560CF">
              <w:rPr>
                <w:rFonts w:asciiTheme="minorHAnsi" w:hAnsiTheme="minorHAnsi" w:cstheme="minorHAnsi"/>
                <w:sz w:val="22"/>
                <w:lang w:eastAsia="en-GB" w:bidi="ar-SA"/>
              </w:rPr>
              <w:t>SyDP</w:t>
            </w:r>
            <w:proofErr w:type="spellEnd"/>
            <w:r w:rsidRPr="008560CF">
              <w:rPr>
                <w:rFonts w:asciiTheme="minorHAnsi" w:hAnsiTheme="minorHAnsi" w:cstheme="minorHAnsi"/>
                <w:sz w:val="22"/>
                <w:lang w:eastAsia="en-GB" w:bidi="ar-SA"/>
              </w:rPr>
              <w:t xml:space="preserve"> 10.2 – Testing and Exercising the Security Response</w:t>
            </w:r>
            <w:bookmarkEnd w:id="65"/>
          </w:p>
        </w:tc>
      </w:tr>
      <w:tr w:rsidR="008560CF" w:rsidRPr="008560CF" w14:paraId="5DCECDBF" w14:textId="77777777" w:rsidTr="008560CF">
        <w:trPr>
          <w:gridAfter w:val="1"/>
          <w:wAfter w:w="23" w:type="pct"/>
          <w:cantSplit/>
        </w:trPr>
        <w:tc>
          <w:tcPr>
            <w:tcW w:w="465" w:type="pct"/>
          </w:tcPr>
          <w:p w14:paraId="2639EF4D"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10.2.1</w:t>
            </w:r>
          </w:p>
        </w:tc>
        <w:tc>
          <w:tcPr>
            <w:tcW w:w="3626" w:type="pct"/>
            <w:hideMark/>
          </w:tcPr>
          <w:p w14:paraId="179E371D"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about testing and exercising the security response, which may include security contingency exercise objectives, training programmes, that a site level exercise has been held or is due to take place etc.</w:t>
            </w:r>
          </w:p>
        </w:tc>
        <w:tc>
          <w:tcPr>
            <w:tcW w:w="886" w:type="pct"/>
            <w:hideMark/>
          </w:tcPr>
          <w:p w14:paraId="2BB51AB8"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2D326354" w14:textId="77777777" w:rsidTr="008560CF">
        <w:trPr>
          <w:gridAfter w:val="1"/>
          <w:wAfter w:w="23" w:type="pct"/>
          <w:cantSplit/>
        </w:trPr>
        <w:tc>
          <w:tcPr>
            <w:tcW w:w="465" w:type="pct"/>
            <w:vMerge w:val="restart"/>
          </w:tcPr>
          <w:p w14:paraId="61B80E79"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10.2.2</w:t>
            </w:r>
          </w:p>
        </w:tc>
        <w:tc>
          <w:tcPr>
            <w:tcW w:w="3626" w:type="pct"/>
            <w:hideMark/>
          </w:tcPr>
          <w:p w14:paraId="6D101BFC"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SNI relating to testing and exercising the security response may include exercise scenarios, security contingency plans; security plans; physical protection system security outcomes; etc.:</w:t>
            </w:r>
          </w:p>
        </w:tc>
        <w:tc>
          <w:tcPr>
            <w:tcW w:w="886" w:type="pct"/>
            <w:hideMark/>
          </w:tcPr>
          <w:p w14:paraId="1E0E7F32"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r>
      <w:tr w:rsidR="008560CF" w:rsidRPr="008560CF" w14:paraId="201E5461" w14:textId="77777777" w:rsidTr="008560CF">
        <w:trPr>
          <w:cantSplit/>
        </w:trPr>
        <w:tc>
          <w:tcPr>
            <w:tcW w:w="465" w:type="pct"/>
            <w:vMerge/>
          </w:tcPr>
          <w:p w14:paraId="01194FE8"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431B2836"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9" w:type="pct"/>
            <w:gridSpan w:val="2"/>
            <w:hideMark/>
          </w:tcPr>
          <w:p w14:paraId="03E26A8D"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38610765" w14:textId="77777777" w:rsidTr="008560CF">
        <w:trPr>
          <w:cantSplit/>
        </w:trPr>
        <w:tc>
          <w:tcPr>
            <w:tcW w:w="465" w:type="pct"/>
            <w:vMerge/>
          </w:tcPr>
          <w:p w14:paraId="4697C6B5"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52BD96B8" w14:textId="77777777" w:rsidR="004B296C"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p w14:paraId="47AEF3CE" w14:textId="77777777" w:rsidR="00366A2D" w:rsidRPr="008560CF" w:rsidRDefault="00366A2D" w:rsidP="00E801C1">
            <w:pPr>
              <w:spacing w:before="60" w:after="60"/>
              <w:rPr>
                <w:rFonts w:asciiTheme="minorHAnsi" w:hAnsiTheme="minorHAnsi" w:cstheme="minorHAnsi"/>
                <w:sz w:val="22"/>
                <w:lang w:eastAsia="en-GB" w:bidi="ar-SA"/>
              </w:rPr>
            </w:pPr>
          </w:p>
        </w:tc>
        <w:tc>
          <w:tcPr>
            <w:tcW w:w="909" w:type="pct"/>
            <w:gridSpan w:val="2"/>
          </w:tcPr>
          <w:p w14:paraId="1DCC0ED0"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r w:rsidR="008560CF" w:rsidRPr="008560CF" w14:paraId="46C8969F" w14:textId="77777777" w:rsidTr="008560CF">
        <w:trPr>
          <w:cantSplit/>
        </w:trPr>
        <w:tc>
          <w:tcPr>
            <w:tcW w:w="5000" w:type="pct"/>
            <w:gridSpan w:val="4"/>
          </w:tcPr>
          <w:p w14:paraId="3CB6AAF0" w14:textId="32D31189" w:rsidR="004B296C" w:rsidRPr="008560CF" w:rsidRDefault="004B296C" w:rsidP="00E801C1">
            <w:pPr>
              <w:spacing w:before="60" w:after="60"/>
              <w:rPr>
                <w:rFonts w:asciiTheme="minorHAnsi" w:hAnsiTheme="minorHAnsi" w:cstheme="minorHAnsi"/>
                <w:sz w:val="22"/>
                <w:lang w:eastAsia="en-GB" w:bidi="ar-SA"/>
              </w:rPr>
            </w:pPr>
            <w:bookmarkStart w:id="66" w:name="_Toc498675991"/>
            <w:proofErr w:type="spellStart"/>
            <w:r w:rsidRPr="008560CF">
              <w:rPr>
                <w:rFonts w:asciiTheme="minorHAnsi" w:hAnsiTheme="minorHAnsi" w:cstheme="minorHAnsi"/>
                <w:sz w:val="22"/>
                <w:lang w:eastAsia="en-GB" w:bidi="ar-SA"/>
              </w:rPr>
              <w:lastRenderedPageBreak/>
              <w:t>SyDP</w:t>
            </w:r>
            <w:proofErr w:type="spellEnd"/>
            <w:r w:rsidRPr="008560CF">
              <w:rPr>
                <w:rFonts w:asciiTheme="minorHAnsi" w:hAnsiTheme="minorHAnsi" w:cstheme="minorHAnsi"/>
                <w:sz w:val="22"/>
                <w:lang w:eastAsia="en-GB" w:bidi="ar-SA"/>
              </w:rPr>
              <w:t xml:space="preserve"> 10.3 – Clarity of Command, Control and Communications Arrangements During and Post a Nuclear Security Event</w:t>
            </w:r>
            <w:bookmarkEnd w:id="66"/>
          </w:p>
        </w:tc>
      </w:tr>
      <w:tr w:rsidR="008560CF" w:rsidRPr="008560CF" w14:paraId="67C48A20" w14:textId="77777777" w:rsidTr="008560CF">
        <w:trPr>
          <w:cantSplit/>
        </w:trPr>
        <w:tc>
          <w:tcPr>
            <w:tcW w:w="465" w:type="pct"/>
          </w:tcPr>
          <w:p w14:paraId="18473F03"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10.3.1</w:t>
            </w:r>
          </w:p>
        </w:tc>
        <w:tc>
          <w:tcPr>
            <w:tcW w:w="3626" w:type="pct"/>
            <w:hideMark/>
          </w:tcPr>
          <w:p w14:paraId="00490320"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General information about clarity of command, control, and communications arrangements during and post a nuclear security event, which may include administrative arrangements, protocols etc.</w:t>
            </w:r>
          </w:p>
        </w:tc>
        <w:tc>
          <w:tcPr>
            <w:tcW w:w="909" w:type="pct"/>
            <w:gridSpan w:val="2"/>
            <w:hideMark/>
          </w:tcPr>
          <w:p w14:paraId="0C099C79" w14:textId="77777777" w:rsidR="00253FDE" w:rsidRPr="008560CF" w:rsidRDefault="00253FDE"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Not SNI</w:t>
            </w:r>
          </w:p>
        </w:tc>
      </w:tr>
      <w:tr w:rsidR="008560CF" w:rsidRPr="008560CF" w14:paraId="35924F31" w14:textId="77777777" w:rsidTr="008560CF">
        <w:trPr>
          <w:cantSplit/>
        </w:trPr>
        <w:tc>
          <w:tcPr>
            <w:tcW w:w="465" w:type="pct"/>
            <w:vMerge w:val="restart"/>
          </w:tcPr>
          <w:p w14:paraId="79F3D05E"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10.3.2</w:t>
            </w:r>
          </w:p>
        </w:tc>
        <w:tc>
          <w:tcPr>
            <w:tcW w:w="3626" w:type="pct"/>
            <w:hideMark/>
          </w:tcPr>
          <w:p w14:paraId="198DA681"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SNI relating to clarity of command, control, and communications arrangements during and post a nuclear security event may include security contingency plans, security plans, etc.</w:t>
            </w:r>
          </w:p>
        </w:tc>
        <w:tc>
          <w:tcPr>
            <w:tcW w:w="909" w:type="pct"/>
            <w:gridSpan w:val="2"/>
            <w:hideMark/>
          </w:tcPr>
          <w:p w14:paraId="6A395C2E"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r>
      <w:tr w:rsidR="008560CF" w:rsidRPr="008560CF" w14:paraId="25232A54" w14:textId="77777777" w:rsidTr="008560CF">
        <w:trPr>
          <w:cantSplit/>
        </w:trPr>
        <w:tc>
          <w:tcPr>
            <w:tcW w:w="465" w:type="pct"/>
            <w:vMerge/>
          </w:tcPr>
          <w:p w14:paraId="48F4D5A7"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73B5531D"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Sensitive information which could cause moderate damage if unintentionally disclosed or compromised (e.g. if lost, stolen or published in the media).</w:t>
            </w:r>
          </w:p>
        </w:tc>
        <w:tc>
          <w:tcPr>
            <w:tcW w:w="909" w:type="pct"/>
            <w:gridSpan w:val="2"/>
            <w:hideMark/>
          </w:tcPr>
          <w:p w14:paraId="0E426B83"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O-S:SNI</w:t>
            </w:r>
          </w:p>
        </w:tc>
      </w:tr>
      <w:tr w:rsidR="008560CF" w:rsidRPr="008560CF" w14:paraId="60F7499B" w14:textId="77777777" w:rsidTr="008560CF">
        <w:trPr>
          <w:cantSplit/>
        </w:trPr>
        <w:tc>
          <w:tcPr>
            <w:tcW w:w="465" w:type="pct"/>
            <w:vMerge/>
          </w:tcPr>
          <w:p w14:paraId="511B92A9" w14:textId="77777777" w:rsidR="004B296C" w:rsidRPr="008560CF" w:rsidRDefault="004B296C" w:rsidP="00E801C1">
            <w:pPr>
              <w:spacing w:before="60" w:after="60"/>
              <w:rPr>
                <w:rFonts w:asciiTheme="minorHAnsi" w:eastAsia="Times New Roman" w:hAnsiTheme="minorHAnsi" w:cstheme="minorHAnsi"/>
                <w:sz w:val="22"/>
                <w:lang w:eastAsia="en-GB" w:bidi="ar-SA"/>
              </w:rPr>
            </w:pPr>
          </w:p>
        </w:tc>
        <w:tc>
          <w:tcPr>
            <w:tcW w:w="3626" w:type="pct"/>
          </w:tcPr>
          <w:p w14:paraId="29D63570" w14:textId="77777777" w:rsidR="004B296C" w:rsidRPr="008560CF" w:rsidRDefault="004B296C" w:rsidP="00E801C1">
            <w:pPr>
              <w:spacing w:before="60" w:after="60"/>
              <w:rPr>
                <w:rFonts w:asciiTheme="minorHAnsi" w:hAnsiTheme="minorHAnsi" w:cstheme="minorHAnsi"/>
                <w:sz w:val="22"/>
                <w:lang w:eastAsia="en-GB" w:bidi="ar-SA"/>
              </w:rPr>
            </w:pPr>
            <w:r w:rsidRPr="008560CF">
              <w:rPr>
                <w:rFonts w:asciiTheme="minorHAnsi" w:hAnsiTheme="minorHAnsi" w:cstheme="minorHAnsi"/>
                <w:sz w:val="22"/>
                <w:lang w:eastAsia="en-GB" w:bidi="ar-SA"/>
              </w:rPr>
              <w:t>Very sensitive information where compromise could threaten life (an individual or group) or seriously damage the UK’s national or nuclear security.</w:t>
            </w:r>
          </w:p>
        </w:tc>
        <w:tc>
          <w:tcPr>
            <w:tcW w:w="909" w:type="pct"/>
            <w:gridSpan w:val="2"/>
          </w:tcPr>
          <w:p w14:paraId="19CCCD93" w14:textId="77777777" w:rsidR="004B296C" w:rsidRPr="008560CF" w:rsidRDefault="004B296C" w:rsidP="00E801C1">
            <w:pPr>
              <w:spacing w:before="60" w:after="60"/>
              <w:rPr>
                <w:rFonts w:asciiTheme="minorHAnsi" w:eastAsia="Times New Roman" w:hAnsiTheme="minorHAnsi" w:cstheme="minorHAnsi"/>
                <w:sz w:val="22"/>
                <w:lang w:eastAsia="en-GB" w:bidi="ar-SA"/>
              </w:rPr>
            </w:pPr>
            <w:r w:rsidRPr="008560CF">
              <w:rPr>
                <w:rFonts w:asciiTheme="minorHAnsi" w:eastAsia="Times New Roman" w:hAnsiTheme="minorHAnsi" w:cstheme="minorHAnsi"/>
                <w:sz w:val="22"/>
                <w:lang w:eastAsia="en-GB" w:bidi="ar-SA"/>
              </w:rPr>
              <w:t>S</w:t>
            </w:r>
          </w:p>
        </w:tc>
      </w:tr>
    </w:tbl>
    <w:p w14:paraId="09CFAAE9" w14:textId="77777777" w:rsidR="00253FDE" w:rsidRPr="009C59E3" w:rsidRDefault="00253FDE" w:rsidP="00253FDE"/>
    <w:p w14:paraId="411D7698" w14:textId="77777777" w:rsidR="00E801C1" w:rsidRDefault="00E801C1" w:rsidP="00253FDE">
      <w:pPr>
        <w:pStyle w:val="Bulletlist1"/>
        <w:numPr>
          <w:ilvl w:val="0"/>
          <w:numId w:val="0"/>
        </w:numPr>
        <w:sectPr w:rsidR="00E801C1" w:rsidSect="00366A2D">
          <w:type w:val="continuous"/>
          <w:pgSz w:w="11906" w:h="16838" w:code="9"/>
          <w:pgMar w:top="1440" w:right="1440" w:bottom="1440" w:left="1440" w:header="397" w:footer="397" w:gutter="0"/>
          <w:cols w:space="312"/>
          <w:docGrid w:linePitch="360"/>
        </w:sectPr>
      </w:pPr>
    </w:p>
    <w:bookmarkStart w:id="67" w:name="_Toc180403441" w:displacedByCustomXml="next"/>
    <w:sdt>
      <w:sdtPr>
        <w:rPr>
          <w:color w:val="auto"/>
          <w:sz w:val="24"/>
        </w:rPr>
        <w:id w:val="-669648271"/>
        <w:docPartObj>
          <w:docPartGallery w:val="Bibliographies"/>
          <w:docPartUnique/>
        </w:docPartObj>
      </w:sdtPr>
      <w:sdtEndPr/>
      <w:sdtContent>
        <w:p w14:paraId="699EFC5F" w14:textId="021EA0C9" w:rsidR="00E801C1" w:rsidRDefault="00E801C1">
          <w:pPr>
            <w:pStyle w:val="Heading1"/>
          </w:pPr>
          <w:r>
            <w:t>References</w:t>
          </w:r>
          <w:bookmarkEnd w:id="67"/>
        </w:p>
        <w:sdt>
          <w:sdtPr>
            <w:id w:val="-573587230"/>
            <w:bibliography/>
          </w:sdtPr>
          <w:sdtEndPr/>
          <w:sdtContent>
            <w:p w14:paraId="2C71F539" w14:textId="77777777" w:rsidR="004B296C" w:rsidRDefault="00E801C1">
              <w:pPr>
                <w:rPr>
                  <w:rFonts w:ascii="Calibri" w:hAnsi="Calibri"/>
                  <w:noProof/>
                  <w:sz w:val="20"/>
                  <w:szCs w:val="20"/>
                  <w:lang w:eastAsia="en-GB" w:bidi="ar-SA"/>
                </w:rPr>
              </w:pPr>
              <w:r>
                <w:fldChar w:fldCharType="begin"/>
              </w:r>
              <w:r>
                <w:instrText>BIBLIOGRAPHY</w:instrText>
              </w:r>
              <w:r>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567"/>
                <w:gridCol w:w="8459"/>
              </w:tblGrid>
              <w:tr w:rsidR="004B296C" w14:paraId="3DBBE8A7" w14:textId="77777777" w:rsidTr="004B296C">
                <w:trPr>
                  <w:divId w:val="1616407037"/>
                  <w:tblCellSpacing w:w="15" w:type="dxa"/>
                </w:trPr>
                <w:tc>
                  <w:tcPr>
                    <w:tcW w:w="289" w:type="pct"/>
                    <w:hideMark/>
                  </w:tcPr>
                  <w:p w14:paraId="2CC7B10C" w14:textId="04CFA177" w:rsidR="004B296C" w:rsidRDefault="004B296C" w:rsidP="004B296C">
                    <w:pPr>
                      <w:pStyle w:val="Bibliography"/>
                      <w:spacing w:after="120"/>
                      <w:rPr>
                        <w:noProof/>
                        <w:szCs w:val="24"/>
                      </w:rPr>
                    </w:pPr>
                    <w:r>
                      <w:rPr>
                        <w:noProof/>
                      </w:rPr>
                      <w:t xml:space="preserve">[1] </w:t>
                    </w:r>
                  </w:p>
                </w:tc>
                <w:tc>
                  <w:tcPr>
                    <w:tcW w:w="4661" w:type="pct"/>
                    <w:hideMark/>
                  </w:tcPr>
                  <w:p w14:paraId="03DFDA07" w14:textId="77777777" w:rsidR="004B296C" w:rsidRDefault="004B296C" w:rsidP="004B296C">
                    <w:pPr>
                      <w:pStyle w:val="Bibliography"/>
                      <w:spacing w:after="120"/>
                      <w:rPr>
                        <w:noProof/>
                      </w:rPr>
                    </w:pPr>
                    <w:r>
                      <w:rPr>
                        <w:noProof/>
                      </w:rPr>
                      <w:t>HM Government, “The Nuclear Industries Security Regulations 2003,” 2003. [Online]. Available: https://www.legislation.gov.uk/uksi/2003/403/contents/made.</w:t>
                    </w:r>
                  </w:p>
                </w:tc>
              </w:tr>
              <w:tr w:rsidR="004B296C" w14:paraId="79C8B459" w14:textId="77777777" w:rsidTr="004B296C">
                <w:trPr>
                  <w:divId w:val="1616407037"/>
                  <w:tblCellSpacing w:w="15" w:type="dxa"/>
                </w:trPr>
                <w:tc>
                  <w:tcPr>
                    <w:tcW w:w="289" w:type="pct"/>
                    <w:hideMark/>
                  </w:tcPr>
                  <w:p w14:paraId="6CD92BA7" w14:textId="77777777" w:rsidR="004B296C" w:rsidRDefault="004B296C" w:rsidP="004B296C">
                    <w:pPr>
                      <w:pStyle w:val="Bibliography"/>
                      <w:spacing w:after="120"/>
                      <w:rPr>
                        <w:noProof/>
                      </w:rPr>
                    </w:pPr>
                    <w:r>
                      <w:rPr>
                        <w:noProof/>
                      </w:rPr>
                      <w:t xml:space="preserve">[2] </w:t>
                    </w:r>
                  </w:p>
                </w:tc>
                <w:tc>
                  <w:tcPr>
                    <w:tcW w:w="4661" w:type="pct"/>
                    <w:hideMark/>
                  </w:tcPr>
                  <w:p w14:paraId="626C8F77" w14:textId="77777777" w:rsidR="004B296C" w:rsidRDefault="004B296C" w:rsidP="004B296C">
                    <w:pPr>
                      <w:pStyle w:val="Bibliography"/>
                      <w:spacing w:after="120"/>
                      <w:rPr>
                        <w:noProof/>
                      </w:rPr>
                    </w:pPr>
                    <w:r>
                      <w:rPr>
                        <w:noProof/>
                      </w:rPr>
                      <w:t>HM Government, “Government Security Classifications Policy,” 5 August 2024. [Online]. Available: https://www.gov.uk/government/publications/government-security-classifications/government-security-classifications-policy-html.</w:t>
                    </w:r>
                  </w:p>
                </w:tc>
              </w:tr>
              <w:tr w:rsidR="004B296C" w14:paraId="074EA72C" w14:textId="77777777" w:rsidTr="004B296C">
                <w:trPr>
                  <w:divId w:val="1616407037"/>
                  <w:tblCellSpacing w:w="15" w:type="dxa"/>
                </w:trPr>
                <w:tc>
                  <w:tcPr>
                    <w:tcW w:w="289" w:type="pct"/>
                    <w:hideMark/>
                  </w:tcPr>
                  <w:p w14:paraId="23BBBEA8" w14:textId="77777777" w:rsidR="004B296C" w:rsidRDefault="004B296C" w:rsidP="004B296C">
                    <w:pPr>
                      <w:pStyle w:val="Bibliography"/>
                      <w:spacing w:after="120"/>
                      <w:rPr>
                        <w:noProof/>
                      </w:rPr>
                    </w:pPr>
                    <w:r>
                      <w:rPr>
                        <w:noProof/>
                      </w:rPr>
                      <w:t xml:space="preserve">[3] </w:t>
                    </w:r>
                  </w:p>
                </w:tc>
                <w:tc>
                  <w:tcPr>
                    <w:tcW w:w="4661" w:type="pct"/>
                    <w:hideMark/>
                  </w:tcPr>
                  <w:p w14:paraId="748E047A" w14:textId="77777777" w:rsidR="004B296C" w:rsidRDefault="004B296C" w:rsidP="004B296C">
                    <w:pPr>
                      <w:pStyle w:val="Bibliography"/>
                      <w:spacing w:after="120"/>
                      <w:rPr>
                        <w:noProof/>
                      </w:rPr>
                    </w:pPr>
                    <w:r>
                      <w:rPr>
                        <w:noProof/>
                      </w:rPr>
                      <w:t>HM Government, “Government Functional Standard GovS 007: Security,” 13 September 2021. [Online]. Available: https://www.gov.uk/government/publications/government-functional-standard-govs-007-security.</w:t>
                    </w:r>
                  </w:p>
                </w:tc>
              </w:tr>
              <w:tr w:rsidR="004B296C" w14:paraId="5909245C" w14:textId="77777777" w:rsidTr="004B296C">
                <w:trPr>
                  <w:divId w:val="1616407037"/>
                  <w:tblCellSpacing w:w="15" w:type="dxa"/>
                </w:trPr>
                <w:tc>
                  <w:tcPr>
                    <w:tcW w:w="289" w:type="pct"/>
                    <w:hideMark/>
                  </w:tcPr>
                  <w:p w14:paraId="6F6FF75B" w14:textId="77777777" w:rsidR="004B296C" w:rsidRDefault="004B296C" w:rsidP="004B296C">
                    <w:pPr>
                      <w:pStyle w:val="Bibliography"/>
                      <w:spacing w:after="120"/>
                      <w:rPr>
                        <w:noProof/>
                      </w:rPr>
                    </w:pPr>
                    <w:r>
                      <w:rPr>
                        <w:noProof/>
                      </w:rPr>
                      <w:t xml:space="preserve">[4] </w:t>
                    </w:r>
                  </w:p>
                </w:tc>
                <w:tc>
                  <w:tcPr>
                    <w:tcW w:w="4661" w:type="pct"/>
                    <w:hideMark/>
                  </w:tcPr>
                  <w:p w14:paraId="35715CFD" w14:textId="77777777" w:rsidR="004B296C" w:rsidRDefault="004B296C" w:rsidP="004B296C">
                    <w:pPr>
                      <w:pStyle w:val="Bibliography"/>
                      <w:spacing w:after="120"/>
                      <w:rPr>
                        <w:noProof/>
                      </w:rPr>
                    </w:pPr>
                    <w:r>
                      <w:rPr>
                        <w:noProof/>
                      </w:rPr>
                      <w:t>HM Government, “Anti-terrorism, Crime and Security Act 2001,” 2001. [Online]. Available: https://www.legislation.gov.uk/ukpga/2001/24/contents.</w:t>
                    </w:r>
                  </w:p>
                </w:tc>
              </w:tr>
              <w:tr w:rsidR="004B296C" w14:paraId="26998B88" w14:textId="77777777" w:rsidTr="004B296C">
                <w:trPr>
                  <w:divId w:val="1616407037"/>
                  <w:tblCellSpacing w:w="15" w:type="dxa"/>
                </w:trPr>
                <w:tc>
                  <w:tcPr>
                    <w:tcW w:w="289" w:type="pct"/>
                    <w:hideMark/>
                  </w:tcPr>
                  <w:p w14:paraId="4EC4BE14" w14:textId="77777777" w:rsidR="004B296C" w:rsidRDefault="004B296C" w:rsidP="004B296C">
                    <w:pPr>
                      <w:pStyle w:val="Bibliography"/>
                      <w:spacing w:after="120"/>
                      <w:rPr>
                        <w:noProof/>
                      </w:rPr>
                    </w:pPr>
                    <w:r>
                      <w:rPr>
                        <w:noProof/>
                      </w:rPr>
                      <w:t xml:space="preserve">[5] </w:t>
                    </w:r>
                  </w:p>
                </w:tc>
                <w:tc>
                  <w:tcPr>
                    <w:tcW w:w="4661" w:type="pct"/>
                    <w:hideMark/>
                  </w:tcPr>
                  <w:p w14:paraId="6CBCEB3E" w14:textId="77777777" w:rsidR="004B296C" w:rsidRDefault="004B296C" w:rsidP="004B296C">
                    <w:pPr>
                      <w:pStyle w:val="Bibliography"/>
                      <w:spacing w:after="120"/>
                      <w:rPr>
                        <w:noProof/>
                      </w:rPr>
                    </w:pPr>
                    <w:r>
                      <w:rPr>
                        <w:noProof/>
                      </w:rPr>
                      <w:t>HM Government, “Energy Act 2013,” 2013. [Online]. Available: https://www.legislation.gov.uk/ukpga/2013/32/contents.</w:t>
                    </w:r>
                  </w:p>
                </w:tc>
              </w:tr>
              <w:tr w:rsidR="004B296C" w14:paraId="0EF29AAC" w14:textId="77777777" w:rsidTr="004B296C">
                <w:trPr>
                  <w:divId w:val="1616407037"/>
                  <w:tblCellSpacing w:w="15" w:type="dxa"/>
                </w:trPr>
                <w:tc>
                  <w:tcPr>
                    <w:tcW w:w="289" w:type="pct"/>
                    <w:hideMark/>
                  </w:tcPr>
                  <w:p w14:paraId="6B8AAA5C" w14:textId="77777777" w:rsidR="004B296C" w:rsidRDefault="004B296C" w:rsidP="004B296C">
                    <w:pPr>
                      <w:pStyle w:val="Bibliography"/>
                      <w:spacing w:after="120"/>
                      <w:rPr>
                        <w:noProof/>
                      </w:rPr>
                    </w:pPr>
                    <w:r>
                      <w:rPr>
                        <w:noProof/>
                      </w:rPr>
                      <w:t xml:space="preserve">[6] </w:t>
                    </w:r>
                  </w:p>
                </w:tc>
                <w:tc>
                  <w:tcPr>
                    <w:tcW w:w="4661" w:type="pct"/>
                    <w:hideMark/>
                  </w:tcPr>
                  <w:p w14:paraId="41B66FFA" w14:textId="77777777" w:rsidR="004B296C" w:rsidRDefault="004B296C" w:rsidP="004B296C">
                    <w:pPr>
                      <w:pStyle w:val="Bibliography"/>
                      <w:spacing w:after="120"/>
                      <w:rPr>
                        <w:noProof/>
                      </w:rPr>
                    </w:pPr>
                    <w:r>
                      <w:rPr>
                        <w:noProof/>
                      </w:rPr>
                      <w:t>ONR, “Security Assessment Principles (SyAPs) for the Civil Nuclear Industry (Version 1),” 2022. [Online]. Available: https://www.onr.org.uk/media/g05fszjn/security-assessment-principles.pdf.</w:t>
                    </w:r>
                  </w:p>
                </w:tc>
              </w:tr>
              <w:tr w:rsidR="004B296C" w14:paraId="754BDD91" w14:textId="77777777" w:rsidTr="004B296C">
                <w:trPr>
                  <w:divId w:val="1616407037"/>
                  <w:tblCellSpacing w:w="15" w:type="dxa"/>
                </w:trPr>
                <w:tc>
                  <w:tcPr>
                    <w:tcW w:w="289" w:type="pct"/>
                    <w:hideMark/>
                  </w:tcPr>
                  <w:p w14:paraId="0C246B97" w14:textId="77777777" w:rsidR="004B296C" w:rsidRDefault="004B296C" w:rsidP="004B296C">
                    <w:pPr>
                      <w:pStyle w:val="Bibliography"/>
                      <w:spacing w:after="120"/>
                      <w:rPr>
                        <w:noProof/>
                      </w:rPr>
                    </w:pPr>
                    <w:r>
                      <w:rPr>
                        <w:noProof/>
                      </w:rPr>
                      <w:t xml:space="preserve">[7] </w:t>
                    </w:r>
                  </w:p>
                </w:tc>
                <w:tc>
                  <w:tcPr>
                    <w:tcW w:w="4661" w:type="pct"/>
                    <w:hideMark/>
                  </w:tcPr>
                  <w:p w14:paraId="6C402EAF" w14:textId="77777777" w:rsidR="004B296C" w:rsidRDefault="004B296C" w:rsidP="004B296C">
                    <w:pPr>
                      <w:pStyle w:val="Bibliography"/>
                      <w:spacing w:after="120"/>
                      <w:rPr>
                        <w:noProof/>
                      </w:rPr>
                    </w:pPr>
                    <w:r>
                      <w:rPr>
                        <w:noProof/>
                      </w:rPr>
                      <w:t>HM Government, “Guidance 1.5 - Considerations for Security Advisors,” 5 August 2024. [Online]. Available: https://assets.publishing.service.gov.uk/media/66a3799cab418ab055592db8/Guidance_1.5__Considerations_for_Security_Advisors_2024.docx__2_.pdf.</w:t>
                    </w:r>
                  </w:p>
                </w:tc>
              </w:tr>
              <w:tr w:rsidR="004B296C" w14:paraId="47942129" w14:textId="77777777" w:rsidTr="004B296C">
                <w:trPr>
                  <w:divId w:val="1616407037"/>
                  <w:tblCellSpacing w:w="15" w:type="dxa"/>
                </w:trPr>
                <w:tc>
                  <w:tcPr>
                    <w:tcW w:w="289" w:type="pct"/>
                    <w:hideMark/>
                  </w:tcPr>
                  <w:p w14:paraId="7A7FF663" w14:textId="77777777" w:rsidR="004B296C" w:rsidRDefault="004B296C" w:rsidP="004B296C">
                    <w:pPr>
                      <w:pStyle w:val="Bibliography"/>
                      <w:spacing w:after="120"/>
                      <w:rPr>
                        <w:noProof/>
                      </w:rPr>
                    </w:pPr>
                    <w:r>
                      <w:rPr>
                        <w:noProof/>
                      </w:rPr>
                      <w:t xml:space="preserve">[8] </w:t>
                    </w:r>
                  </w:p>
                </w:tc>
                <w:tc>
                  <w:tcPr>
                    <w:tcW w:w="4661" w:type="pct"/>
                    <w:hideMark/>
                  </w:tcPr>
                  <w:p w14:paraId="1A1C37C4" w14:textId="77777777" w:rsidR="004B296C" w:rsidRDefault="004B296C" w:rsidP="004B296C">
                    <w:pPr>
                      <w:pStyle w:val="Bibliography"/>
                      <w:spacing w:after="120"/>
                      <w:rPr>
                        <w:noProof/>
                      </w:rPr>
                    </w:pPr>
                    <w:r>
                      <w:rPr>
                        <w:noProof/>
                      </w:rPr>
                      <w:t xml:space="preserve">CCSWG, The Collaboration On Gas Centrifuge Technology – Handbook On Security Of Classified Information, 2023. </w:t>
                    </w:r>
                  </w:p>
                </w:tc>
              </w:tr>
              <w:tr w:rsidR="004B296C" w14:paraId="2EACE4B8" w14:textId="77777777" w:rsidTr="004B296C">
                <w:trPr>
                  <w:divId w:val="1616407037"/>
                  <w:tblCellSpacing w:w="15" w:type="dxa"/>
                </w:trPr>
                <w:tc>
                  <w:tcPr>
                    <w:tcW w:w="289" w:type="pct"/>
                    <w:hideMark/>
                  </w:tcPr>
                  <w:p w14:paraId="18C8FC43" w14:textId="77777777" w:rsidR="004B296C" w:rsidRDefault="004B296C" w:rsidP="004B296C">
                    <w:pPr>
                      <w:pStyle w:val="Bibliography"/>
                      <w:spacing w:after="120"/>
                      <w:rPr>
                        <w:noProof/>
                      </w:rPr>
                    </w:pPr>
                    <w:r>
                      <w:rPr>
                        <w:noProof/>
                      </w:rPr>
                      <w:t xml:space="preserve">[9] </w:t>
                    </w:r>
                  </w:p>
                </w:tc>
                <w:tc>
                  <w:tcPr>
                    <w:tcW w:w="4661" w:type="pct"/>
                    <w:hideMark/>
                  </w:tcPr>
                  <w:p w14:paraId="71824C10" w14:textId="77777777" w:rsidR="004B296C" w:rsidRDefault="004B296C" w:rsidP="004B296C">
                    <w:pPr>
                      <w:pStyle w:val="Bibliography"/>
                      <w:spacing w:after="120"/>
                      <w:rPr>
                        <w:noProof/>
                      </w:rPr>
                    </w:pPr>
                    <w:r>
                      <w:rPr>
                        <w:noProof/>
                      </w:rPr>
                      <w:t>ONR, “Notify ONR,” [Online]. Available: https://www.onr.org.uk/notify-onr.htm.</w:t>
                    </w:r>
                  </w:p>
                </w:tc>
              </w:tr>
              <w:tr w:rsidR="004B296C" w14:paraId="38DEE666" w14:textId="77777777" w:rsidTr="004B296C">
                <w:trPr>
                  <w:divId w:val="1616407037"/>
                  <w:tblCellSpacing w:w="15" w:type="dxa"/>
                </w:trPr>
                <w:tc>
                  <w:tcPr>
                    <w:tcW w:w="289" w:type="pct"/>
                    <w:hideMark/>
                  </w:tcPr>
                  <w:p w14:paraId="39CF37B1" w14:textId="77777777" w:rsidR="004B296C" w:rsidRDefault="004B296C" w:rsidP="004B296C">
                    <w:pPr>
                      <w:pStyle w:val="Bibliography"/>
                      <w:spacing w:after="120"/>
                      <w:rPr>
                        <w:noProof/>
                      </w:rPr>
                    </w:pPr>
                    <w:r>
                      <w:rPr>
                        <w:noProof/>
                      </w:rPr>
                      <w:t xml:space="preserve">[10] </w:t>
                    </w:r>
                  </w:p>
                </w:tc>
                <w:tc>
                  <w:tcPr>
                    <w:tcW w:w="4661" w:type="pct"/>
                    <w:hideMark/>
                  </w:tcPr>
                  <w:p w14:paraId="5D985AC4" w14:textId="77777777" w:rsidR="004B296C" w:rsidRDefault="004B296C" w:rsidP="004B296C">
                    <w:pPr>
                      <w:pStyle w:val="Bibliography"/>
                      <w:spacing w:after="120"/>
                      <w:rPr>
                        <w:noProof/>
                      </w:rPr>
                    </w:pPr>
                    <w:r>
                      <w:rPr>
                        <w:noProof/>
                      </w:rPr>
                      <w:t>ONR, “CNS-TAST-GD-6.2 - Categorisation for Sabotage”.</w:t>
                    </w:r>
                  </w:p>
                </w:tc>
              </w:tr>
              <w:tr w:rsidR="004B296C" w14:paraId="0BBDFE3F" w14:textId="77777777" w:rsidTr="004B296C">
                <w:trPr>
                  <w:divId w:val="1616407037"/>
                  <w:tblCellSpacing w:w="15" w:type="dxa"/>
                </w:trPr>
                <w:tc>
                  <w:tcPr>
                    <w:tcW w:w="289" w:type="pct"/>
                    <w:hideMark/>
                  </w:tcPr>
                  <w:p w14:paraId="5A399EAF" w14:textId="77777777" w:rsidR="004B296C" w:rsidRDefault="004B296C" w:rsidP="004B296C">
                    <w:pPr>
                      <w:pStyle w:val="Bibliography"/>
                      <w:spacing w:after="120"/>
                      <w:rPr>
                        <w:noProof/>
                      </w:rPr>
                    </w:pPr>
                    <w:r>
                      <w:rPr>
                        <w:noProof/>
                      </w:rPr>
                      <w:t xml:space="preserve">[11] </w:t>
                    </w:r>
                  </w:p>
                </w:tc>
                <w:tc>
                  <w:tcPr>
                    <w:tcW w:w="4661" w:type="pct"/>
                    <w:hideMark/>
                  </w:tcPr>
                  <w:p w14:paraId="6F899249" w14:textId="77777777" w:rsidR="004B296C" w:rsidRDefault="004B296C" w:rsidP="004B296C">
                    <w:pPr>
                      <w:pStyle w:val="Bibliography"/>
                      <w:spacing w:after="120"/>
                      <w:rPr>
                        <w:noProof/>
                      </w:rPr>
                    </w:pPr>
                    <w:r>
                      <w:rPr>
                        <w:noProof/>
                      </w:rPr>
                      <w:t>ONR, “CNS-TAST-GD-6.1 - Target Identification for Theft”.</w:t>
                    </w:r>
                  </w:p>
                </w:tc>
              </w:tr>
              <w:tr w:rsidR="004B296C" w14:paraId="46CE3686" w14:textId="77777777" w:rsidTr="004B296C">
                <w:trPr>
                  <w:divId w:val="1616407037"/>
                  <w:tblCellSpacing w:w="15" w:type="dxa"/>
                </w:trPr>
                <w:tc>
                  <w:tcPr>
                    <w:tcW w:w="289" w:type="pct"/>
                    <w:hideMark/>
                  </w:tcPr>
                  <w:p w14:paraId="12CF76F4" w14:textId="77777777" w:rsidR="004B296C" w:rsidRDefault="004B296C" w:rsidP="004B296C">
                    <w:pPr>
                      <w:pStyle w:val="Bibliography"/>
                      <w:spacing w:after="120"/>
                      <w:rPr>
                        <w:noProof/>
                      </w:rPr>
                    </w:pPr>
                    <w:r>
                      <w:rPr>
                        <w:noProof/>
                      </w:rPr>
                      <w:t xml:space="preserve">[12] </w:t>
                    </w:r>
                  </w:p>
                </w:tc>
                <w:tc>
                  <w:tcPr>
                    <w:tcW w:w="4661" w:type="pct"/>
                    <w:hideMark/>
                  </w:tcPr>
                  <w:p w14:paraId="3C132DBB" w14:textId="77777777" w:rsidR="004B296C" w:rsidRDefault="004B296C" w:rsidP="004B296C">
                    <w:pPr>
                      <w:pStyle w:val="Bibliography"/>
                      <w:spacing w:after="120"/>
                      <w:rPr>
                        <w:noProof/>
                      </w:rPr>
                    </w:pPr>
                    <w:r>
                      <w:rPr>
                        <w:noProof/>
                      </w:rPr>
                      <w:t>ONR, “CNSS-SEC-GD-001 - Nuclear Transport Security Guidance for Class B Approved Carriers’,” March 2024. [Online]. Available: https://www.onr.org.uk/operational/other/cnss-sec-gd-001.pdf.</w:t>
                    </w:r>
                  </w:p>
                </w:tc>
              </w:tr>
            </w:tbl>
            <w:p w14:paraId="700E997B" w14:textId="77777777" w:rsidR="004B296C" w:rsidRDefault="004B296C">
              <w:pPr>
                <w:divId w:val="1616407037"/>
                <w:rPr>
                  <w:rFonts w:eastAsia="Times New Roman"/>
                  <w:noProof/>
                </w:rPr>
              </w:pPr>
            </w:p>
            <w:p w14:paraId="1344BF47" w14:textId="5E8A7E5D" w:rsidR="00E801C1" w:rsidRDefault="00E801C1" w:rsidP="004B296C">
              <w:r>
                <w:rPr>
                  <w:b/>
                  <w:bCs/>
                </w:rPr>
                <w:fldChar w:fldCharType="end"/>
              </w:r>
            </w:p>
          </w:sdtContent>
        </w:sdt>
      </w:sdtContent>
    </w:sdt>
    <w:sectPr w:rsidR="00E801C1" w:rsidSect="00253FD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3DB0E" w14:textId="77777777" w:rsidR="00CA393C" w:rsidRDefault="00CA393C" w:rsidP="007D199A">
      <w:pPr>
        <w:spacing w:after="0"/>
      </w:pPr>
      <w:r>
        <w:separator/>
      </w:r>
    </w:p>
    <w:p w14:paraId="6DE78931" w14:textId="77777777" w:rsidR="00CA393C" w:rsidRDefault="00CA393C"/>
  </w:endnote>
  <w:endnote w:type="continuationSeparator" w:id="0">
    <w:p w14:paraId="6506A86C" w14:textId="77777777" w:rsidR="00CA393C" w:rsidRDefault="00CA393C" w:rsidP="007D199A">
      <w:pPr>
        <w:spacing w:after="0"/>
      </w:pPr>
      <w:r>
        <w:continuationSeparator/>
      </w:r>
    </w:p>
    <w:p w14:paraId="4B7830C5" w14:textId="77777777" w:rsidR="00CA393C" w:rsidRDefault="00CA39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193E21" w:rsidR="007C3C1D" w:rsidRPr="006A525B" w:rsidRDefault="006A525B" w:rsidP="007C3C1D">
    <w:pPr>
      <w:pStyle w:val="Footer"/>
      <w:jc w:val="left"/>
      <w:rPr>
        <w:szCs w:val="24"/>
      </w:rPr>
    </w:pPr>
    <w:r w:rsidRPr="006A525B">
      <w:rPr>
        <w:szCs w:val="24"/>
      </w:rPr>
      <w:t>ONR-DOC-TEMP-</w:t>
    </w:r>
    <w:r w:rsidR="001D0FA7">
      <w:rPr>
        <w:szCs w:val="24"/>
      </w:rPr>
      <w:t>200</w:t>
    </w:r>
    <w:r w:rsidRPr="006A525B">
      <w:rPr>
        <w:szCs w:val="24"/>
      </w:rPr>
      <w:t xml:space="preserve"> (Issue </w:t>
    </w:r>
    <w:r w:rsidR="001D0FA7">
      <w:rPr>
        <w:szCs w:val="24"/>
      </w:rPr>
      <w:t>2</w:t>
    </w:r>
    <w:r w:rsidR="00B14D32">
      <w:rPr>
        <w:szCs w:val="24"/>
      </w:rPr>
      <w:t>.</w:t>
    </w:r>
    <w:r w:rsidR="00DD66BD">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A0228" w14:textId="77777777" w:rsidR="000D7A42" w:rsidRPr="008C50C3" w:rsidRDefault="000D7A42"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7E35C" w14:textId="6868DDBD" w:rsidR="000D7A42" w:rsidRPr="008229BA" w:rsidRDefault="00253FDE" w:rsidP="008229BA">
    <w:pPr>
      <w:pStyle w:val="Footer"/>
      <w:rPr>
        <w:rStyle w:val="PageNumber"/>
        <w:color w:val="22413A"/>
        <w:sz w:val="24"/>
      </w:rPr>
    </w:pPr>
    <w:r w:rsidRPr="00253FDE">
      <w:rPr>
        <w:rStyle w:val="PageNumber"/>
        <w:color w:val="22413A"/>
        <w:sz w:val="24"/>
      </w:rPr>
      <w:t xml:space="preserve">Page | </w:t>
    </w:r>
    <w:r w:rsidRPr="00253FDE">
      <w:rPr>
        <w:rStyle w:val="PageNumber"/>
        <w:color w:val="22413A"/>
        <w:sz w:val="24"/>
      </w:rPr>
      <w:fldChar w:fldCharType="begin"/>
    </w:r>
    <w:r w:rsidRPr="00253FDE">
      <w:rPr>
        <w:rStyle w:val="PageNumber"/>
        <w:color w:val="22413A"/>
        <w:sz w:val="24"/>
      </w:rPr>
      <w:instrText>PAGE   \* MERGEFORMAT</w:instrText>
    </w:r>
    <w:r w:rsidRPr="00253FDE">
      <w:rPr>
        <w:rStyle w:val="PageNumber"/>
        <w:color w:val="22413A"/>
        <w:sz w:val="24"/>
      </w:rPr>
      <w:fldChar w:fldCharType="separate"/>
    </w:r>
    <w:r w:rsidRPr="00253FDE">
      <w:rPr>
        <w:rStyle w:val="PageNumber"/>
        <w:color w:val="22413A"/>
        <w:sz w:val="24"/>
      </w:rPr>
      <w:t>1</w:t>
    </w:r>
    <w:r w:rsidRPr="00253FDE">
      <w:rPr>
        <w:rStyle w:val="PageNumber"/>
        <w:color w:val="22413A"/>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6B4AB" w14:textId="77777777" w:rsidR="00CA393C" w:rsidRPr="005E0344" w:rsidRDefault="00CA393C" w:rsidP="005E0344">
      <w:pPr>
        <w:spacing w:after="120"/>
        <w:rPr>
          <w:color w:val="000000" w:themeColor="text2"/>
        </w:rPr>
      </w:pPr>
      <w:r w:rsidRPr="005E0344">
        <w:rPr>
          <w:color w:val="000000" w:themeColor="text2"/>
        </w:rPr>
        <w:separator/>
      </w:r>
    </w:p>
  </w:footnote>
  <w:footnote w:type="continuationSeparator" w:id="0">
    <w:p w14:paraId="1D73F525" w14:textId="77777777" w:rsidR="00CA393C" w:rsidRPr="005E0344" w:rsidRDefault="00CA393C" w:rsidP="0090581D">
      <w:pPr>
        <w:spacing w:after="120"/>
        <w:rPr>
          <w:color w:val="000000" w:themeColor="text2"/>
        </w:rPr>
      </w:pPr>
      <w:r w:rsidRPr="005E0344">
        <w:rPr>
          <w:color w:val="000000" w:themeColor="text2"/>
        </w:rPr>
        <w:continuationSeparator/>
      </w:r>
    </w:p>
    <w:p w14:paraId="04904923" w14:textId="77777777" w:rsidR="00CA393C" w:rsidRDefault="00CA393C"/>
  </w:footnote>
  <w:footnote w:type="continuationNotice" w:id="1">
    <w:p w14:paraId="2D711BF0" w14:textId="77777777" w:rsidR="00CA393C" w:rsidRDefault="00CA393C">
      <w:pPr>
        <w:spacing w:after="0"/>
      </w:pPr>
    </w:p>
    <w:p w14:paraId="67499C21" w14:textId="77777777" w:rsidR="00CA393C" w:rsidRDefault="00CA393C"/>
  </w:footnote>
  <w:footnote w:id="2">
    <w:p w14:paraId="6BFF3D09" w14:textId="25815C0C" w:rsidR="00253FDE" w:rsidRDefault="00253FDE" w:rsidP="00420425">
      <w:pPr>
        <w:pStyle w:val="FootnoteText"/>
        <w:ind w:left="0" w:firstLine="0"/>
      </w:pPr>
      <w:r w:rsidRPr="00F33D06">
        <w:rPr>
          <w:rStyle w:val="FootnoteReference"/>
        </w:rPr>
        <w:footnoteRef/>
      </w:r>
      <w:r w:rsidR="00420425">
        <w:t xml:space="preserve"> ‘C</w:t>
      </w:r>
      <w:r w:rsidRPr="00F33D06">
        <w:t>ivil nuclear premises</w:t>
      </w:r>
      <w:r w:rsidR="00420425">
        <w:t>’</w:t>
      </w:r>
      <w:r w:rsidRPr="00F33D06">
        <w:t xml:space="preserve"> means a civil nuclear site, or other premises on which nuclear material is used or stored which are not controlled or operated wholly or mainly for defence purposes</w:t>
      </w:r>
      <w:r w:rsidR="00420425">
        <w:t xml:space="preserve">. </w:t>
      </w:r>
      <w:r w:rsidR="00420425">
        <w:br/>
        <w:t>‘C</w:t>
      </w:r>
      <w:r w:rsidRPr="00F33D06">
        <w:t>ivil nuclear site</w:t>
      </w:r>
      <w:r w:rsidR="00420425">
        <w:t>’</w:t>
      </w:r>
      <w:r w:rsidRPr="00F33D06">
        <w:t xml:space="preserve"> means a nuclear site other than one controlled or operated wholly or mainly for defence purposes </w:t>
      </w:r>
      <w:r w:rsidR="00420425">
        <w:t>(TEA13,</w:t>
      </w:r>
      <w:r w:rsidRPr="00F33D06">
        <w:t xml:space="preserve"> Part 3</w:t>
      </w:r>
      <w:r w:rsidR="00420425">
        <w:t>,</w:t>
      </w:r>
      <w:r w:rsidRPr="00F33D06">
        <w:t xml:space="preserve"> Chapter 1</w:t>
      </w:r>
      <w:r w:rsidR="00420425">
        <w:t>,</w:t>
      </w:r>
      <w:r w:rsidRPr="00F33D06">
        <w:t xml:space="preserve"> Section 70(3)</w:t>
      </w:r>
      <w:r w:rsidR="00420425">
        <w:t xml:space="preserve"> </w:t>
      </w:r>
      <w:sdt>
        <w:sdtPr>
          <w:id w:val="1076638420"/>
          <w:citation/>
        </w:sdtPr>
        <w:sdtEndPr/>
        <w:sdtContent>
          <w:r w:rsidR="00420425">
            <w:fldChar w:fldCharType="begin"/>
          </w:r>
          <w:r w:rsidR="00420425">
            <w:instrText xml:space="preserve"> CITATION HMG142 \l 2057 </w:instrText>
          </w:r>
          <w:r w:rsidR="00420425">
            <w:fldChar w:fldCharType="separate"/>
          </w:r>
          <w:r w:rsidR="00420425" w:rsidRPr="00420425">
            <w:rPr>
              <w:noProof/>
            </w:rPr>
            <w:t>[5]</w:t>
          </w:r>
          <w:r w:rsidR="00420425">
            <w:fldChar w:fldCharType="end"/>
          </w:r>
        </w:sdtContent>
      </w:sdt>
      <w:r w:rsidR="00420425">
        <w:t>)</w:t>
      </w:r>
      <w:r w:rsidRPr="00F33D06">
        <w:t>.</w:t>
      </w:r>
    </w:p>
  </w:footnote>
  <w:footnote w:id="3">
    <w:p w14:paraId="4B32795C" w14:textId="77777777" w:rsidR="00253FDE" w:rsidRDefault="00253FDE" w:rsidP="00253FDE">
      <w:pPr>
        <w:pStyle w:val="FootnoteText"/>
        <w:ind w:left="0" w:firstLine="0"/>
      </w:pPr>
      <w:r w:rsidRPr="00F33D06">
        <w:rPr>
          <w:rStyle w:val="FootnoteReference"/>
        </w:rPr>
        <w:footnoteRef/>
      </w:r>
      <w:r w:rsidRPr="00F33D06">
        <w:t xml:space="preserve"> The accidental or deliberate violation of confidentiality, loss of integrity, or loss of availability of an information object.</w:t>
      </w:r>
    </w:p>
  </w:footnote>
  <w:footnote w:id="4">
    <w:p w14:paraId="00198F6B" w14:textId="4690B16E" w:rsidR="00253FDE" w:rsidRDefault="00253FDE" w:rsidP="00253FDE">
      <w:pPr>
        <w:pStyle w:val="FootnoteText"/>
        <w:ind w:left="0" w:firstLine="0"/>
      </w:pPr>
      <w:r>
        <w:rPr>
          <w:rStyle w:val="FootnoteReference"/>
        </w:rPr>
        <w:footnoteRef/>
      </w:r>
      <w:r>
        <w:t xml:space="preserve"> </w:t>
      </w:r>
      <w:r w:rsidRPr="003D34A1">
        <w:t xml:space="preserve">Further detail on the categorisation of NM and VAs can be found in Annexes A </w:t>
      </w:r>
      <w:r w:rsidR="00AD445A">
        <w:t>and</w:t>
      </w:r>
      <w:r w:rsidRPr="003D34A1">
        <w:t xml:space="preserve"> B</w:t>
      </w:r>
      <w:r w:rsidR="00AD445A">
        <w:t xml:space="preserve"> of the </w:t>
      </w:r>
      <w:r w:rsidR="00AD445A" w:rsidRPr="003D34A1">
        <w:t>SyAPs</w:t>
      </w:r>
      <w:r w:rsidR="00AD445A">
        <w:t xml:space="preserve"> </w:t>
      </w:r>
      <w:sdt>
        <w:sdtPr>
          <w:id w:val="-632092864"/>
          <w:citation/>
        </w:sdtPr>
        <w:sdtEndPr/>
        <w:sdtContent>
          <w:r w:rsidR="00AD445A">
            <w:fldChar w:fldCharType="begin"/>
          </w:r>
          <w:r w:rsidR="00AD445A">
            <w:instrText xml:space="preserve"> CITATION ONR173 \l 2057 </w:instrText>
          </w:r>
          <w:r w:rsidR="00AD445A">
            <w:fldChar w:fldCharType="separate"/>
          </w:r>
          <w:r w:rsidR="00AD445A" w:rsidRPr="00AD445A">
            <w:rPr>
              <w:noProof/>
            </w:rPr>
            <w:t>[6]</w:t>
          </w:r>
          <w:r w:rsidR="00AD445A">
            <w:fldChar w:fldCharType="end"/>
          </w:r>
        </w:sdtContent>
      </w:sdt>
      <w:r w:rsidR="00AD445A">
        <w:t xml:space="preserve"> </w:t>
      </w:r>
      <w:r w:rsidRPr="003D34A1">
        <w:t xml:space="preserve">and </w:t>
      </w:r>
      <w:r w:rsidR="00AD445A">
        <w:t xml:space="preserve">in </w:t>
      </w:r>
      <w:r w:rsidRPr="003D34A1">
        <w:t>ONR</w:t>
      </w:r>
      <w:r w:rsidR="00AD445A">
        <w:t>’s</w:t>
      </w:r>
      <w:r w:rsidRPr="003D34A1">
        <w:t xml:space="preserve"> Technical Assessment Guides</w:t>
      </w:r>
      <w:r>
        <w:t xml:space="preserve"> </w:t>
      </w:r>
      <w:r w:rsidR="00AD445A">
        <w:t>on ‘</w:t>
      </w:r>
      <w:r w:rsidR="00AD445A" w:rsidRPr="00AD445A">
        <w:t>Target Identification for Theft</w:t>
      </w:r>
      <w:r w:rsidR="00AD445A">
        <w:t>’</w:t>
      </w:r>
      <w:r w:rsidR="00AD445A" w:rsidRPr="00AD445A">
        <w:t xml:space="preserve"> </w:t>
      </w:r>
      <w:sdt>
        <w:sdtPr>
          <w:id w:val="284703549"/>
          <w:citation/>
        </w:sdtPr>
        <w:sdtEndPr/>
        <w:sdtContent>
          <w:r w:rsidR="00AD445A">
            <w:fldChar w:fldCharType="begin"/>
          </w:r>
          <w:r w:rsidR="00AD445A">
            <w:instrText xml:space="preserve"> CITATION ONR224 \l 2057 </w:instrText>
          </w:r>
          <w:r w:rsidR="00AD445A">
            <w:fldChar w:fldCharType="separate"/>
          </w:r>
          <w:r w:rsidR="00AD445A" w:rsidRPr="00AD445A">
            <w:rPr>
              <w:noProof/>
            </w:rPr>
            <w:t>[7]</w:t>
          </w:r>
          <w:r w:rsidR="00AD445A">
            <w:fldChar w:fldCharType="end"/>
          </w:r>
        </w:sdtContent>
      </w:sdt>
      <w:r w:rsidRPr="003D34A1">
        <w:t xml:space="preserve"> and </w:t>
      </w:r>
      <w:r w:rsidR="00AD445A">
        <w:t>‘</w:t>
      </w:r>
      <w:r w:rsidR="00AD445A" w:rsidRPr="00AD445A">
        <w:t>Categorisation for Sabotage</w:t>
      </w:r>
      <w:r w:rsidR="00AD445A">
        <w:t>’</w:t>
      </w:r>
      <w:r w:rsidR="00AD445A" w:rsidRPr="00AD445A">
        <w:t xml:space="preserve"> </w:t>
      </w:r>
      <w:sdt>
        <w:sdtPr>
          <w:id w:val="1362636260"/>
          <w:citation/>
        </w:sdtPr>
        <w:sdtEndPr/>
        <w:sdtContent>
          <w:r w:rsidR="00AD445A">
            <w:fldChar w:fldCharType="begin"/>
          </w:r>
          <w:r w:rsidR="00AD445A">
            <w:instrText xml:space="preserve"> CITATION ONR228 \l 2057 </w:instrText>
          </w:r>
          <w:r w:rsidR="00AD445A">
            <w:fldChar w:fldCharType="separate"/>
          </w:r>
          <w:r w:rsidR="00AD445A" w:rsidRPr="00AD445A">
            <w:rPr>
              <w:noProof/>
            </w:rPr>
            <w:t>[8]</w:t>
          </w:r>
          <w:r w:rsidR="00AD445A">
            <w:fldChar w:fldCharType="end"/>
          </w:r>
        </w:sdtContent>
      </w:sdt>
      <w:r w:rsidRPr="003D34A1">
        <w:t>.</w:t>
      </w:r>
    </w:p>
  </w:footnote>
  <w:footnote w:id="5">
    <w:p w14:paraId="59B8364B" w14:textId="60393D86" w:rsidR="00253FDE" w:rsidRDefault="00253FDE" w:rsidP="00253FDE">
      <w:pPr>
        <w:pStyle w:val="FootnoteText"/>
        <w:ind w:left="0" w:firstLine="0"/>
      </w:pPr>
      <w:r>
        <w:rPr>
          <w:rStyle w:val="FootnoteReference"/>
        </w:rPr>
        <w:footnoteRef/>
      </w:r>
      <w:r>
        <w:t xml:space="preserve"> </w:t>
      </w:r>
      <w:r w:rsidRPr="003D34A1">
        <w:t>If a NCSC</w:t>
      </w:r>
      <w:r w:rsidR="00F8090F">
        <w:t>-</w:t>
      </w:r>
      <w:r w:rsidRPr="003D34A1">
        <w:t>assured solution is not available, or its use is not practicable, dutyholders may make a risk-based decision to use an equivalent solution. The associated risk should be escalated and managed as part of your organisation's risk management system.</w:t>
      </w:r>
    </w:p>
  </w:footnote>
  <w:footnote w:id="6">
    <w:p w14:paraId="4EA3747E" w14:textId="5DE2D5DD" w:rsidR="00253FDE" w:rsidRDefault="00253FDE" w:rsidP="00253FDE">
      <w:pPr>
        <w:pStyle w:val="FootnoteText"/>
        <w:ind w:left="0" w:firstLine="0"/>
      </w:pPr>
      <w:r>
        <w:rPr>
          <w:rStyle w:val="FootnoteReference"/>
        </w:rPr>
        <w:footnoteRef/>
      </w:r>
      <w:r>
        <w:t xml:space="preserve"> </w:t>
      </w:r>
      <w:r w:rsidR="00E801C1" w:rsidRPr="003D34A1">
        <w:t xml:space="preserve">Further detail on the categorisation of NM and VAs can be found in Annexes A </w:t>
      </w:r>
      <w:r w:rsidR="00E801C1">
        <w:t>and</w:t>
      </w:r>
      <w:r w:rsidR="00E801C1" w:rsidRPr="003D34A1">
        <w:t xml:space="preserve"> B</w:t>
      </w:r>
      <w:r w:rsidR="00E801C1">
        <w:t xml:space="preserve"> of the </w:t>
      </w:r>
      <w:r w:rsidR="00E801C1" w:rsidRPr="003D34A1">
        <w:t>SyAPs</w:t>
      </w:r>
      <w:r w:rsidR="00E801C1">
        <w:t xml:space="preserve"> </w:t>
      </w:r>
      <w:sdt>
        <w:sdtPr>
          <w:id w:val="1017589052"/>
          <w:citation/>
        </w:sdtPr>
        <w:sdtEndPr/>
        <w:sdtContent>
          <w:r w:rsidR="00E801C1">
            <w:fldChar w:fldCharType="begin"/>
          </w:r>
          <w:r w:rsidR="00E801C1">
            <w:instrText xml:space="preserve"> CITATION ONR173 \l 2057 </w:instrText>
          </w:r>
          <w:r w:rsidR="00E801C1">
            <w:fldChar w:fldCharType="separate"/>
          </w:r>
          <w:r w:rsidR="00E801C1" w:rsidRPr="00AD445A">
            <w:rPr>
              <w:noProof/>
            </w:rPr>
            <w:t>[6]</w:t>
          </w:r>
          <w:r w:rsidR="00E801C1">
            <w:fldChar w:fldCharType="end"/>
          </w:r>
        </w:sdtContent>
      </w:sdt>
      <w:r w:rsidR="00E801C1">
        <w:t xml:space="preserve"> </w:t>
      </w:r>
      <w:r w:rsidR="00E801C1" w:rsidRPr="003D34A1">
        <w:t xml:space="preserve">and </w:t>
      </w:r>
      <w:r w:rsidR="00E801C1">
        <w:t xml:space="preserve">in </w:t>
      </w:r>
      <w:r w:rsidR="00E801C1" w:rsidRPr="003D34A1">
        <w:t>ONR</w:t>
      </w:r>
      <w:r w:rsidR="00E801C1">
        <w:t>’s</w:t>
      </w:r>
      <w:r w:rsidR="00E801C1" w:rsidRPr="003D34A1">
        <w:t xml:space="preserve"> Technical Assessment Guides</w:t>
      </w:r>
      <w:r w:rsidR="00E801C1">
        <w:t xml:space="preserve"> on ‘</w:t>
      </w:r>
      <w:r w:rsidR="00E801C1" w:rsidRPr="00AD445A">
        <w:t>Target Identification for Theft</w:t>
      </w:r>
      <w:r w:rsidR="00E801C1">
        <w:t>’</w:t>
      </w:r>
      <w:r w:rsidR="00E801C1" w:rsidRPr="00AD445A">
        <w:t xml:space="preserve"> </w:t>
      </w:r>
      <w:sdt>
        <w:sdtPr>
          <w:id w:val="-1477678904"/>
          <w:citation/>
        </w:sdtPr>
        <w:sdtEndPr/>
        <w:sdtContent>
          <w:r w:rsidR="00E801C1">
            <w:fldChar w:fldCharType="begin"/>
          </w:r>
          <w:r w:rsidR="00E801C1">
            <w:instrText xml:space="preserve"> CITATION ONR224 \l 2057 </w:instrText>
          </w:r>
          <w:r w:rsidR="00E801C1">
            <w:fldChar w:fldCharType="separate"/>
          </w:r>
          <w:r w:rsidR="00E801C1" w:rsidRPr="00AD445A">
            <w:rPr>
              <w:noProof/>
            </w:rPr>
            <w:t>[7]</w:t>
          </w:r>
          <w:r w:rsidR="00E801C1">
            <w:fldChar w:fldCharType="end"/>
          </w:r>
        </w:sdtContent>
      </w:sdt>
      <w:r w:rsidR="00E801C1" w:rsidRPr="003D34A1">
        <w:t xml:space="preserve"> and </w:t>
      </w:r>
      <w:r w:rsidR="00E801C1">
        <w:t>‘</w:t>
      </w:r>
      <w:r w:rsidR="00E801C1" w:rsidRPr="00AD445A">
        <w:t>Categorisation for Sabotage</w:t>
      </w:r>
      <w:r w:rsidR="00E801C1">
        <w:t>’</w:t>
      </w:r>
      <w:r w:rsidR="00E801C1" w:rsidRPr="00AD445A">
        <w:t xml:space="preserve"> </w:t>
      </w:r>
      <w:sdt>
        <w:sdtPr>
          <w:id w:val="747778682"/>
          <w:citation/>
        </w:sdtPr>
        <w:sdtEndPr/>
        <w:sdtContent>
          <w:r w:rsidR="00E801C1">
            <w:fldChar w:fldCharType="begin"/>
          </w:r>
          <w:r w:rsidR="00E801C1">
            <w:instrText xml:space="preserve"> CITATION ONR228 \l 2057 </w:instrText>
          </w:r>
          <w:r w:rsidR="00E801C1">
            <w:fldChar w:fldCharType="separate"/>
          </w:r>
          <w:r w:rsidR="00E801C1" w:rsidRPr="00AD445A">
            <w:rPr>
              <w:noProof/>
            </w:rPr>
            <w:t>[8]</w:t>
          </w:r>
          <w:r w:rsidR="00E801C1">
            <w:fldChar w:fldCharType="end"/>
          </w:r>
        </w:sdtContent>
      </w:sdt>
      <w:r w:rsidR="00E801C1" w:rsidRPr="003D34A1">
        <w:t>.</w:t>
      </w:r>
    </w:p>
  </w:footnote>
  <w:footnote w:id="7">
    <w:p w14:paraId="6FB8D63E" w14:textId="6C0D41D3" w:rsidR="00253FDE" w:rsidRDefault="00253FDE" w:rsidP="00253FDE">
      <w:pPr>
        <w:pStyle w:val="FootnoteText"/>
        <w:ind w:left="0" w:firstLine="0"/>
      </w:pPr>
      <w:r>
        <w:rPr>
          <w:rStyle w:val="FootnoteReference"/>
        </w:rPr>
        <w:footnoteRef/>
      </w:r>
      <w:r>
        <w:t xml:space="preserve"> In the great majority of cases training material will be </w:t>
      </w:r>
      <w:r w:rsidR="004B296C">
        <w:rPr>
          <w:b/>
        </w:rPr>
        <w:t>n</w:t>
      </w:r>
      <w:r>
        <w:rPr>
          <w:b/>
        </w:rPr>
        <w:t>ot SNI</w:t>
      </w:r>
      <w:r>
        <w:t xml:space="preserve">. However, there may be specific specialist cases where training material may be of value to an adversary and should be protectively marked. An example may be information relating to Nuclear Power Station training simulators.  </w:t>
      </w:r>
    </w:p>
  </w:footnote>
  <w:footnote w:id="8">
    <w:p w14:paraId="21000BE0" w14:textId="77777777" w:rsidR="00253FDE" w:rsidRDefault="00253FDE" w:rsidP="00253FDE">
      <w:pPr>
        <w:pStyle w:val="FootnoteText"/>
        <w:ind w:left="0" w:firstLine="0"/>
      </w:pPr>
      <w:r>
        <w:rPr>
          <w:rStyle w:val="FootnoteReference"/>
        </w:rPr>
        <w:footnoteRef/>
      </w:r>
      <w:r>
        <w:t xml:space="preserve"> Information concerning Euratom Inventory Change Reports, Material Balance Reports and Physical Inventory Listings should be prefixed Eura.</w:t>
      </w:r>
    </w:p>
  </w:footnote>
  <w:footnote w:id="9">
    <w:p w14:paraId="19D453E3" w14:textId="77777777" w:rsidR="004B296C" w:rsidRDefault="004B296C" w:rsidP="00253FDE">
      <w:pPr>
        <w:pStyle w:val="FootnoteText"/>
        <w:ind w:left="0" w:firstLine="0"/>
      </w:pPr>
      <w:r>
        <w:rPr>
          <w:rStyle w:val="FootnoteReference"/>
        </w:rPr>
        <w:footnoteRef/>
      </w:r>
      <w:r>
        <w:t xml:space="preserve"> </w:t>
      </w:r>
      <w:r w:rsidRPr="006B5565">
        <w:t>Reference should be made to</w:t>
      </w:r>
      <w:r w:rsidRPr="006B5565">
        <w:rPr>
          <w:i/>
          <w:iCs/>
        </w:rPr>
        <w:t xml:space="preserve"> </w:t>
      </w:r>
      <w:r w:rsidRPr="006B5565">
        <w:t xml:space="preserve">Security </w:t>
      </w:r>
      <w:r>
        <w:t>Aspects Letters detailing the classification to be applied under the terms of a contract.</w:t>
      </w:r>
    </w:p>
  </w:footnote>
  <w:footnote w:id="10">
    <w:p w14:paraId="01A2F832" w14:textId="4566ADE5" w:rsidR="004B296C" w:rsidRDefault="004B296C" w:rsidP="00253FDE">
      <w:pPr>
        <w:pStyle w:val="FootnoteText"/>
        <w:ind w:left="0" w:firstLine="0"/>
      </w:pPr>
      <w:r>
        <w:rPr>
          <w:rStyle w:val="FootnoteReference"/>
        </w:rPr>
        <w:footnoteRef/>
      </w:r>
      <w:r>
        <w:t xml:space="preserve"> Guidance on what constitutes a significant radiological release (causing unacceptable radiological consequences) is given in the O-S:SNI Annex in the SyAPs </w:t>
      </w:r>
      <w:sdt>
        <w:sdtPr>
          <w:id w:val="1538011393"/>
          <w:citation/>
        </w:sdtPr>
        <w:sdtEndPr/>
        <w:sdtContent>
          <w:r>
            <w:fldChar w:fldCharType="begin"/>
          </w:r>
          <w:r>
            <w:instrText xml:space="preserve"> CITATION ONR173 \l 2057 </w:instrText>
          </w:r>
          <w:r>
            <w:fldChar w:fldCharType="separate"/>
          </w:r>
          <w:r w:rsidRPr="004B296C">
            <w:rPr>
              <w:noProof/>
            </w:rPr>
            <w:t>[6]</w:t>
          </w:r>
          <w:r>
            <w:fldChar w:fldCharType="end"/>
          </w:r>
        </w:sdtContent>
      </w:sdt>
      <w:r>
        <w:t xml:space="preserve">. The dose thresholds for Baseline and Vital Areas provide a scale on which the appropriate protective marking can be assessed. </w:t>
      </w:r>
    </w:p>
  </w:footnote>
  <w:footnote w:id="11">
    <w:p w14:paraId="641849A3" w14:textId="217CCF8B" w:rsidR="004B296C" w:rsidRDefault="004B296C" w:rsidP="00253FDE">
      <w:pPr>
        <w:pStyle w:val="FootnoteText"/>
        <w:ind w:left="0" w:firstLine="0"/>
      </w:pPr>
      <w:r>
        <w:rPr>
          <w:rStyle w:val="FootnoteReference"/>
        </w:rPr>
        <w:footnoteRef/>
      </w:r>
      <w:r>
        <w:t xml:space="preserve"> </w:t>
      </w:r>
      <w:r w:rsidRPr="007D3425">
        <w:t>ONR Guidance Document ‘Nuclear Transport Security Guidance for Class B Approved Carriers’ provides additional guidance on classifying SNI to aid the development of Transport Security Statements for approved carriers</w:t>
      </w:r>
      <w:r>
        <w:t xml:space="preserve"> </w:t>
      </w:r>
      <w:sdt>
        <w:sdtPr>
          <w:id w:val="934862424"/>
          <w:citation/>
        </w:sdtPr>
        <w:sdtEndPr/>
        <w:sdtContent>
          <w:r>
            <w:fldChar w:fldCharType="begin"/>
          </w:r>
          <w:r>
            <w:instrText xml:space="preserve">CITATION htt4 \l 2057 </w:instrText>
          </w:r>
          <w:r>
            <w:fldChar w:fldCharType="separate"/>
          </w:r>
          <w:r w:rsidRPr="004B296C">
            <w:rPr>
              <w:noProof/>
            </w:rPr>
            <w:t>[12]</w:t>
          </w:r>
          <w:r>
            <w:fldChar w:fldCharType="end"/>
          </w:r>
        </w:sdtContent>
      </w:sdt>
      <w:r w:rsidRPr="007D3425">
        <w:t xml:space="preserve">. </w:t>
      </w:r>
    </w:p>
  </w:footnote>
  <w:footnote w:id="12">
    <w:p w14:paraId="12CDEA41" w14:textId="48A18E24" w:rsidR="004B296C" w:rsidRDefault="004B296C" w:rsidP="00253FDE">
      <w:pPr>
        <w:pStyle w:val="FootnoteText"/>
        <w:ind w:left="0" w:firstLine="0"/>
      </w:pPr>
      <w:r>
        <w:rPr>
          <w:rStyle w:val="FootnoteReference"/>
        </w:rPr>
        <w:footnoteRef/>
      </w:r>
      <w:r>
        <w:t xml:space="preserve"> </w:t>
      </w:r>
      <w:r w:rsidRPr="00175BE2">
        <w:t>All SNI relating to designs of gas centrifuges and centrifuge plants studied and developed in any of the four countries within the framework of The Treaties of Almelo and Cardiff (agreements for the isotopic enrichment of uranium) should be also caveated ATOLL</w:t>
      </w:r>
      <w:r>
        <w:t>,</w:t>
      </w:r>
      <w:r w:rsidRPr="00175BE2">
        <w:t xml:space="preserve"> in accordance with the Centrifuge Classification Guide (CWP</w:t>
      </w:r>
      <w:r>
        <w:t>/</w:t>
      </w:r>
      <w:r w:rsidRPr="00175BE2">
        <w:t>G</w:t>
      </w:r>
      <w:r>
        <w:t>.</w:t>
      </w:r>
      <w:r w:rsidRPr="00175BE2">
        <w:t>5).</w:t>
      </w:r>
    </w:p>
  </w:footnote>
  <w:footnote w:id="13">
    <w:p w14:paraId="00A07E1C" w14:textId="45FDB0B8" w:rsidR="004B296C" w:rsidRDefault="004B296C" w:rsidP="00253FDE">
      <w:pPr>
        <w:pStyle w:val="FootnoteText"/>
        <w:ind w:left="0" w:firstLine="0"/>
      </w:pPr>
      <w:r w:rsidRPr="007D3425">
        <w:rPr>
          <w:rStyle w:val="FootnoteReference"/>
        </w:rPr>
        <w:footnoteRef/>
      </w:r>
      <w:r w:rsidRPr="007D3425">
        <w:t xml:space="preserve"> United Kingdom Security Vetting (UKSV) as </w:t>
      </w:r>
      <w:r>
        <w:t xml:space="preserve">the Vetting Service Provider, and </w:t>
      </w:r>
      <w:r w:rsidRPr="007D3425">
        <w:t>a Department of Cabinet Office is pre-eminent in relation to the holding of personal data. Information obtained for National Security Vetting (NSV) purposes which is directly input by the vetting applicant or sponsor and stored on the</w:t>
      </w:r>
      <w:r>
        <w:t xml:space="preserve"> National Security Vetting </w:t>
      </w:r>
      <w:r w:rsidRPr="007D3425">
        <w:t xml:space="preserve">Solution (NSVS) portal is retained in accordance with the UKSV Privacy Policy </w:t>
      </w:r>
      <w:r>
        <w:t xml:space="preserve"> (</w:t>
      </w:r>
      <w:hyperlink r:id="rId1" w:history="1">
        <w:r w:rsidRPr="000765C1">
          <w:rPr>
            <w:rStyle w:val="Hyperlink"/>
          </w:rPr>
          <w:t>https://www.gov.uk/government/publications/national-security-vetting-privacy-notice</w:t>
        </w:r>
      </w:hyperlink>
      <w:r>
        <w:t xml:space="preserve">) </w:t>
      </w:r>
      <w:r w:rsidRPr="007D3425">
        <w:t>and only accessible by ONR and UKSV as joint data-controllers.</w:t>
      </w:r>
    </w:p>
  </w:footnote>
  <w:footnote w:id="14">
    <w:p w14:paraId="28129805" w14:textId="77777777" w:rsidR="004B296C" w:rsidRDefault="004B296C" w:rsidP="00253FDE">
      <w:pPr>
        <w:pStyle w:val="FootnoteText"/>
        <w:ind w:left="0" w:firstLine="0"/>
      </w:pPr>
      <w:r>
        <w:rPr>
          <w:rStyle w:val="FootnoteReference"/>
        </w:rPr>
        <w:footnoteRef/>
      </w:r>
      <w:r>
        <w:t xml:space="preserve"> </w:t>
      </w:r>
      <w:r w:rsidRPr="00F17482">
        <w:t>Whilst much personnel security information is not SNI, it is still very sensitive, and the Data Protection Act 2018, common law, under the law of confidence, apply. In addition, although not SNI per se, many such documents may still be classified OFFICIAL-SENSITIVE.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EB2DC" w14:textId="77777777" w:rsidR="000D7A42" w:rsidRPr="008C50C3" w:rsidRDefault="000D7A42"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56CFB" w14:textId="543F5F34" w:rsidR="000D7A42" w:rsidRPr="009E0E52" w:rsidRDefault="00FE419B" w:rsidP="009E0E52">
    <w:pPr>
      <w:pStyle w:val="Header"/>
    </w:pPr>
    <w:sdt>
      <w:sdtPr>
        <w:alias w:val="Title"/>
        <w:tag w:val=""/>
        <w:id w:val="726808835"/>
        <w:placeholder>
          <w:docPart w:val="D044F5260AFB457FB99A5E2250026868"/>
        </w:placeholder>
        <w:dataBinding w:prefixMappings="xmlns:ns0='http://purl.org/dc/elements/1.1/' xmlns:ns1='http://schemas.openxmlformats.org/package/2006/metadata/core-properties' " w:xpath="/ns1:coreProperties[1]/ns0:title[1]" w:storeItemID="{6C3C8BC8-F283-45AE-878A-BAB7291924A1}"/>
        <w:text/>
      </w:sdtPr>
      <w:sdtEndPr/>
      <w:sdtContent>
        <w:r w:rsidR="00254FB4">
          <w:t>The Nuclear Industries Security Regulations 200</w:t>
        </w:r>
        <w:r w:rsidR="00906A07">
          <w:t>3: C</w:t>
        </w:r>
        <w:r w:rsidR="00254FB4">
          <w:t>lassification policy for the civil nuclear industry</w:t>
        </w:r>
      </w:sdtContent>
    </w:sdt>
    <w:r w:rsidR="000D7A42">
      <w:t xml:space="preserve"> | Issue: </w:t>
    </w:r>
    <w:sdt>
      <w:sdtPr>
        <w:alias w:val="Status"/>
        <w:tag w:val=""/>
        <w:id w:val="-1663460802"/>
        <w:placeholder>
          <w:docPart w:val="3D8D662170E646488E9C9E4428A691FF"/>
        </w:placeholder>
        <w:dataBinding w:prefixMappings="xmlns:ns0='http://purl.org/dc/elements/1.1/' xmlns:ns1='http://schemas.openxmlformats.org/package/2006/metadata/core-properties' " w:xpath="/ns1:coreProperties[1]/ns1:contentStatus[1]" w:storeItemID="{6C3C8BC8-F283-45AE-878A-BAB7291924A1}"/>
        <w:text/>
      </w:sdtPr>
      <w:sdtEndPr/>
      <w:sdtContent>
        <w:r w:rsidR="00253FDE">
          <w:t>9</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BB7370"/>
    <w:multiLevelType w:val="hybridMultilevel"/>
    <w:tmpl w:val="DF6CD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706A39"/>
    <w:multiLevelType w:val="multilevel"/>
    <w:tmpl w:val="199A8DC8"/>
    <w:lvl w:ilvl="0">
      <w:start w:val="1"/>
      <w:numFmt w:val="decimal"/>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2BC31E18"/>
    <w:multiLevelType w:val="hybridMultilevel"/>
    <w:tmpl w:val="78D64B24"/>
    <w:lvl w:ilvl="0" w:tplc="F9A4B84C">
      <w:start w:val="1"/>
      <w:numFmt w:val="decimal"/>
      <w:pStyle w:val="NumberedPara"/>
      <w:lvlText w:val="%1."/>
      <w:lvlJc w:val="left"/>
      <w:pPr>
        <w:ind w:left="360" w:hanging="360"/>
      </w:pPr>
      <w:rPr>
        <w:b w:val="0"/>
      </w:rPr>
    </w:lvl>
    <w:lvl w:ilvl="1" w:tplc="18085A80">
      <w:start w:val="1"/>
      <w:numFmt w:val="bullet"/>
      <w:lvlText w:val="•"/>
      <w:lvlJc w:val="left"/>
      <w:pPr>
        <w:ind w:left="1440" w:hanging="720"/>
      </w:pPr>
      <w:rPr>
        <w:rFonts w:ascii="Arial" w:eastAsia="Calibr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D26223"/>
    <w:multiLevelType w:val="hybridMultilevel"/>
    <w:tmpl w:val="70ECA082"/>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7" w15:restartNumberingAfterBreak="0">
    <w:nsid w:val="4B2D53E5"/>
    <w:multiLevelType w:val="hybridMultilevel"/>
    <w:tmpl w:val="A51A899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497F75"/>
    <w:multiLevelType w:val="hybridMultilevel"/>
    <w:tmpl w:val="E21863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AA238ED"/>
    <w:multiLevelType w:val="hybridMultilevel"/>
    <w:tmpl w:val="15FCDC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F551795"/>
    <w:multiLevelType w:val="hybridMultilevel"/>
    <w:tmpl w:val="B47CAAB8"/>
    <w:lvl w:ilvl="0" w:tplc="8CD09C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D6746FF"/>
    <w:multiLevelType w:val="hybridMultilevel"/>
    <w:tmpl w:val="EA9CF0D8"/>
    <w:lvl w:ilvl="0" w:tplc="8CD09C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9041B4"/>
    <w:multiLevelType w:val="hybridMultilevel"/>
    <w:tmpl w:val="93C0A782"/>
    <w:lvl w:ilvl="0" w:tplc="8CD09C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23177881">
    <w:abstractNumId w:val="9"/>
  </w:num>
  <w:num w:numId="2" w16cid:durableId="1518081094">
    <w:abstractNumId w:val="7"/>
  </w:num>
  <w:num w:numId="3" w16cid:durableId="201209455">
    <w:abstractNumId w:val="6"/>
  </w:num>
  <w:num w:numId="4" w16cid:durableId="1988777164">
    <w:abstractNumId w:val="5"/>
  </w:num>
  <w:num w:numId="5" w16cid:durableId="288560525">
    <w:abstractNumId w:val="4"/>
  </w:num>
  <w:num w:numId="6" w16cid:durableId="1285037677">
    <w:abstractNumId w:val="8"/>
  </w:num>
  <w:num w:numId="7" w16cid:durableId="829448732">
    <w:abstractNumId w:val="3"/>
  </w:num>
  <w:num w:numId="8" w16cid:durableId="69549454">
    <w:abstractNumId w:val="2"/>
  </w:num>
  <w:num w:numId="9" w16cid:durableId="1659922349">
    <w:abstractNumId w:val="1"/>
  </w:num>
  <w:num w:numId="10" w16cid:durableId="408499490">
    <w:abstractNumId w:val="0"/>
  </w:num>
  <w:num w:numId="11" w16cid:durableId="199980398">
    <w:abstractNumId w:val="10"/>
  </w:num>
  <w:num w:numId="12" w16cid:durableId="1327630994">
    <w:abstractNumId w:val="24"/>
  </w:num>
  <w:num w:numId="13" w16cid:durableId="276645132">
    <w:abstractNumId w:val="15"/>
  </w:num>
  <w:num w:numId="14" w16cid:durableId="405613410">
    <w:abstractNumId w:val="11"/>
  </w:num>
  <w:num w:numId="15" w16cid:durableId="1802116013">
    <w:abstractNumId w:val="24"/>
    <w:lvlOverride w:ilvl="0">
      <w:startOverride w:val="1"/>
    </w:lvlOverride>
  </w:num>
  <w:num w:numId="16" w16cid:durableId="1488789309">
    <w:abstractNumId w:val="15"/>
    <w:lvlOverride w:ilvl="0">
      <w:startOverride w:val="1"/>
    </w:lvlOverride>
  </w:num>
  <w:num w:numId="17" w16cid:durableId="1474325623">
    <w:abstractNumId w:val="11"/>
    <w:lvlOverride w:ilvl="0">
      <w:startOverride w:val="1"/>
    </w:lvlOverride>
  </w:num>
  <w:num w:numId="18" w16cid:durableId="940072179">
    <w:abstractNumId w:val="23"/>
  </w:num>
  <w:num w:numId="19" w16cid:durableId="1986859205">
    <w:abstractNumId w:val="18"/>
  </w:num>
  <w:num w:numId="20" w16cid:durableId="15861812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726794">
    <w:abstractNumId w:val="14"/>
  </w:num>
  <w:num w:numId="22" w16cid:durableId="1359239416">
    <w:abstractNumId w:val="13"/>
  </w:num>
  <w:num w:numId="23" w16cid:durableId="1643347394">
    <w:abstractNumId w:val="16"/>
  </w:num>
  <w:num w:numId="24" w16cid:durableId="1173450121">
    <w:abstractNumId w:val="12"/>
  </w:num>
  <w:num w:numId="25" w16cid:durableId="1801535089">
    <w:abstractNumId w:val="19"/>
  </w:num>
  <w:num w:numId="26" w16cid:durableId="967782348">
    <w:abstractNumId w:val="20"/>
  </w:num>
  <w:num w:numId="27" w16cid:durableId="1832716657">
    <w:abstractNumId w:val="21"/>
  </w:num>
  <w:num w:numId="28" w16cid:durableId="1753046234">
    <w:abstractNumId w:val="22"/>
  </w:num>
  <w:num w:numId="29" w16cid:durableId="1848321768">
    <w:abstractNumId w:val="25"/>
  </w:num>
  <w:num w:numId="30" w16cid:durableId="13812027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mailMerge>
    <w:mainDocumentType w:val="catalog"/>
    <w:dataType w:val="textFile"/>
    <w:activeRecord w:val="-1"/>
  </w:mailMerge>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11177"/>
    <w:rsid w:val="00014814"/>
    <w:rsid w:val="00022C0F"/>
    <w:rsid w:val="00024522"/>
    <w:rsid w:val="00024B2E"/>
    <w:rsid w:val="00027F4F"/>
    <w:rsid w:val="00030430"/>
    <w:rsid w:val="0003078E"/>
    <w:rsid w:val="00031B89"/>
    <w:rsid w:val="0003693D"/>
    <w:rsid w:val="0004440F"/>
    <w:rsid w:val="00052C8A"/>
    <w:rsid w:val="000548C8"/>
    <w:rsid w:val="00075605"/>
    <w:rsid w:val="00082879"/>
    <w:rsid w:val="00091EEA"/>
    <w:rsid w:val="000C2DDC"/>
    <w:rsid w:val="000D2FD4"/>
    <w:rsid w:val="000D7A42"/>
    <w:rsid w:val="000F1B7B"/>
    <w:rsid w:val="000F2ED4"/>
    <w:rsid w:val="001028E8"/>
    <w:rsid w:val="00122FCC"/>
    <w:rsid w:val="00126752"/>
    <w:rsid w:val="00130B30"/>
    <w:rsid w:val="00140E1C"/>
    <w:rsid w:val="00147AE4"/>
    <w:rsid w:val="001571E5"/>
    <w:rsid w:val="00177666"/>
    <w:rsid w:val="001849CA"/>
    <w:rsid w:val="00185410"/>
    <w:rsid w:val="00192352"/>
    <w:rsid w:val="001C4D63"/>
    <w:rsid w:val="001D0DE0"/>
    <w:rsid w:val="001D0FA7"/>
    <w:rsid w:val="001D5AFF"/>
    <w:rsid w:val="001D74B4"/>
    <w:rsid w:val="001E03E1"/>
    <w:rsid w:val="001F059F"/>
    <w:rsid w:val="001F5B29"/>
    <w:rsid w:val="00200811"/>
    <w:rsid w:val="00200CA1"/>
    <w:rsid w:val="0021338D"/>
    <w:rsid w:val="00214D43"/>
    <w:rsid w:val="002238B4"/>
    <w:rsid w:val="002319AB"/>
    <w:rsid w:val="002319AC"/>
    <w:rsid w:val="00234342"/>
    <w:rsid w:val="0024040D"/>
    <w:rsid w:val="00253FDE"/>
    <w:rsid w:val="00254FB4"/>
    <w:rsid w:val="00255FA3"/>
    <w:rsid w:val="00257288"/>
    <w:rsid w:val="002629F8"/>
    <w:rsid w:val="00263396"/>
    <w:rsid w:val="002659FA"/>
    <w:rsid w:val="00267815"/>
    <w:rsid w:val="00280DDF"/>
    <w:rsid w:val="00286A0C"/>
    <w:rsid w:val="002917FF"/>
    <w:rsid w:val="00292ADF"/>
    <w:rsid w:val="002A0DEC"/>
    <w:rsid w:val="002B1C53"/>
    <w:rsid w:val="002E0BE4"/>
    <w:rsid w:val="002E3E8A"/>
    <w:rsid w:val="002E6A6A"/>
    <w:rsid w:val="002F3397"/>
    <w:rsid w:val="0030380D"/>
    <w:rsid w:val="00312411"/>
    <w:rsid w:val="00323E71"/>
    <w:rsid w:val="003341FC"/>
    <w:rsid w:val="00346C8E"/>
    <w:rsid w:val="00366A2D"/>
    <w:rsid w:val="00367BD5"/>
    <w:rsid w:val="00375CA8"/>
    <w:rsid w:val="00390327"/>
    <w:rsid w:val="00393B78"/>
    <w:rsid w:val="003A01E9"/>
    <w:rsid w:val="003C0306"/>
    <w:rsid w:val="003C114C"/>
    <w:rsid w:val="003C465D"/>
    <w:rsid w:val="003D495D"/>
    <w:rsid w:val="003E098E"/>
    <w:rsid w:val="003E2FAE"/>
    <w:rsid w:val="00407CF7"/>
    <w:rsid w:val="00415ED6"/>
    <w:rsid w:val="00417CAF"/>
    <w:rsid w:val="00420425"/>
    <w:rsid w:val="00420A11"/>
    <w:rsid w:val="00422265"/>
    <w:rsid w:val="004373A7"/>
    <w:rsid w:val="00437D94"/>
    <w:rsid w:val="0044030C"/>
    <w:rsid w:val="004648A4"/>
    <w:rsid w:val="00471380"/>
    <w:rsid w:val="00494F0D"/>
    <w:rsid w:val="00496BFD"/>
    <w:rsid w:val="004A3DF2"/>
    <w:rsid w:val="004B296C"/>
    <w:rsid w:val="004C361D"/>
    <w:rsid w:val="004C4891"/>
    <w:rsid w:val="004D2C89"/>
    <w:rsid w:val="004E3932"/>
    <w:rsid w:val="004F1E79"/>
    <w:rsid w:val="004F5F33"/>
    <w:rsid w:val="0050103A"/>
    <w:rsid w:val="00511B0F"/>
    <w:rsid w:val="0055388E"/>
    <w:rsid w:val="005754AE"/>
    <w:rsid w:val="00577FB5"/>
    <w:rsid w:val="005852D1"/>
    <w:rsid w:val="00587A22"/>
    <w:rsid w:val="0059299D"/>
    <w:rsid w:val="00595C8C"/>
    <w:rsid w:val="00597747"/>
    <w:rsid w:val="005A4CDD"/>
    <w:rsid w:val="005B57E4"/>
    <w:rsid w:val="005B5ABD"/>
    <w:rsid w:val="005C140A"/>
    <w:rsid w:val="005C6763"/>
    <w:rsid w:val="005D3164"/>
    <w:rsid w:val="005E0344"/>
    <w:rsid w:val="005E440B"/>
    <w:rsid w:val="005F2C85"/>
    <w:rsid w:val="00605ADB"/>
    <w:rsid w:val="00611C9F"/>
    <w:rsid w:val="00627555"/>
    <w:rsid w:val="006322A0"/>
    <w:rsid w:val="006361FD"/>
    <w:rsid w:val="0064226F"/>
    <w:rsid w:val="006529DB"/>
    <w:rsid w:val="00653298"/>
    <w:rsid w:val="00663A7C"/>
    <w:rsid w:val="00667DF2"/>
    <w:rsid w:val="00670DF1"/>
    <w:rsid w:val="00671345"/>
    <w:rsid w:val="00672A9B"/>
    <w:rsid w:val="00675884"/>
    <w:rsid w:val="0067655B"/>
    <w:rsid w:val="00696EE0"/>
    <w:rsid w:val="00697980"/>
    <w:rsid w:val="006A19EF"/>
    <w:rsid w:val="006A43D5"/>
    <w:rsid w:val="006A525B"/>
    <w:rsid w:val="006C045F"/>
    <w:rsid w:val="006C4196"/>
    <w:rsid w:val="006C63B0"/>
    <w:rsid w:val="006C76A2"/>
    <w:rsid w:val="006C792E"/>
    <w:rsid w:val="006D116C"/>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67C12"/>
    <w:rsid w:val="00783AFA"/>
    <w:rsid w:val="00785427"/>
    <w:rsid w:val="00790540"/>
    <w:rsid w:val="007968CA"/>
    <w:rsid w:val="007A43FF"/>
    <w:rsid w:val="007B3918"/>
    <w:rsid w:val="007C3C1D"/>
    <w:rsid w:val="007D199A"/>
    <w:rsid w:val="007D2EBE"/>
    <w:rsid w:val="007E1C07"/>
    <w:rsid w:val="007F24B6"/>
    <w:rsid w:val="00803D94"/>
    <w:rsid w:val="008229BA"/>
    <w:rsid w:val="00845390"/>
    <w:rsid w:val="0084601B"/>
    <w:rsid w:val="008560CF"/>
    <w:rsid w:val="008606F0"/>
    <w:rsid w:val="00865489"/>
    <w:rsid w:val="0086553D"/>
    <w:rsid w:val="00874FEB"/>
    <w:rsid w:val="0088054B"/>
    <w:rsid w:val="00881B6F"/>
    <w:rsid w:val="00882AA4"/>
    <w:rsid w:val="00883E22"/>
    <w:rsid w:val="00884E43"/>
    <w:rsid w:val="00887EC6"/>
    <w:rsid w:val="0089084C"/>
    <w:rsid w:val="00893409"/>
    <w:rsid w:val="00893D9F"/>
    <w:rsid w:val="008A2379"/>
    <w:rsid w:val="008A4329"/>
    <w:rsid w:val="008A578E"/>
    <w:rsid w:val="008B7BCC"/>
    <w:rsid w:val="008C50C3"/>
    <w:rsid w:val="008C7094"/>
    <w:rsid w:val="008D2B97"/>
    <w:rsid w:val="008D49A5"/>
    <w:rsid w:val="008D6C81"/>
    <w:rsid w:val="008E6CF0"/>
    <w:rsid w:val="008F1439"/>
    <w:rsid w:val="008F7051"/>
    <w:rsid w:val="009033A9"/>
    <w:rsid w:val="0090581D"/>
    <w:rsid w:val="00906A07"/>
    <w:rsid w:val="0091439C"/>
    <w:rsid w:val="00920572"/>
    <w:rsid w:val="00920BF2"/>
    <w:rsid w:val="009349A9"/>
    <w:rsid w:val="00936C52"/>
    <w:rsid w:val="0095489B"/>
    <w:rsid w:val="00966FB9"/>
    <w:rsid w:val="009671CD"/>
    <w:rsid w:val="009751A9"/>
    <w:rsid w:val="00980F9C"/>
    <w:rsid w:val="0098632B"/>
    <w:rsid w:val="00997BFB"/>
    <w:rsid w:val="009A7348"/>
    <w:rsid w:val="009B2E65"/>
    <w:rsid w:val="009B462C"/>
    <w:rsid w:val="009C15F3"/>
    <w:rsid w:val="009E07C2"/>
    <w:rsid w:val="009E0E52"/>
    <w:rsid w:val="009F72F9"/>
    <w:rsid w:val="00A00205"/>
    <w:rsid w:val="00A00AF0"/>
    <w:rsid w:val="00A14B5A"/>
    <w:rsid w:val="00A3567F"/>
    <w:rsid w:val="00A37698"/>
    <w:rsid w:val="00A41ED3"/>
    <w:rsid w:val="00A81D82"/>
    <w:rsid w:val="00A87F67"/>
    <w:rsid w:val="00A926E6"/>
    <w:rsid w:val="00A93E33"/>
    <w:rsid w:val="00AB6758"/>
    <w:rsid w:val="00AB6970"/>
    <w:rsid w:val="00AC1939"/>
    <w:rsid w:val="00AC7C05"/>
    <w:rsid w:val="00AD167C"/>
    <w:rsid w:val="00AD17C7"/>
    <w:rsid w:val="00AD4041"/>
    <w:rsid w:val="00AD445A"/>
    <w:rsid w:val="00AE302B"/>
    <w:rsid w:val="00B14D32"/>
    <w:rsid w:val="00B259DF"/>
    <w:rsid w:val="00B44B1F"/>
    <w:rsid w:val="00B64141"/>
    <w:rsid w:val="00B64E72"/>
    <w:rsid w:val="00B77913"/>
    <w:rsid w:val="00B824FB"/>
    <w:rsid w:val="00B82646"/>
    <w:rsid w:val="00B97359"/>
    <w:rsid w:val="00B97A8F"/>
    <w:rsid w:val="00BA4E58"/>
    <w:rsid w:val="00BA7074"/>
    <w:rsid w:val="00BB7829"/>
    <w:rsid w:val="00BD1457"/>
    <w:rsid w:val="00BD1641"/>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773D"/>
    <w:rsid w:val="00C87ABB"/>
    <w:rsid w:val="00C91831"/>
    <w:rsid w:val="00C953DF"/>
    <w:rsid w:val="00CA393C"/>
    <w:rsid w:val="00CC77A0"/>
    <w:rsid w:val="00CE2709"/>
    <w:rsid w:val="00CE2D64"/>
    <w:rsid w:val="00CE6198"/>
    <w:rsid w:val="00CF6230"/>
    <w:rsid w:val="00D017FC"/>
    <w:rsid w:val="00D0226A"/>
    <w:rsid w:val="00D13147"/>
    <w:rsid w:val="00D5715A"/>
    <w:rsid w:val="00D71687"/>
    <w:rsid w:val="00D74813"/>
    <w:rsid w:val="00DA30BC"/>
    <w:rsid w:val="00DA69C2"/>
    <w:rsid w:val="00DA6D70"/>
    <w:rsid w:val="00DB6050"/>
    <w:rsid w:val="00DC2261"/>
    <w:rsid w:val="00DC2C34"/>
    <w:rsid w:val="00DD66BD"/>
    <w:rsid w:val="00DE2C87"/>
    <w:rsid w:val="00DF27DA"/>
    <w:rsid w:val="00DF4DBE"/>
    <w:rsid w:val="00E242AB"/>
    <w:rsid w:val="00E40820"/>
    <w:rsid w:val="00E4658F"/>
    <w:rsid w:val="00E54A67"/>
    <w:rsid w:val="00E61C0D"/>
    <w:rsid w:val="00E63EB4"/>
    <w:rsid w:val="00E66160"/>
    <w:rsid w:val="00E71329"/>
    <w:rsid w:val="00E801C1"/>
    <w:rsid w:val="00E8363B"/>
    <w:rsid w:val="00E84966"/>
    <w:rsid w:val="00E92383"/>
    <w:rsid w:val="00EA1B3A"/>
    <w:rsid w:val="00EA2109"/>
    <w:rsid w:val="00ED4D4E"/>
    <w:rsid w:val="00EE0C77"/>
    <w:rsid w:val="00EE4E54"/>
    <w:rsid w:val="00F0151C"/>
    <w:rsid w:val="00F16817"/>
    <w:rsid w:val="00F424D9"/>
    <w:rsid w:val="00F436BB"/>
    <w:rsid w:val="00F47145"/>
    <w:rsid w:val="00F545BF"/>
    <w:rsid w:val="00F71B56"/>
    <w:rsid w:val="00F8090F"/>
    <w:rsid w:val="00F832C8"/>
    <w:rsid w:val="00F873B3"/>
    <w:rsid w:val="00FA42B9"/>
    <w:rsid w:val="00FA755A"/>
    <w:rsid w:val="00FB2B0F"/>
    <w:rsid w:val="00FB4F6B"/>
    <w:rsid w:val="00FB5FE1"/>
    <w:rsid w:val="00FC46EF"/>
    <w:rsid w:val="00FD31B3"/>
    <w:rsid w:val="00FD4204"/>
    <w:rsid w:val="00FE419B"/>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F47145"/>
    <w:pPr>
      <w:keepNext/>
      <w:spacing w:before="240"/>
      <w:outlineLvl w:val="0"/>
    </w:pPr>
    <w:rPr>
      <w:color w:val="22413A"/>
      <w:sz w:val="48"/>
    </w:rPr>
  </w:style>
  <w:style w:type="paragraph" w:styleId="Heading2">
    <w:name w:val="heading 2"/>
    <w:basedOn w:val="Normal"/>
    <w:next w:val="Normal"/>
    <w:link w:val="Heading2Char"/>
    <w:qFormat/>
    <w:rsid w:val="00F47145"/>
    <w:pPr>
      <w:keepNext/>
      <w:outlineLvl w:val="1"/>
    </w:pPr>
    <w:rPr>
      <w:color w:val="22413A"/>
      <w:sz w:val="36"/>
    </w:rPr>
  </w:style>
  <w:style w:type="paragraph" w:styleId="Heading3">
    <w:name w:val="heading 3"/>
    <w:basedOn w:val="Normal"/>
    <w:next w:val="Normal"/>
    <w:link w:val="Heading3Char"/>
    <w:qFormat/>
    <w:rsid w:val="00C215C3"/>
    <w:pPr>
      <w:keepNext/>
      <w:outlineLvl w:val="2"/>
    </w:pPr>
    <w:rPr>
      <w:iCs/>
      <w:color w:val="22413A"/>
      <w:sz w:val="28"/>
    </w:rPr>
  </w:style>
  <w:style w:type="paragraph" w:styleId="Heading4">
    <w:name w:val="heading 4"/>
    <w:basedOn w:val="Normal"/>
    <w:next w:val="Normal"/>
    <w:link w:val="Heading4Char"/>
    <w:qFormat/>
    <w:rsid w:val="00F47145"/>
    <w:pPr>
      <w:keepNext/>
      <w:outlineLvl w:val="3"/>
    </w:pPr>
    <w:rPr>
      <w:b/>
      <w:color w:val="22413A"/>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253FDE"/>
    <w:pPr>
      <w:tabs>
        <w:tab w:val="num" w:pos="1296"/>
      </w:tabs>
      <w:spacing w:before="240" w:after="60" w:line="240" w:lineRule="auto"/>
      <w:ind w:left="1296" w:hanging="1296"/>
      <w:outlineLvl w:val="6"/>
    </w:pPr>
    <w:rPr>
      <w:rFonts w:eastAsia="Times New Roman"/>
      <w:bCs/>
      <w:sz w:val="22"/>
      <w:szCs w:val="20"/>
      <w:lang w:eastAsia="en-GB" w:bidi="ar-SA"/>
    </w:rPr>
  </w:style>
  <w:style w:type="paragraph" w:styleId="Heading8">
    <w:name w:val="heading 8"/>
    <w:basedOn w:val="Normal"/>
    <w:next w:val="Normal"/>
    <w:link w:val="Heading8Char"/>
    <w:qFormat/>
    <w:rsid w:val="00253FDE"/>
    <w:pPr>
      <w:tabs>
        <w:tab w:val="num" w:pos="1440"/>
      </w:tabs>
      <w:spacing w:before="240" w:after="60" w:line="240" w:lineRule="auto"/>
      <w:ind w:left="1440" w:hanging="1440"/>
      <w:outlineLvl w:val="7"/>
    </w:pPr>
    <w:rPr>
      <w:rFonts w:eastAsia="Times New Roman"/>
      <w:bCs/>
      <w:i/>
      <w:iCs/>
      <w:sz w:val="22"/>
      <w:szCs w:val="20"/>
      <w:lang w:eastAsia="en-GB" w:bidi="ar-SA"/>
    </w:rPr>
  </w:style>
  <w:style w:type="paragraph" w:styleId="Heading9">
    <w:name w:val="heading 9"/>
    <w:basedOn w:val="Normal"/>
    <w:next w:val="Normal"/>
    <w:link w:val="Heading9Char"/>
    <w:qFormat/>
    <w:rsid w:val="00253FDE"/>
    <w:pPr>
      <w:tabs>
        <w:tab w:val="num" w:pos="1584"/>
      </w:tabs>
      <w:spacing w:before="240" w:after="60" w:line="240" w:lineRule="auto"/>
      <w:ind w:left="1584" w:hanging="1584"/>
      <w:outlineLvl w:val="8"/>
    </w:pPr>
    <w:rPr>
      <w:rFonts w:eastAsia="Times New Roman"/>
      <w:bCs/>
      <w:sz w:val="22"/>
      <w:lang w:eastAsia="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rsid w:val="00257288"/>
    <w:rPr>
      <w:rFonts w:ascii="Arial" w:hAnsi="Arial"/>
      <w:color w:val="22413A"/>
      <w:sz w:val="18"/>
      <w:szCs w:val="22"/>
      <w:lang w:eastAsia="en-US" w:bidi="he-IL"/>
    </w:rPr>
  </w:style>
  <w:style w:type="paragraph" w:styleId="Footer">
    <w:name w:val="footer"/>
    <w:basedOn w:val="Normal"/>
    <w:link w:val="FooterChar"/>
    <w:rsid w:val="008229BA"/>
    <w:pPr>
      <w:tabs>
        <w:tab w:val="center" w:pos="4513"/>
        <w:tab w:val="right" w:pos="9026"/>
      </w:tabs>
      <w:jc w:val="right"/>
    </w:pPr>
    <w:rPr>
      <w:color w:val="22413A"/>
    </w:rPr>
  </w:style>
  <w:style w:type="character" w:customStyle="1" w:styleId="FooterChar">
    <w:name w:val="Footer Char"/>
    <w:link w:val="Footer"/>
    <w:rsid w:val="008229BA"/>
    <w:rPr>
      <w:rFonts w:ascii="Arial" w:hAnsi="Arial"/>
      <w:color w:val="22413A"/>
      <w:sz w:val="24"/>
      <w:szCs w:val="22"/>
      <w:lang w:eastAsia="en-US" w:bidi="he-IL"/>
    </w:rPr>
  </w:style>
  <w:style w:type="character" w:styleId="PageNumber">
    <w:name w:val="page number"/>
    <w:rsid w:val="00FD4204"/>
    <w:rPr>
      <w:rFonts w:ascii="Arial" w:hAnsi="Arial"/>
      <w:b w:val="0"/>
      <w:color w:val="auto"/>
      <w:sz w:val="22"/>
    </w:rPr>
  </w:style>
  <w:style w:type="character" w:customStyle="1" w:styleId="Heading2Char">
    <w:name w:val="Heading 2 Char"/>
    <w:link w:val="Heading2"/>
    <w:rsid w:val="00F47145"/>
    <w:rPr>
      <w:rFonts w:ascii="Arial" w:hAnsi="Arial"/>
      <w:color w:val="22413A"/>
      <w:sz w:val="36"/>
      <w:szCs w:val="22"/>
      <w:lang w:eastAsia="en-US" w:bidi="he-IL"/>
    </w:rPr>
  </w:style>
  <w:style w:type="character" w:customStyle="1" w:styleId="Heading3Char">
    <w:name w:val="Heading 3 Char"/>
    <w:link w:val="Heading3"/>
    <w:rsid w:val="00C215C3"/>
    <w:rPr>
      <w:rFonts w:ascii="Arial" w:hAnsi="Arial"/>
      <w:iCs/>
      <w:color w:val="22413A"/>
      <w:sz w:val="28"/>
      <w:szCs w:val="22"/>
      <w:lang w:eastAsia="en-US" w:bidi="he-IL"/>
    </w:rPr>
  </w:style>
  <w:style w:type="character" w:customStyle="1" w:styleId="Heading4Char">
    <w:name w:val="Heading 4 Char"/>
    <w:link w:val="Heading4"/>
    <w:rsid w:val="00F47145"/>
    <w:rPr>
      <w:rFonts w:ascii="Arial" w:hAnsi="Arial"/>
      <w:b/>
      <w:color w:val="22413A"/>
      <w:sz w:val="24"/>
      <w:szCs w:val="22"/>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F47145"/>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884E43"/>
    <w:pPr>
      <w:spacing w:before="60" w:after="60"/>
    </w:p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rsid w:val="00C32CC1"/>
    <w:rPr>
      <w:lang w:eastAsia="en-US" w:bidi="he-IL"/>
    </w:rPr>
  </w:style>
  <w:style w:type="character" w:styleId="FootnoteReference">
    <w:name w:val="footnote reference"/>
    <w:basedOn w:val="DefaultParagraphFont"/>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nhideWhenUsed/>
    <w:rsid w:val="00FD31B3"/>
    <w:rPr>
      <w:sz w:val="16"/>
      <w:szCs w:val="16"/>
    </w:rPr>
  </w:style>
  <w:style w:type="paragraph" w:styleId="CommentText">
    <w:name w:val="annotation text"/>
    <w:basedOn w:val="Normal"/>
    <w:link w:val="CommentTextChar"/>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nhideWhenUsed/>
    <w:rsid w:val="009E0E52"/>
    <w:pPr>
      <w:spacing w:after="0" w:line="240" w:lineRule="auto"/>
    </w:pPr>
    <w:rPr>
      <w:sz w:val="20"/>
      <w:szCs w:val="20"/>
    </w:rPr>
  </w:style>
  <w:style w:type="character" w:customStyle="1" w:styleId="EndnoteTextChar">
    <w:name w:val="Endnote Text Char"/>
    <w:basedOn w:val="DefaultParagraphFont"/>
    <w:link w:val="EndnoteText"/>
    <w:rsid w:val="009E0E52"/>
    <w:rPr>
      <w:rFonts w:ascii="Arial" w:hAnsi="Arial"/>
      <w:lang w:eastAsia="en-US" w:bidi="he-IL"/>
    </w:rPr>
  </w:style>
  <w:style w:type="character" w:styleId="EndnoteReference">
    <w:name w:val="endnote reference"/>
    <w:basedOn w:val="DefaultParagraphFont"/>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Heading7Char">
    <w:name w:val="Heading 7 Char"/>
    <w:basedOn w:val="DefaultParagraphFont"/>
    <w:link w:val="Heading7"/>
    <w:rsid w:val="00253FDE"/>
    <w:rPr>
      <w:rFonts w:ascii="Arial" w:eastAsia="Times New Roman" w:hAnsi="Arial"/>
      <w:bCs/>
      <w:sz w:val="22"/>
    </w:rPr>
  </w:style>
  <w:style w:type="character" w:customStyle="1" w:styleId="Heading8Char">
    <w:name w:val="Heading 8 Char"/>
    <w:basedOn w:val="DefaultParagraphFont"/>
    <w:link w:val="Heading8"/>
    <w:rsid w:val="00253FDE"/>
    <w:rPr>
      <w:rFonts w:ascii="Arial" w:eastAsia="Times New Roman" w:hAnsi="Arial"/>
      <w:bCs/>
      <w:i/>
      <w:iCs/>
      <w:sz w:val="22"/>
    </w:rPr>
  </w:style>
  <w:style w:type="character" w:customStyle="1" w:styleId="Heading9Char">
    <w:name w:val="Heading 9 Char"/>
    <w:basedOn w:val="DefaultParagraphFont"/>
    <w:link w:val="Heading9"/>
    <w:rsid w:val="00253FDE"/>
    <w:rPr>
      <w:rFonts w:ascii="Arial" w:eastAsia="Times New Roman" w:hAnsi="Arial"/>
      <w:bCs/>
      <w:sz w:val="22"/>
      <w:szCs w:val="22"/>
    </w:rPr>
  </w:style>
  <w:style w:type="paragraph" w:styleId="Revision">
    <w:name w:val="Revision"/>
    <w:hidden/>
    <w:uiPriority w:val="99"/>
    <w:semiHidden/>
    <w:rsid w:val="00253FDE"/>
    <w:rPr>
      <w:rFonts w:ascii="Arial" w:hAnsi="Arial"/>
      <w:sz w:val="24"/>
      <w:szCs w:val="22"/>
      <w:lang w:eastAsia="en-US" w:bidi="he-IL"/>
    </w:rPr>
  </w:style>
  <w:style w:type="numbering" w:customStyle="1" w:styleId="NoList1">
    <w:name w:val="No List1"/>
    <w:next w:val="NoList"/>
    <w:uiPriority w:val="99"/>
    <w:semiHidden/>
    <w:unhideWhenUsed/>
    <w:rsid w:val="00253FDE"/>
  </w:style>
  <w:style w:type="paragraph" w:styleId="BlockText">
    <w:name w:val="Block Text"/>
    <w:basedOn w:val="Normal"/>
    <w:rsid w:val="00253FDE"/>
    <w:pPr>
      <w:tabs>
        <w:tab w:val="left" w:pos="741"/>
        <w:tab w:val="left" w:pos="1083"/>
      </w:tabs>
      <w:spacing w:before="120" w:after="120" w:line="240" w:lineRule="auto"/>
      <w:ind w:left="720" w:right="291"/>
    </w:pPr>
    <w:rPr>
      <w:rFonts w:eastAsia="Times New Roman"/>
      <w:sz w:val="22"/>
      <w:szCs w:val="20"/>
      <w:lang w:eastAsia="en-GB" w:bidi="ar-SA"/>
    </w:rPr>
  </w:style>
  <w:style w:type="paragraph" w:styleId="BodyTextIndent">
    <w:name w:val="Body Text Indent"/>
    <w:basedOn w:val="Normal"/>
    <w:link w:val="BodyTextIndentChar"/>
    <w:rsid w:val="00253FDE"/>
    <w:pPr>
      <w:spacing w:before="120" w:after="120" w:line="240" w:lineRule="auto"/>
      <w:ind w:left="399"/>
    </w:pPr>
    <w:rPr>
      <w:rFonts w:eastAsia="Times New Roman"/>
      <w:sz w:val="22"/>
      <w:szCs w:val="20"/>
      <w:lang w:eastAsia="en-GB" w:bidi="ar-SA"/>
    </w:rPr>
  </w:style>
  <w:style w:type="character" w:customStyle="1" w:styleId="BodyTextIndentChar">
    <w:name w:val="Body Text Indent Char"/>
    <w:basedOn w:val="DefaultParagraphFont"/>
    <w:link w:val="BodyTextIndent"/>
    <w:rsid w:val="00253FDE"/>
    <w:rPr>
      <w:rFonts w:ascii="Arial" w:eastAsia="Times New Roman" w:hAnsi="Arial"/>
      <w:sz w:val="22"/>
    </w:rPr>
  </w:style>
  <w:style w:type="paragraph" w:styleId="BodyText3">
    <w:name w:val="Body Text 3"/>
    <w:basedOn w:val="Normal"/>
    <w:link w:val="BodyText3Char"/>
    <w:rsid w:val="00253FDE"/>
    <w:pPr>
      <w:autoSpaceDE w:val="0"/>
      <w:autoSpaceDN w:val="0"/>
      <w:adjustRightInd w:val="0"/>
      <w:spacing w:before="120" w:after="260" w:line="240" w:lineRule="auto"/>
    </w:pPr>
    <w:rPr>
      <w:rFonts w:eastAsia="Times New Roman"/>
      <w:sz w:val="22"/>
      <w:szCs w:val="20"/>
      <w:lang w:eastAsia="en-GB" w:bidi="ar-SA"/>
    </w:rPr>
  </w:style>
  <w:style w:type="character" w:customStyle="1" w:styleId="BodyText3Char">
    <w:name w:val="Body Text 3 Char"/>
    <w:basedOn w:val="DefaultParagraphFont"/>
    <w:link w:val="BodyText3"/>
    <w:rsid w:val="00253FDE"/>
    <w:rPr>
      <w:rFonts w:ascii="Arial" w:eastAsia="Times New Roman" w:hAnsi="Arial"/>
      <w:sz w:val="22"/>
    </w:rPr>
  </w:style>
  <w:style w:type="paragraph" w:styleId="BodyText">
    <w:name w:val="Body Text"/>
    <w:basedOn w:val="Normal"/>
    <w:link w:val="BodyTextChar"/>
    <w:rsid w:val="00253FDE"/>
    <w:pPr>
      <w:spacing w:before="120" w:after="120" w:line="240" w:lineRule="auto"/>
    </w:pPr>
    <w:rPr>
      <w:rFonts w:eastAsia="Times New Roman"/>
      <w:b/>
      <w:bCs/>
      <w:sz w:val="22"/>
      <w:szCs w:val="20"/>
      <w:lang w:eastAsia="en-GB" w:bidi="ar-SA"/>
    </w:rPr>
  </w:style>
  <w:style w:type="character" w:customStyle="1" w:styleId="BodyTextChar">
    <w:name w:val="Body Text Char"/>
    <w:basedOn w:val="DefaultParagraphFont"/>
    <w:link w:val="BodyText"/>
    <w:rsid w:val="00253FDE"/>
    <w:rPr>
      <w:rFonts w:ascii="Arial" w:eastAsia="Times New Roman" w:hAnsi="Arial"/>
      <w:b/>
      <w:bCs/>
      <w:sz w:val="22"/>
    </w:rPr>
  </w:style>
  <w:style w:type="paragraph" w:styleId="BodyTextIndent2">
    <w:name w:val="Body Text Indent 2"/>
    <w:basedOn w:val="Normal"/>
    <w:link w:val="BodyTextIndent2Char"/>
    <w:rsid w:val="00253FDE"/>
    <w:pPr>
      <w:spacing w:before="120" w:after="120" w:line="240" w:lineRule="auto"/>
      <w:ind w:left="360"/>
    </w:pPr>
    <w:rPr>
      <w:rFonts w:eastAsia="Times New Roman"/>
      <w:sz w:val="22"/>
      <w:szCs w:val="20"/>
      <w:lang w:eastAsia="en-GB" w:bidi="ar-SA"/>
    </w:rPr>
  </w:style>
  <w:style w:type="character" w:customStyle="1" w:styleId="BodyTextIndent2Char">
    <w:name w:val="Body Text Indent 2 Char"/>
    <w:basedOn w:val="DefaultParagraphFont"/>
    <w:link w:val="BodyTextIndent2"/>
    <w:rsid w:val="00253FDE"/>
    <w:rPr>
      <w:rFonts w:ascii="Arial" w:eastAsia="Times New Roman" w:hAnsi="Arial"/>
      <w:sz w:val="22"/>
    </w:rPr>
  </w:style>
  <w:style w:type="paragraph" w:styleId="BodyTextIndent3">
    <w:name w:val="Body Text Indent 3"/>
    <w:basedOn w:val="Normal"/>
    <w:link w:val="BodyTextIndent3Char"/>
    <w:rsid w:val="00253FDE"/>
    <w:pPr>
      <w:tabs>
        <w:tab w:val="left" w:pos="720"/>
        <w:tab w:val="left" w:pos="1080"/>
      </w:tabs>
      <w:autoSpaceDE w:val="0"/>
      <w:autoSpaceDN w:val="0"/>
      <w:adjustRightInd w:val="0"/>
      <w:spacing w:before="120" w:after="260" w:line="240" w:lineRule="auto"/>
      <w:ind w:left="720" w:hanging="360"/>
    </w:pPr>
    <w:rPr>
      <w:rFonts w:eastAsia="Times New Roman"/>
      <w:sz w:val="22"/>
      <w:szCs w:val="20"/>
      <w:lang w:eastAsia="en-GB" w:bidi="ar-SA"/>
    </w:rPr>
  </w:style>
  <w:style w:type="character" w:customStyle="1" w:styleId="BodyTextIndent3Char">
    <w:name w:val="Body Text Indent 3 Char"/>
    <w:basedOn w:val="DefaultParagraphFont"/>
    <w:link w:val="BodyTextIndent3"/>
    <w:rsid w:val="00253FDE"/>
    <w:rPr>
      <w:rFonts w:ascii="Arial" w:eastAsia="Times New Roman" w:hAnsi="Arial"/>
      <w:sz w:val="22"/>
    </w:rPr>
  </w:style>
  <w:style w:type="paragraph" w:styleId="BodyText2">
    <w:name w:val="Body Text 2"/>
    <w:basedOn w:val="Normal"/>
    <w:link w:val="BodyText2Char"/>
    <w:rsid w:val="00253FDE"/>
    <w:pPr>
      <w:spacing w:before="120" w:after="120" w:line="240" w:lineRule="auto"/>
    </w:pPr>
    <w:rPr>
      <w:rFonts w:eastAsia="Times New Roman"/>
      <w:b/>
      <w:color w:val="0000FF"/>
      <w:sz w:val="22"/>
      <w:szCs w:val="20"/>
      <w:lang w:eastAsia="en-GB" w:bidi="ar-SA"/>
    </w:rPr>
  </w:style>
  <w:style w:type="character" w:customStyle="1" w:styleId="BodyText2Char">
    <w:name w:val="Body Text 2 Char"/>
    <w:basedOn w:val="DefaultParagraphFont"/>
    <w:link w:val="BodyText2"/>
    <w:rsid w:val="00253FDE"/>
    <w:rPr>
      <w:rFonts w:ascii="Arial" w:eastAsia="Times New Roman" w:hAnsi="Arial"/>
      <w:b/>
      <w:color w:val="0000FF"/>
      <w:sz w:val="22"/>
    </w:rPr>
  </w:style>
  <w:style w:type="paragraph" w:customStyle="1" w:styleId="Level1">
    <w:name w:val="Level 1"/>
    <w:basedOn w:val="Normal"/>
    <w:rsid w:val="00253FDE"/>
    <w:pPr>
      <w:widowControl w:val="0"/>
      <w:spacing w:before="120" w:after="120" w:line="240" w:lineRule="auto"/>
    </w:pPr>
    <w:rPr>
      <w:rFonts w:eastAsia="Times New Roman"/>
      <w:sz w:val="22"/>
      <w:szCs w:val="20"/>
      <w:lang w:val="en-US" w:eastAsia="en-GB" w:bidi="ar-SA"/>
    </w:rPr>
  </w:style>
  <w:style w:type="table" w:customStyle="1" w:styleId="TableGrid1">
    <w:name w:val="Table Grid1"/>
    <w:basedOn w:val="TableNormal"/>
    <w:next w:val="TableGrid"/>
    <w:rsid w:val="00253FDE"/>
    <w:pPr>
      <w:spacing w:before="120" w:after="120"/>
    </w:pPr>
    <w:rPr>
      <w:rFonts w:ascii="Arial" w:eastAsia="Times New Roman"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53FDE"/>
    <w:pPr>
      <w:widowControl w:val="0"/>
      <w:adjustRightInd w:val="0"/>
      <w:spacing w:before="100" w:beforeAutospacing="1" w:after="100" w:afterAutospacing="1" w:line="360" w:lineRule="atLeast"/>
      <w:textAlignment w:val="baseline"/>
    </w:pPr>
    <w:rPr>
      <w:rFonts w:eastAsia="Times New Roman"/>
      <w:sz w:val="22"/>
      <w:szCs w:val="20"/>
      <w:lang w:eastAsia="en-GB" w:bidi="ar-SA"/>
    </w:rPr>
  </w:style>
  <w:style w:type="paragraph" w:styleId="CommentSubject">
    <w:name w:val="annotation subject"/>
    <w:basedOn w:val="CommentText"/>
    <w:next w:val="CommentText"/>
    <w:link w:val="CommentSubjectChar"/>
    <w:rsid w:val="00253FDE"/>
    <w:pPr>
      <w:spacing w:before="120" w:after="120"/>
    </w:pPr>
    <w:rPr>
      <w:rFonts w:ascii="Arial" w:eastAsia="Times New Roman" w:hAnsi="Arial" w:cs="Arial"/>
      <w:b/>
      <w:lang w:eastAsia="en-GB"/>
    </w:rPr>
  </w:style>
  <w:style w:type="character" w:customStyle="1" w:styleId="CommentSubjectChar">
    <w:name w:val="Comment Subject Char"/>
    <w:basedOn w:val="CommentTextChar"/>
    <w:link w:val="CommentSubject"/>
    <w:rsid w:val="00253FDE"/>
    <w:rPr>
      <w:rFonts w:ascii="Arial" w:eastAsia="Times New Roman" w:hAnsi="Arial" w:cstheme="minorBidi"/>
      <w:b/>
      <w:lang w:eastAsia="en-US"/>
    </w:rPr>
  </w:style>
  <w:style w:type="character" w:customStyle="1" w:styleId="legamendingtext">
    <w:name w:val="legamendingtext"/>
    <w:basedOn w:val="DefaultParagraphFont"/>
    <w:rsid w:val="00253FDE"/>
  </w:style>
  <w:style w:type="paragraph" w:customStyle="1" w:styleId="Default">
    <w:name w:val="Default"/>
    <w:rsid w:val="00253FDE"/>
    <w:pPr>
      <w:autoSpaceDE w:val="0"/>
      <w:autoSpaceDN w:val="0"/>
      <w:adjustRightInd w:val="0"/>
      <w:spacing w:before="120" w:after="120"/>
    </w:pPr>
    <w:rPr>
      <w:rFonts w:ascii="Arial" w:eastAsia="Times New Roman" w:hAnsi="Arial"/>
      <w:color w:val="000000"/>
      <w:sz w:val="24"/>
      <w:szCs w:val="24"/>
    </w:rPr>
  </w:style>
  <w:style w:type="paragraph" w:customStyle="1" w:styleId="NumberedPara">
    <w:name w:val="Numbered Para"/>
    <w:basedOn w:val="Default"/>
    <w:link w:val="NumberedParaChar"/>
    <w:qFormat/>
    <w:rsid w:val="00253FDE"/>
    <w:pPr>
      <w:numPr>
        <w:numId w:val="21"/>
      </w:numPr>
      <w:spacing w:line="276" w:lineRule="auto"/>
      <w:jc w:val="both"/>
    </w:pPr>
    <w:rPr>
      <w:rFonts w:eastAsia="Calibri"/>
      <w:sz w:val="22"/>
      <w:szCs w:val="22"/>
    </w:rPr>
  </w:style>
  <w:style w:type="character" w:customStyle="1" w:styleId="NumberedParaChar">
    <w:name w:val="Numbered Para Char"/>
    <w:link w:val="NumberedPara"/>
    <w:rsid w:val="00253FDE"/>
    <w:rPr>
      <w:rFonts w:ascii="Arial" w:hAnsi="Arial"/>
      <w:color w:val="000000"/>
      <w:sz w:val="22"/>
      <w:szCs w:val="22"/>
    </w:rPr>
  </w:style>
  <w:style w:type="paragraph" w:customStyle="1" w:styleId="TSHeadingNumbered1">
    <w:name w:val="TS Heading Numbered 1"/>
    <w:basedOn w:val="Normal"/>
    <w:rsid w:val="00253FDE"/>
    <w:pPr>
      <w:tabs>
        <w:tab w:val="num" w:pos="-31680"/>
      </w:tabs>
      <w:spacing w:before="120" w:after="220" w:line="240" w:lineRule="auto"/>
      <w:ind w:left="720" w:hanging="720"/>
      <w:outlineLvl w:val="0"/>
    </w:pPr>
    <w:rPr>
      <w:rFonts w:ascii="Arial Bold" w:eastAsia="Times New Roman" w:hAnsi="Arial Bold"/>
      <w:b/>
      <w:bCs/>
      <w:caps/>
      <w:sz w:val="22"/>
      <w:szCs w:val="20"/>
      <w:lang w:eastAsia="en-GB" w:bidi="ar-SA"/>
    </w:rPr>
  </w:style>
  <w:style w:type="paragraph" w:customStyle="1" w:styleId="TSHeadingNumbered11">
    <w:name w:val="TS Heading Numbered 1.1"/>
    <w:basedOn w:val="TSHeadingNumbered1"/>
    <w:rsid w:val="00253FDE"/>
  </w:style>
  <w:style w:type="paragraph" w:customStyle="1" w:styleId="TSHeadingNumbered111">
    <w:name w:val="TS Heading Numbered 1.1.1"/>
    <w:basedOn w:val="TSHeadingNumbered1"/>
    <w:rsid w:val="00253FDE"/>
  </w:style>
  <w:style w:type="paragraph" w:customStyle="1" w:styleId="TSHeadingNumbered1111">
    <w:name w:val="TS Heading Numbered 1.1.1.1"/>
    <w:basedOn w:val="TSHeadingNumbered1"/>
    <w:rsid w:val="00253FDE"/>
  </w:style>
  <w:style w:type="paragraph" w:customStyle="1" w:styleId="TSNumberedParagraph11">
    <w:name w:val="TS Numbered Paragraph 1.1"/>
    <w:basedOn w:val="TSHeadingNumbered11"/>
    <w:rsid w:val="00253FDE"/>
    <w:pPr>
      <w:numPr>
        <w:ilvl w:val="1"/>
      </w:numPr>
      <w:tabs>
        <w:tab w:val="num" w:pos="-31680"/>
      </w:tabs>
      <w:ind w:left="720" w:hanging="720"/>
    </w:pPr>
    <w:rPr>
      <w:rFonts w:ascii="Arial" w:hAnsi="Arial"/>
      <w:b w:val="0"/>
      <w:caps w:val="0"/>
    </w:rPr>
  </w:style>
  <w:style w:type="character" w:customStyle="1" w:styleId="FollowedHyperlink1">
    <w:name w:val="FollowedHyperlink1"/>
    <w:basedOn w:val="DefaultParagraphFont"/>
    <w:uiPriority w:val="99"/>
    <w:unhideWhenUsed/>
    <w:rsid w:val="00253FDE"/>
    <w:rPr>
      <w:color w:val="800080"/>
      <w:u w:val="single"/>
    </w:rPr>
  </w:style>
  <w:style w:type="character" w:styleId="LineNumber">
    <w:name w:val="line number"/>
    <w:basedOn w:val="DefaultParagraphFont"/>
    <w:rsid w:val="00253FDE"/>
  </w:style>
  <w:style w:type="character" w:styleId="FollowedHyperlink">
    <w:name w:val="FollowedHyperlink"/>
    <w:basedOn w:val="DefaultParagraphFont"/>
    <w:uiPriority w:val="99"/>
    <w:semiHidden/>
    <w:unhideWhenUsed/>
    <w:rsid w:val="00253FDE"/>
    <w:rPr>
      <w:color w:val="AA1C76" w:themeColor="followedHyperlink"/>
      <w:u w:val="single"/>
    </w:rPr>
  </w:style>
  <w:style w:type="paragraph" w:styleId="TOCHeading">
    <w:name w:val="TOC Heading"/>
    <w:basedOn w:val="Heading1"/>
    <w:next w:val="Normal"/>
    <w:uiPriority w:val="39"/>
    <w:unhideWhenUsed/>
    <w:qFormat/>
    <w:rsid w:val="00253FDE"/>
    <w:pPr>
      <w:keepLines/>
      <w:spacing w:after="0" w:line="259" w:lineRule="auto"/>
      <w:outlineLvl w:val="9"/>
    </w:pPr>
    <w:rPr>
      <w:rFonts w:asciiTheme="majorHAnsi" w:eastAsiaTheme="majorEastAsia" w:hAnsiTheme="majorHAnsi" w:cstheme="majorBidi"/>
      <w:color w:val="055450" w:themeColor="accent1" w:themeShade="BF"/>
      <w:sz w:val="32"/>
      <w:szCs w:val="32"/>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73069">
      <w:bodyDiv w:val="1"/>
      <w:marLeft w:val="0"/>
      <w:marRight w:val="0"/>
      <w:marTop w:val="0"/>
      <w:marBottom w:val="0"/>
      <w:divBdr>
        <w:top w:val="none" w:sz="0" w:space="0" w:color="auto"/>
        <w:left w:val="none" w:sz="0" w:space="0" w:color="auto"/>
        <w:bottom w:val="none" w:sz="0" w:space="0" w:color="auto"/>
        <w:right w:val="none" w:sz="0" w:space="0" w:color="auto"/>
      </w:divBdr>
    </w:div>
    <w:div w:id="36514295">
      <w:bodyDiv w:val="1"/>
      <w:marLeft w:val="0"/>
      <w:marRight w:val="0"/>
      <w:marTop w:val="0"/>
      <w:marBottom w:val="0"/>
      <w:divBdr>
        <w:top w:val="none" w:sz="0" w:space="0" w:color="auto"/>
        <w:left w:val="none" w:sz="0" w:space="0" w:color="auto"/>
        <w:bottom w:val="none" w:sz="0" w:space="0" w:color="auto"/>
        <w:right w:val="none" w:sz="0" w:space="0" w:color="auto"/>
      </w:divBdr>
    </w:div>
    <w:div w:id="49498149">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14101500">
      <w:bodyDiv w:val="1"/>
      <w:marLeft w:val="0"/>
      <w:marRight w:val="0"/>
      <w:marTop w:val="0"/>
      <w:marBottom w:val="0"/>
      <w:divBdr>
        <w:top w:val="none" w:sz="0" w:space="0" w:color="auto"/>
        <w:left w:val="none" w:sz="0" w:space="0" w:color="auto"/>
        <w:bottom w:val="none" w:sz="0" w:space="0" w:color="auto"/>
        <w:right w:val="none" w:sz="0" w:space="0" w:color="auto"/>
      </w:divBdr>
    </w:div>
    <w:div w:id="116871615">
      <w:bodyDiv w:val="1"/>
      <w:marLeft w:val="0"/>
      <w:marRight w:val="0"/>
      <w:marTop w:val="0"/>
      <w:marBottom w:val="0"/>
      <w:divBdr>
        <w:top w:val="none" w:sz="0" w:space="0" w:color="auto"/>
        <w:left w:val="none" w:sz="0" w:space="0" w:color="auto"/>
        <w:bottom w:val="none" w:sz="0" w:space="0" w:color="auto"/>
        <w:right w:val="none" w:sz="0" w:space="0" w:color="auto"/>
      </w:divBdr>
    </w:div>
    <w:div w:id="159121814">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46575445">
      <w:bodyDiv w:val="1"/>
      <w:marLeft w:val="0"/>
      <w:marRight w:val="0"/>
      <w:marTop w:val="0"/>
      <w:marBottom w:val="0"/>
      <w:divBdr>
        <w:top w:val="none" w:sz="0" w:space="0" w:color="auto"/>
        <w:left w:val="none" w:sz="0" w:space="0" w:color="auto"/>
        <w:bottom w:val="none" w:sz="0" w:space="0" w:color="auto"/>
        <w:right w:val="none" w:sz="0" w:space="0" w:color="auto"/>
      </w:divBdr>
    </w:div>
    <w:div w:id="304966315">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1928570">
      <w:bodyDiv w:val="1"/>
      <w:marLeft w:val="0"/>
      <w:marRight w:val="0"/>
      <w:marTop w:val="0"/>
      <w:marBottom w:val="0"/>
      <w:divBdr>
        <w:top w:val="none" w:sz="0" w:space="0" w:color="auto"/>
        <w:left w:val="none" w:sz="0" w:space="0" w:color="auto"/>
        <w:bottom w:val="none" w:sz="0" w:space="0" w:color="auto"/>
        <w:right w:val="none" w:sz="0" w:space="0" w:color="auto"/>
      </w:divBdr>
    </w:div>
    <w:div w:id="355812278">
      <w:bodyDiv w:val="1"/>
      <w:marLeft w:val="0"/>
      <w:marRight w:val="0"/>
      <w:marTop w:val="0"/>
      <w:marBottom w:val="0"/>
      <w:divBdr>
        <w:top w:val="none" w:sz="0" w:space="0" w:color="auto"/>
        <w:left w:val="none" w:sz="0" w:space="0" w:color="auto"/>
        <w:bottom w:val="none" w:sz="0" w:space="0" w:color="auto"/>
        <w:right w:val="none" w:sz="0" w:space="0" w:color="auto"/>
      </w:divBdr>
    </w:div>
    <w:div w:id="403915304">
      <w:bodyDiv w:val="1"/>
      <w:marLeft w:val="0"/>
      <w:marRight w:val="0"/>
      <w:marTop w:val="0"/>
      <w:marBottom w:val="0"/>
      <w:divBdr>
        <w:top w:val="none" w:sz="0" w:space="0" w:color="auto"/>
        <w:left w:val="none" w:sz="0" w:space="0" w:color="auto"/>
        <w:bottom w:val="none" w:sz="0" w:space="0" w:color="auto"/>
        <w:right w:val="none" w:sz="0" w:space="0" w:color="auto"/>
      </w:divBdr>
    </w:div>
    <w:div w:id="437529365">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77577939">
      <w:bodyDiv w:val="1"/>
      <w:marLeft w:val="0"/>
      <w:marRight w:val="0"/>
      <w:marTop w:val="0"/>
      <w:marBottom w:val="0"/>
      <w:divBdr>
        <w:top w:val="none" w:sz="0" w:space="0" w:color="auto"/>
        <w:left w:val="none" w:sz="0" w:space="0" w:color="auto"/>
        <w:bottom w:val="none" w:sz="0" w:space="0" w:color="auto"/>
        <w:right w:val="none" w:sz="0" w:space="0" w:color="auto"/>
      </w:divBdr>
    </w:div>
    <w:div w:id="523710849">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03347734">
      <w:bodyDiv w:val="1"/>
      <w:marLeft w:val="0"/>
      <w:marRight w:val="0"/>
      <w:marTop w:val="0"/>
      <w:marBottom w:val="0"/>
      <w:divBdr>
        <w:top w:val="none" w:sz="0" w:space="0" w:color="auto"/>
        <w:left w:val="none" w:sz="0" w:space="0" w:color="auto"/>
        <w:bottom w:val="none" w:sz="0" w:space="0" w:color="auto"/>
        <w:right w:val="none" w:sz="0" w:space="0" w:color="auto"/>
      </w:divBdr>
    </w:div>
    <w:div w:id="683552668">
      <w:bodyDiv w:val="1"/>
      <w:marLeft w:val="0"/>
      <w:marRight w:val="0"/>
      <w:marTop w:val="0"/>
      <w:marBottom w:val="0"/>
      <w:divBdr>
        <w:top w:val="none" w:sz="0" w:space="0" w:color="auto"/>
        <w:left w:val="none" w:sz="0" w:space="0" w:color="auto"/>
        <w:bottom w:val="none" w:sz="0" w:space="0" w:color="auto"/>
        <w:right w:val="none" w:sz="0" w:space="0" w:color="auto"/>
      </w:divBdr>
    </w:div>
    <w:div w:id="684019021">
      <w:bodyDiv w:val="1"/>
      <w:marLeft w:val="0"/>
      <w:marRight w:val="0"/>
      <w:marTop w:val="0"/>
      <w:marBottom w:val="0"/>
      <w:divBdr>
        <w:top w:val="none" w:sz="0" w:space="0" w:color="auto"/>
        <w:left w:val="none" w:sz="0" w:space="0" w:color="auto"/>
        <w:bottom w:val="none" w:sz="0" w:space="0" w:color="auto"/>
        <w:right w:val="none" w:sz="0" w:space="0" w:color="auto"/>
      </w:divBdr>
    </w:div>
    <w:div w:id="791559698">
      <w:bodyDiv w:val="1"/>
      <w:marLeft w:val="0"/>
      <w:marRight w:val="0"/>
      <w:marTop w:val="0"/>
      <w:marBottom w:val="0"/>
      <w:divBdr>
        <w:top w:val="none" w:sz="0" w:space="0" w:color="auto"/>
        <w:left w:val="none" w:sz="0" w:space="0" w:color="auto"/>
        <w:bottom w:val="none" w:sz="0" w:space="0" w:color="auto"/>
        <w:right w:val="none" w:sz="0" w:space="0" w:color="auto"/>
      </w:divBdr>
    </w:div>
    <w:div w:id="805589578">
      <w:bodyDiv w:val="1"/>
      <w:marLeft w:val="0"/>
      <w:marRight w:val="0"/>
      <w:marTop w:val="0"/>
      <w:marBottom w:val="0"/>
      <w:divBdr>
        <w:top w:val="none" w:sz="0" w:space="0" w:color="auto"/>
        <w:left w:val="none" w:sz="0" w:space="0" w:color="auto"/>
        <w:bottom w:val="none" w:sz="0" w:space="0" w:color="auto"/>
        <w:right w:val="none" w:sz="0" w:space="0" w:color="auto"/>
      </w:divBdr>
    </w:div>
    <w:div w:id="86035856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94844845">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4812335">
      <w:bodyDiv w:val="1"/>
      <w:marLeft w:val="0"/>
      <w:marRight w:val="0"/>
      <w:marTop w:val="0"/>
      <w:marBottom w:val="0"/>
      <w:divBdr>
        <w:top w:val="none" w:sz="0" w:space="0" w:color="auto"/>
        <w:left w:val="none" w:sz="0" w:space="0" w:color="auto"/>
        <w:bottom w:val="none" w:sz="0" w:space="0" w:color="auto"/>
        <w:right w:val="none" w:sz="0" w:space="0" w:color="auto"/>
      </w:divBdr>
    </w:div>
    <w:div w:id="1177158877">
      <w:bodyDiv w:val="1"/>
      <w:marLeft w:val="0"/>
      <w:marRight w:val="0"/>
      <w:marTop w:val="0"/>
      <w:marBottom w:val="0"/>
      <w:divBdr>
        <w:top w:val="none" w:sz="0" w:space="0" w:color="auto"/>
        <w:left w:val="none" w:sz="0" w:space="0" w:color="auto"/>
        <w:bottom w:val="none" w:sz="0" w:space="0" w:color="auto"/>
        <w:right w:val="none" w:sz="0" w:space="0" w:color="auto"/>
      </w:divBdr>
    </w:div>
    <w:div w:id="1184710181">
      <w:bodyDiv w:val="1"/>
      <w:marLeft w:val="0"/>
      <w:marRight w:val="0"/>
      <w:marTop w:val="0"/>
      <w:marBottom w:val="0"/>
      <w:divBdr>
        <w:top w:val="none" w:sz="0" w:space="0" w:color="auto"/>
        <w:left w:val="none" w:sz="0" w:space="0" w:color="auto"/>
        <w:bottom w:val="none" w:sz="0" w:space="0" w:color="auto"/>
        <w:right w:val="none" w:sz="0" w:space="0" w:color="auto"/>
      </w:divBdr>
    </w:div>
    <w:div w:id="1270432352">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4246626">
      <w:bodyDiv w:val="1"/>
      <w:marLeft w:val="0"/>
      <w:marRight w:val="0"/>
      <w:marTop w:val="0"/>
      <w:marBottom w:val="0"/>
      <w:divBdr>
        <w:top w:val="none" w:sz="0" w:space="0" w:color="auto"/>
        <w:left w:val="none" w:sz="0" w:space="0" w:color="auto"/>
        <w:bottom w:val="none" w:sz="0" w:space="0" w:color="auto"/>
        <w:right w:val="none" w:sz="0" w:space="0" w:color="auto"/>
      </w:divBdr>
    </w:div>
    <w:div w:id="1550338515">
      <w:bodyDiv w:val="1"/>
      <w:marLeft w:val="0"/>
      <w:marRight w:val="0"/>
      <w:marTop w:val="0"/>
      <w:marBottom w:val="0"/>
      <w:divBdr>
        <w:top w:val="none" w:sz="0" w:space="0" w:color="auto"/>
        <w:left w:val="none" w:sz="0" w:space="0" w:color="auto"/>
        <w:bottom w:val="none" w:sz="0" w:space="0" w:color="auto"/>
        <w:right w:val="none" w:sz="0" w:space="0" w:color="auto"/>
      </w:divBdr>
    </w:div>
    <w:div w:id="1565991158">
      <w:bodyDiv w:val="1"/>
      <w:marLeft w:val="0"/>
      <w:marRight w:val="0"/>
      <w:marTop w:val="0"/>
      <w:marBottom w:val="0"/>
      <w:divBdr>
        <w:top w:val="none" w:sz="0" w:space="0" w:color="auto"/>
        <w:left w:val="none" w:sz="0" w:space="0" w:color="auto"/>
        <w:bottom w:val="none" w:sz="0" w:space="0" w:color="auto"/>
        <w:right w:val="none" w:sz="0" w:space="0" w:color="auto"/>
      </w:divBdr>
    </w:div>
    <w:div w:id="1584953222">
      <w:bodyDiv w:val="1"/>
      <w:marLeft w:val="0"/>
      <w:marRight w:val="0"/>
      <w:marTop w:val="0"/>
      <w:marBottom w:val="0"/>
      <w:divBdr>
        <w:top w:val="none" w:sz="0" w:space="0" w:color="auto"/>
        <w:left w:val="none" w:sz="0" w:space="0" w:color="auto"/>
        <w:bottom w:val="none" w:sz="0" w:space="0" w:color="auto"/>
        <w:right w:val="none" w:sz="0" w:space="0" w:color="auto"/>
      </w:divBdr>
    </w:div>
    <w:div w:id="1616407037">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924488139">
      <w:bodyDiv w:val="1"/>
      <w:marLeft w:val="0"/>
      <w:marRight w:val="0"/>
      <w:marTop w:val="0"/>
      <w:marBottom w:val="0"/>
      <w:divBdr>
        <w:top w:val="none" w:sz="0" w:space="0" w:color="auto"/>
        <w:left w:val="none" w:sz="0" w:space="0" w:color="auto"/>
        <w:bottom w:val="none" w:sz="0" w:space="0" w:color="auto"/>
        <w:right w:val="none" w:sz="0" w:space="0" w:color="auto"/>
      </w:divBdr>
    </w:div>
    <w:div w:id="1935624653">
      <w:bodyDiv w:val="1"/>
      <w:marLeft w:val="0"/>
      <w:marRight w:val="0"/>
      <w:marTop w:val="0"/>
      <w:marBottom w:val="0"/>
      <w:divBdr>
        <w:top w:val="none" w:sz="0" w:space="0" w:color="auto"/>
        <w:left w:val="none" w:sz="0" w:space="0" w:color="auto"/>
        <w:bottom w:val="none" w:sz="0" w:space="0" w:color="auto"/>
        <w:right w:val="none" w:sz="0" w:space="0" w:color="auto"/>
      </w:divBdr>
    </w:div>
    <w:div w:id="2009406916">
      <w:bodyDiv w:val="1"/>
      <w:marLeft w:val="0"/>
      <w:marRight w:val="0"/>
      <w:marTop w:val="0"/>
      <w:marBottom w:val="0"/>
      <w:divBdr>
        <w:top w:val="none" w:sz="0" w:space="0" w:color="auto"/>
        <w:left w:val="none" w:sz="0" w:space="0" w:color="auto"/>
        <w:bottom w:val="none" w:sz="0" w:space="0" w:color="auto"/>
        <w:right w:val="none" w:sz="0" w:space="0" w:color="auto"/>
      </w:divBdr>
    </w:div>
    <w:div w:id="2026905753">
      <w:bodyDiv w:val="1"/>
      <w:marLeft w:val="0"/>
      <w:marRight w:val="0"/>
      <w:marTop w:val="0"/>
      <w:marBottom w:val="0"/>
      <w:divBdr>
        <w:top w:val="none" w:sz="0" w:space="0" w:color="auto"/>
        <w:left w:val="none" w:sz="0" w:space="0" w:color="auto"/>
        <w:bottom w:val="none" w:sz="0" w:space="0" w:color="auto"/>
        <w:right w:val="none" w:sz="0" w:space="0" w:color="auto"/>
      </w:divBdr>
    </w:div>
    <w:div w:id="2061123991">
      <w:bodyDiv w:val="1"/>
      <w:marLeft w:val="0"/>
      <w:marRight w:val="0"/>
      <w:marTop w:val="0"/>
      <w:marBottom w:val="0"/>
      <w:divBdr>
        <w:top w:val="none" w:sz="0" w:space="0" w:color="auto"/>
        <w:left w:val="none" w:sz="0" w:space="0" w:color="auto"/>
        <w:bottom w:val="none" w:sz="0" w:space="0" w:color="auto"/>
        <w:right w:val="none" w:sz="0" w:space="0" w:color="auto"/>
      </w:divBdr>
    </w:div>
    <w:div w:id="2064790992">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595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national-security-vetting-privacy-not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350199">
          <w:r w:rsidRPr="0069507A">
            <w:rPr>
              <w:rStyle w:val="PlaceholderText"/>
            </w:rPr>
            <w:t>[Title]</w:t>
          </w:r>
        </w:p>
      </w:docPartBody>
    </w:docPart>
    <w:docPart>
      <w:docPartPr>
        <w:name w:val="2FE46D31B83E42DDB8FD7AF27B9F2FEE"/>
        <w:category>
          <w:name w:val="General"/>
          <w:gallery w:val="placeholder"/>
        </w:category>
        <w:types>
          <w:type w:val="bbPlcHdr"/>
        </w:types>
        <w:behaviors>
          <w:behavior w:val="content"/>
        </w:behaviors>
        <w:guid w:val="{72B30EDB-11F1-41CA-A61C-F8D1B389A412}"/>
      </w:docPartPr>
      <w:docPartBody>
        <w:p w:rsidR="00EC3E01" w:rsidRDefault="00724FCA" w:rsidP="00724FCA">
          <w:pPr>
            <w:pStyle w:val="2FE46D31B83E42DDB8FD7AF27B9F2FEE"/>
          </w:pPr>
          <w:r w:rsidRPr="0069507A">
            <w:rPr>
              <w:rStyle w:val="PlaceholderText"/>
            </w:rPr>
            <w:t>[Title]</w:t>
          </w:r>
        </w:p>
      </w:docPartBody>
    </w:docPart>
    <w:docPart>
      <w:docPartPr>
        <w:name w:val="3D8D662170E646488E9C9E4428A691FF"/>
        <w:category>
          <w:name w:val="General"/>
          <w:gallery w:val="placeholder"/>
        </w:category>
        <w:types>
          <w:type w:val="bbPlcHdr"/>
        </w:types>
        <w:behaviors>
          <w:behavior w:val="content"/>
        </w:behaviors>
        <w:guid w:val="{522CBBB2-19A6-4DE9-A1DC-20F5ECA029CF}"/>
      </w:docPartPr>
      <w:docPartBody>
        <w:p w:rsidR="003A069D" w:rsidRDefault="00FE3C22">
          <w:r w:rsidRPr="000765C1">
            <w:rPr>
              <w:rStyle w:val="PlaceholderText"/>
            </w:rPr>
            <w:t>[Status]</w:t>
          </w:r>
        </w:p>
      </w:docPartBody>
    </w:docPart>
    <w:docPart>
      <w:docPartPr>
        <w:name w:val="D044F5260AFB457FB99A5E2250026868"/>
        <w:category>
          <w:name w:val="General"/>
          <w:gallery w:val="placeholder"/>
        </w:category>
        <w:types>
          <w:type w:val="bbPlcHdr"/>
        </w:types>
        <w:behaviors>
          <w:behavior w:val="content"/>
        </w:behaviors>
        <w:guid w:val="{F515C626-BC2D-47BE-8D41-53F5A073FA49}"/>
      </w:docPartPr>
      <w:docPartBody>
        <w:p w:rsidR="003A069D" w:rsidRDefault="00FE3C22">
          <w:r w:rsidRPr="000765C1">
            <w:rPr>
              <w:rStyle w:val="PlaceholderText"/>
            </w:rPr>
            <w:t>[Title]</w:t>
          </w:r>
        </w:p>
      </w:docPartBody>
    </w:docPart>
    <w:docPart>
      <w:docPartPr>
        <w:name w:val="0D48D2235C144BE79D72C783221DC618"/>
        <w:category>
          <w:name w:val="General"/>
          <w:gallery w:val="placeholder"/>
        </w:category>
        <w:types>
          <w:type w:val="bbPlcHdr"/>
        </w:types>
        <w:behaviors>
          <w:behavior w:val="content"/>
        </w:behaviors>
        <w:guid w:val="{5EC88ED1-BE5D-448E-82AE-4A9483C185FF}"/>
      </w:docPartPr>
      <w:docPartBody>
        <w:p w:rsidR="003A069D" w:rsidRDefault="00FE3C22" w:rsidP="00FE3C22">
          <w:pPr>
            <w:pStyle w:val="0D48D2235C144BE79D72C783221DC618"/>
          </w:pPr>
          <w:r w:rsidRPr="000765C1">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350199"/>
    <w:rsid w:val="003A069D"/>
    <w:rsid w:val="00414F84"/>
    <w:rsid w:val="0041719E"/>
    <w:rsid w:val="004C3699"/>
    <w:rsid w:val="00724FCA"/>
    <w:rsid w:val="00A031C4"/>
    <w:rsid w:val="00B15879"/>
    <w:rsid w:val="00CB0473"/>
    <w:rsid w:val="00DD7BA4"/>
    <w:rsid w:val="00E318CE"/>
    <w:rsid w:val="00E63335"/>
    <w:rsid w:val="00E646E1"/>
    <w:rsid w:val="00EC3E01"/>
    <w:rsid w:val="00F41AE2"/>
    <w:rsid w:val="00FE3C2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3C22"/>
    <w:rPr>
      <w:color w:val="808080"/>
    </w:rPr>
  </w:style>
  <w:style w:type="paragraph" w:customStyle="1" w:styleId="2FE46D31B83E42DDB8FD7AF27B9F2FEE">
    <w:name w:val="2FE46D31B83E42DDB8FD7AF27B9F2FEE"/>
    <w:rsid w:val="00724FCA"/>
    <w:rPr>
      <w:kern w:val="2"/>
      <w14:ligatures w14:val="standardContextual"/>
    </w:rPr>
  </w:style>
  <w:style w:type="paragraph" w:customStyle="1" w:styleId="0D48D2235C144BE79D72C783221DC618">
    <w:name w:val="0D48D2235C144BE79D72C783221DC618"/>
    <w:rsid w:val="00FE3C22"/>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HMG233</b:Tag>
    <b:SourceType>InternetSite</b:SourceType>
    <b:Guid>{0B3F17F1-BCD7-4C36-9905-6687110184C2}</b:Guid>
    <b:Author>
      <b:Author>
        <b:Corporate>HM Government</b:Corporate>
      </b:Author>
    </b:Author>
    <b:Title>Government Security Classifications Policy</b:Title>
    <b:Year>2024</b:Year>
    <b:Month>August</b:Month>
    <b:Day>5</b:Day>
    <b:URL>https://www.gov.uk/government/publications/government-security-classifications/government-security-classifications-policy-html</b:URL>
    <b:RefOrder>2</b:RefOrder>
  </b:Source>
  <b:Source>
    <b:Tag>HMG15</b:Tag>
    <b:SourceType>InternetSite</b:SourceType>
    <b:Guid>{FD260879-8DDA-4824-BF56-87200322BC84}</b:Guid>
    <b:Author>
      <b:Author>
        <b:Corporate>HM Government</b:Corporate>
      </b:Author>
    </b:Author>
    <b:Title>Government Functional Standard GovS 007: Security</b:Title>
    <b:Year>2021</b:Year>
    <b:URL>https://www.gov.uk/government/publications/government-functional-standard-govs-007-security</b:URL>
    <b:Month>September</b:Month>
    <b:Day>13</b:Day>
    <b:RefOrder>3</b:RefOrder>
  </b:Source>
  <b:Source>
    <b:Tag>HMG031</b:Tag>
    <b:SourceType>InternetSite</b:SourceType>
    <b:Guid>{0224BCD8-DD88-404A-94EB-E0C87774A48B}</b:Guid>
    <b:Author>
      <b:Author>
        <b:Corporate>HM Government</b:Corporate>
      </b:Author>
    </b:Author>
    <b:Title>The Nuclear Industries Security Regulations 2003</b:Title>
    <b:Year>2003</b:Year>
    <b:URL>https://www.legislation.gov.uk/uksi/2003/403/contents/made</b:URL>
    <b:RefOrder>1</b:RefOrder>
  </b:Source>
  <b:Source>
    <b:Tag>HMG34</b:Tag>
    <b:SourceType>InternetSite</b:SourceType>
    <b:Guid>{C92D5966-177D-4E08-A9CF-EFB97DF9AD1C}</b:Guid>
    <b:Author>
      <b:Author>
        <b:Corporate>HM Government</b:Corporate>
      </b:Author>
    </b:Author>
    <b:Title>Anti-terrorism, Crime and Security Act 2001</b:Title>
    <b:URL>https://www.legislation.gov.uk/ukpga/2001/24/contents</b:URL>
    <b:Year>2001</b:Year>
    <b:RefOrder>4</b:RefOrder>
  </b:Source>
  <b:Source>
    <b:Tag>HMG142</b:Tag>
    <b:SourceType>InternetSite</b:SourceType>
    <b:Guid>{1F4E9D80-ADF4-48BE-B6AD-52CBA497A383}</b:Guid>
    <b:Author>
      <b:Author>
        <b:Corporate>HM Government</b:Corporate>
      </b:Author>
    </b:Author>
    <b:Title>Energy Act 2013</b:Title>
    <b:Year>2013</b:Year>
    <b:URL>https://www.legislation.gov.uk/ukpga/2013/32/contents</b:URL>
    <b:RefOrder>5</b:RefOrder>
  </b:Source>
  <b:Source>
    <b:Tag>ONR173</b:Tag>
    <b:SourceType>DocumentFromInternetSite</b:SourceType>
    <b:Guid>{ADC2EB8D-B5A8-48EF-8437-54BFB16030D6}</b:Guid>
    <b:Title>Security Assessment Principles (SyAPs) for the Civil Nuclear Industry (Version 1)</b:Title>
    <b:Year>2022</b:Year>
    <b:Author>
      <b:Author>
        <b:Corporate>ONR</b:Corporate>
      </b:Author>
    </b:Author>
    <b:URL>https://www.onr.org.uk/media/g05fszjn/security-assessment-principles.pdf</b:URL>
    <b:RefOrder>6</b:RefOrder>
  </b:Source>
  <b:Source>
    <b:Tag>ONR224</b:Tag>
    <b:SourceType>ElectronicSource</b:SourceType>
    <b:Guid>{A71B2D85-F0E8-4582-877A-2B681E68431A}</b:Guid>
    <b:Author>
      <b:Author>
        <b:Corporate>ONR</b:Corporate>
      </b:Author>
    </b:Author>
    <b:Title>CNS-TAST-GD-6.1 - Target Identification for Theft</b:Title>
    <b:RefOrder>11</b:RefOrder>
  </b:Source>
  <b:Source>
    <b:Tag>ONR228</b:Tag>
    <b:SourceType>ElectronicSource</b:SourceType>
    <b:Guid>{24F696F6-F4B0-4DF9-82CC-B833F881A2C4}</b:Guid>
    <b:Author>
      <b:Author>
        <b:Corporate>ONR</b:Corporate>
      </b:Author>
    </b:Author>
    <b:Title>CNS-TAST-GD-6.2 - Categorisation for Sabotage</b:Title>
    <b:RefOrder>10</b:RefOrder>
  </b:Source>
  <b:Source>
    <b:Tag>HMG247</b:Tag>
    <b:SourceType>DocumentFromInternetSite</b:SourceType>
    <b:Guid>{A075EED7-D185-4443-BB94-07BC827F2B4E}</b:Guid>
    <b:Title>Guidance 1.5 - Considerations for Security Advisors</b:Title>
    <b:Year>2024</b:Year>
    <b:Month>August</b:Month>
    <b:Day>5</b:Day>
    <b:URL>https://assets.publishing.service.gov.uk/media/66a3799cab418ab055592db8/Guidance_1.5__Considerations_for_Security_Advisors_2024.docx__2_.pdf</b:URL>
    <b:Author>
      <b:Author>
        <b:Corporate>HM Government</b:Corporate>
      </b:Author>
    </b:Author>
    <b:RefOrder>7</b:RefOrder>
  </b:Source>
  <b:Source>
    <b:Tag>CCS23</b:Tag>
    <b:SourceType>Book</b:SourceType>
    <b:Guid>{A0FA17F6-0671-4FEA-9850-3FE74E756F67}</b:Guid>
    <b:Title>The Collaboration On Gas Centrifuge Technology – Handbook On Security Of Classified Information</b:Title>
    <b:Year>2023</b:Year>
    <b:Author>
      <b:Author>
        <b:Corporate>CCSWG</b:Corporate>
      </b:Author>
    </b:Author>
    <b:RefOrder>8</b:RefOrder>
  </b:Source>
  <b:Source>
    <b:Tag>ONR519</b:Tag>
    <b:SourceType>InternetSite</b:SourceType>
    <b:Guid>{BE7F0304-672E-4E08-A2F5-CE280E9B0E3A}</b:Guid>
    <b:Title>Notify ONR</b:Title>
    <b:Author>
      <b:Author>
        <b:Corporate>ONR</b:Corporate>
      </b:Author>
    </b:Author>
    <b:URL>https://www.onr.org.uk/notify-onr.htm</b:URL>
    <b:RefOrder>9</b:RefOrder>
  </b:Source>
  <b:Source>
    <b:Tag>htt4</b:Tag>
    <b:SourceType>DocumentFromInternetSite</b:SourceType>
    <b:Guid>{F2687ABC-BF58-499F-86C8-A22C86C8FD07}</b:Guid>
    <b:URL>https://www.onr.org.uk/operational/other/cnss-sec-gd-001.pdf</b:URL>
    <b:Author>
      <b:Author>
        <b:Corporate>ONR</b:Corporate>
      </b:Author>
    </b:Author>
    <b:Title>CNSS-SEC-GD-001 - Nuclear Transport Security Guidance for Class B Approved Carriers’ </b:Title>
    <b:Year>2024</b:Year>
    <b:Month>March</b:Month>
    <b:RefOrder>12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7202EA8-9CBB-4907-B1AC-C02AAC081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31</Pages>
  <Words>7239</Words>
  <Characters>44955</Characters>
  <Application>Microsoft Office Word</Application>
  <DocSecurity>4</DocSecurity>
  <Lines>1284</Lines>
  <Paragraphs>593</Paragraphs>
  <ScaleCrop>false</ScaleCrop>
  <HeadingPairs>
    <vt:vector size="2" baseType="variant">
      <vt:variant>
        <vt:lpstr>Title</vt:lpstr>
      </vt:variant>
      <vt:variant>
        <vt:i4>1</vt:i4>
      </vt:variant>
    </vt:vector>
  </HeadingPairs>
  <TitlesOfParts>
    <vt:vector size="1" baseType="lpstr">
      <vt:lpstr>The Nuclear Industries Security Regulations 2003 classification policy for the civil nuclear industry</vt:lpstr>
    </vt:vector>
  </TitlesOfParts>
  <Manager>Office for Nuclear Regulation</Manager>
  <Company>Office for Nuclear Regulation</Company>
  <LinksUpToDate>false</LinksUpToDate>
  <CharactersWithSpaces>51601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Nuclear Industries Security Regulations 2003: Classification policy for the civil nuclear industry</dc:title>
  <dc:subject>[Subtitle or description]</dc:subject>
  <dc:creator>Liam Dunning</dc:creator>
  <cp:keywords>[Key words separated by commas]</cp:keywords>
  <dc:description/>
  <cp:lastModifiedBy>Steve McCabe</cp:lastModifiedBy>
  <cp:revision>2</cp:revision>
  <cp:lastPrinted>2016-11-28T11:35:00Z</cp:lastPrinted>
  <dcterms:created xsi:type="dcterms:W3CDTF">2024-10-22T12:02:00Z</dcterms:created>
  <dcterms:modified xsi:type="dcterms:W3CDTF">2024-10-22T12:02:00Z</dcterms:modified>
  <cp:contentStatus>9</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