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ACDC05" w14:textId="21BDA049" w:rsidR="00246F90" w:rsidRDefault="002052CA">
      <w:pPr>
        <w:spacing w:after="0"/>
      </w:pPr>
      <w:bookmarkStart w:id="0" w:name="_Toc466022543"/>
      <w:r>
        <w:rPr>
          <w:noProof/>
        </w:rPr>
        <w:drawing>
          <wp:anchor distT="0" distB="0" distL="114300" distR="114300" simplePos="0" relativeHeight="251658240" behindDoc="1" locked="0" layoutInCell="1" allowOverlap="1" wp14:anchorId="629E4DDB" wp14:editId="36D9096A">
            <wp:simplePos x="0" y="0"/>
            <wp:positionH relativeFrom="page">
              <wp:align>right</wp:align>
            </wp:positionH>
            <wp:positionV relativeFrom="page">
              <wp:posOffset>-1007</wp:posOffset>
            </wp:positionV>
            <wp:extent cx="7567930" cy="4757420"/>
            <wp:effectExtent l="0" t="0" r="0" b="5080"/>
            <wp:wrapNone/>
            <wp:docPr id="1" name="Pictur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8"/>
                    <a:srcRect b="55501"/>
                    <a:stretch>
                      <a:fillRect/>
                    </a:stretch>
                  </pic:blipFill>
                  <pic:spPr>
                    <a:xfrm>
                      <a:off x="0" y="0"/>
                      <a:ext cx="7567930" cy="4757420"/>
                    </a:xfrm>
                    <a:prstGeom prst="rect">
                      <a:avLst/>
                    </a:prstGeom>
                    <a:noFill/>
                    <a:ln>
                      <a:noFill/>
                      <a:prstDash/>
                    </a:ln>
                  </pic:spPr>
                </pic:pic>
              </a:graphicData>
            </a:graphic>
          </wp:anchor>
        </w:drawing>
      </w:r>
    </w:p>
    <w:p w14:paraId="24816763" w14:textId="6A38A0E1" w:rsidR="00246F90" w:rsidRDefault="00246F90">
      <w:pPr>
        <w:spacing w:after="0"/>
      </w:pPr>
    </w:p>
    <w:p w14:paraId="136803F4" w14:textId="25D1CDD7" w:rsidR="00246F90" w:rsidRDefault="00246F90">
      <w:pPr>
        <w:spacing w:after="0"/>
      </w:pPr>
    </w:p>
    <w:p w14:paraId="186C69F4" w14:textId="7FAE2390" w:rsidR="00246F90" w:rsidRDefault="00246F90">
      <w:pPr>
        <w:spacing w:after="0"/>
      </w:pPr>
    </w:p>
    <w:p w14:paraId="122985F8" w14:textId="6742FAF0" w:rsidR="00246F90" w:rsidRDefault="0038477E">
      <w:pPr>
        <w:spacing w:after="0"/>
      </w:pPr>
      <w:r>
        <w:rPr>
          <w:noProof/>
        </w:rPr>
        <w:drawing>
          <wp:anchor distT="0" distB="0" distL="114300" distR="114300" simplePos="0" relativeHeight="251658241" behindDoc="0" locked="0" layoutInCell="1" allowOverlap="1" wp14:anchorId="7F527479" wp14:editId="49EF9D10">
            <wp:simplePos x="0" y="0"/>
            <wp:positionH relativeFrom="page">
              <wp:posOffset>-1125127</wp:posOffset>
            </wp:positionH>
            <wp:positionV relativeFrom="paragraph">
              <wp:posOffset>2564863</wp:posOffset>
            </wp:positionV>
            <wp:extent cx="9287481" cy="6481298"/>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rotWithShape="1">
                    <a:blip r:embed="rId9" cstate="print">
                      <a:extLst>
                        <a:ext uri="{28A0092B-C50C-407E-A947-70E740481C1C}">
                          <a14:useLocalDpi xmlns:a14="http://schemas.microsoft.com/office/drawing/2010/main" val="0"/>
                        </a:ext>
                      </a:extLst>
                    </a:blip>
                    <a:srcRect l="7422" t="8041" r="-7422" b="9475"/>
                    <a:stretch/>
                  </pic:blipFill>
                  <pic:spPr bwMode="auto">
                    <a:xfrm>
                      <a:off x="0" y="0"/>
                      <a:ext cx="9287481" cy="648129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052CA">
        <w:rPr>
          <w:noProof/>
        </w:rPr>
        <mc:AlternateContent>
          <mc:Choice Requires="wps">
            <w:drawing>
              <wp:inline distT="0" distB="0" distL="0" distR="0" wp14:anchorId="465AD975" wp14:editId="0FA1AC3F">
                <wp:extent cx="5639879" cy="1477736"/>
                <wp:effectExtent l="19050" t="19050" r="18415" b="27305"/>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9879" cy="1477736"/>
                        </a:xfrm>
                        <a:prstGeom prst="rect">
                          <a:avLst/>
                        </a:prstGeom>
                        <a:solidFill>
                          <a:srgbClr val="FFFFFF"/>
                        </a:solidFill>
                        <a:ln w="38100">
                          <a:solidFill>
                            <a:srgbClr val="07716C"/>
                          </a:solidFill>
                          <a:miter lim="800000"/>
                          <a:headEnd/>
                          <a:tailEnd/>
                        </a:ln>
                      </wps:spPr>
                      <wps:txbx>
                        <w:txbxContent>
                          <w:p w14:paraId="4883EB1C" w14:textId="7EDB9FC8" w:rsidR="002052CA" w:rsidRPr="002052CA" w:rsidRDefault="002052CA" w:rsidP="002052CA">
                            <w:pPr>
                              <w:spacing w:after="0" w:line="252" w:lineRule="auto"/>
                              <w:rPr>
                                <w:color w:val="07716C"/>
                                <w:sz w:val="80"/>
                                <w:szCs w:val="80"/>
                              </w:rPr>
                            </w:pPr>
                            <w:r w:rsidRPr="002052CA">
                              <w:rPr>
                                <w:color w:val="07716C"/>
                                <w:sz w:val="80"/>
                                <w:szCs w:val="80"/>
                              </w:rPr>
                              <w:t>Safeguards Annual Report 202</w:t>
                            </w:r>
                            <w:r w:rsidR="00DD2570">
                              <w:rPr>
                                <w:color w:val="07716C"/>
                                <w:sz w:val="80"/>
                                <w:szCs w:val="80"/>
                              </w:rPr>
                              <w:t>4</w:t>
                            </w:r>
                          </w:p>
                        </w:txbxContent>
                      </wps:txbx>
                      <wps:bodyPr rot="0" vert="horz" wrap="square" lIns="91440" tIns="45720" rIns="91440" bIns="45720" anchor="ctr" anchorCtr="0">
                        <a:noAutofit/>
                      </wps:bodyPr>
                    </wps:wsp>
                  </a:graphicData>
                </a:graphic>
              </wp:inline>
            </w:drawing>
          </mc:Choice>
          <mc:Fallback>
            <w:pict>
              <v:shapetype w14:anchorId="465AD975" id="_x0000_t202" coordsize="21600,21600" o:spt="202" path="m,l,21600r21600,l21600,xe">
                <v:stroke joinstyle="miter"/>
                <v:path gradientshapeok="t" o:connecttype="rect"/>
              </v:shapetype>
              <v:shape id="Text Box 2" o:spid="_x0000_s1026" type="#_x0000_t202" style="width:444.1pt;height:116.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" strokecolor="#07716c" strokeweight="3pt">
                <v:textbox>
                  <w:txbxContent>
                    <w:p w14:paraId="4883EB1C" w14:textId="7EDB9FC8" w:rsidR="002052CA" w:rsidRPr="002052CA" w:rsidRDefault="002052CA" w:rsidP="002052CA">
                      <w:pPr>
                        <w:spacing w:after="0" w:line="252" w:lineRule="auto"/>
                        <w:rPr>
                          <w:color w:val="07716C"/>
                          <w:sz w:val="80"/>
                          <w:szCs w:val="80"/>
                        </w:rPr>
                      </w:pPr>
                      <w:r w:rsidRPr="002052CA">
                        <w:rPr>
                          <w:color w:val="07716C"/>
                          <w:sz w:val="80"/>
                          <w:szCs w:val="80"/>
                        </w:rPr>
                        <w:t>Safeguards Annual Report 202</w:t>
                      </w:r>
                      <w:r w:rsidR="00DD2570">
                        <w:rPr>
                          <w:color w:val="07716C"/>
                          <w:sz w:val="80"/>
                          <w:szCs w:val="80"/>
                        </w:rPr>
                        <w:t>4</w:t>
                      </w:r>
                    </w:p>
                  </w:txbxContent>
                </v:textbox>
                <w10:anchorlock/>
              </v:shape>
            </w:pict>
          </mc:Fallback>
        </mc:AlternateContent>
      </w:r>
    </w:p>
    <w:p w14:paraId="5E0523C7" w14:textId="77777777" w:rsidR="00246F90" w:rsidRDefault="00246F90">
      <w:pPr>
        <w:pageBreakBefore/>
        <w:spacing w:after="0"/>
      </w:pPr>
    </w:p>
    <w:p w14:paraId="19B78827" w14:textId="77777777" w:rsidR="00014F43" w:rsidRDefault="00014F43"/>
    <w:p w14:paraId="5AE8E865" w14:textId="77777777" w:rsidR="00257DEC" w:rsidRDefault="00257DEC"/>
    <w:p w14:paraId="0ABCA5D8" w14:textId="77777777" w:rsidR="00257DEC" w:rsidRDefault="00257DEC"/>
    <w:p w14:paraId="7C35565D" w14:textId="77777777" w:rsidR="00257DEC" w:rsidRDefault="00257DEC"/>
    <w:p w14:paraId="041088F3" w14:textId="77777777" w:rsidR="00257DEC" w:rsidRDefault="00257DEC"/>
    <w:p w14:paraId="21D7C420" w14:textId="77777777" w:rsidR="00257DEC" w:rsidRDefault="00257DEC"/>
    <w:p w14:paraId="3C4C690E" w14:textId="6C039079" w:rsidR="00257DEC" w:rsidRDefault="00257DEC">
      <w:pPr>
        <w:rPr>
          <w:color w:val="07716C"/>
          <w:sz w:val="60"/>
          <w:szCs w:val="60"/>
        </w:rPr>
      </w:pPr>
      <w:r w:rsidRPr="00257DEC">
        <w:rPr>
          <w:color w:val="07716C"/>
          <w:sz w:val="60"/>
          <w:szCs w:val="60"/>
        </w:rPr>
        <w:t>Safeguards Annual Report 202</w:t>
      </w:r>
      <w:r w:rsidR="00DD2570">
        <w:rPr>
          <w:color w:val="07716C"/>
          <w:sz w:val="60"/>
          <w:szCs w:val="60"/>
        </w:rPr>
        <w:t>4</w:t>
      </w:r>
    </w:p>
    <w:p w14:paraId="744EB6C8" w14:textId="0AC718BC" w:rsidR="00257DEC" w:rsidRDefault="00257DEC">
      <w:pPr>
        <w:suppressAutoHyphens w:val="0"/>
        <w:spacing w:after="0" w:line="240" w:lineRule="auto"/>
        <w:rPr>
          <w:color w:val="07716C"/>
          <w:sz w:val="60"/>
          <w:szCs w:val="60"/>
        </w:rPr>
      </w:pPr>
      <w:r>
        <w:rPr>
          <w:color w:val="07716C"/>
          <w:sz w:val="60"/>
          <w:szCs w:val="60"/>
        </w:rPr>
        <w:br w:type="page"/>
      </w:r>
    </w:p>
    <w:p w14:paraId="4FC5E9D6" w14:textId="77777777" w:rsidR="00246F90" w:rsidRDefault="00457D9D">
      <w:pPr>
        <w:pStyle w:val="ContentsHeading"/>
      </w:pPr>
      <w:r>
        <w:lastRenderedPageBreak/>
        <w:t>Contents</w:t>
      </w:r>
    </w:p>
    <w:p w14:paraId="6B127448" w14:textId="460D1DCD" w:rsidR="0034432C" w:rsidRDefault="00457D9D">
      <w:pPr>
        <w:pStyle w:val="TOC1"/>
        <w:rPr>
          <w:rFonts w:asciiTheme="minorHAnsi" w:eastAsiaTheme="minorEastAsia" w:hAnsiTheme="minorHAnsi" w:cstheme="minorBidi"/>
          <w:noProof/>
          <w:kern w:val="2"/>
          <w:sz w:val="22"/>
          <w:lang w:eastAsia="en-GB" w:bidi="ar-SA"/>
          <w14:ligatures w14:val="standardContextual"/>
        </w:rPr>
      </w:pPr>
      <w:r>
        <w:rPr>
          <w:color w:val="22413A"/>
          <w:sz w:val="48"/>
          <w:szCs w:val="48"/>
        </w:rPr>
        <w:fldChar w:fldCharType="begin"/>
      </w:r>
      <w:r>
        <w:instrText xml:space="preserve"> TOC \t "Heading 1,1,Heading 2,2" \h </w:instrText>
      </w:r>
      <w:r>
        <w:rPr>
          <w:color w:val="22413A"/>
          <w:sz w:val="48"/>
          <w:szCs w:val="48"/>
        </w:rPr>
        <w:fldChar w:fldCharType="separate"/>
      </w:r>
      <w:hyperlink w:anchor="_Toc185234893" w:history="1">
        <w:r w:rsidR="0034432C" w:rsidRPr="00B109DF">
          <w:rPr>
            <w:rStyle w:val="Hyperlink"/>
            <w:noProof/>
          </w:rPr>
          <w:t>Introduction</w:t>
        </w:r>
        <w:r w:rsidR="0034432C">
          <w:rPr>
            <w:noProof/>
          </w:rPr>
          <w:tab/>
        </w:r>
        <w:r w:rsidR="0034432C">
          <w:rPr>
            <w:noProof/>
          </w:rPr>
          <w:fldChar w:fldCharType="begin"/>
        </w:r>
        <w:r w:rsidR="0034432C">
          <w:rPr>
            <w:noProof/>
          </w:rPr>
          <w:instrText xml:space="preserve"> PAGEREF _Toc185234893 \h </w:instrText>
        </w:r>
        <w:r w:rsidR="0034432C">
          <w:rPr>
            <w:noProof/>
          </w:rPr>
        </w:r>
        <w:r w:rsidR="0034432C">
          <w:rPr>
            <w:noProof/>
          </w:rPr>
          <w:fldChar w:fldCharType="separate"/>
        </w:r>
        <w:r w:rsidR="00686379">
          <w:rPr>
            <w:noProof/>
          </w:rPr>
          <w:t>1</w:t>
        </w:r>
        <w:r w:rsidR="0034432C">
          <w:rPr>
            <w:noProof/>
          </w:rPr>
          <w:fldChar w:fldCharType="end"/>
        </w:r>
      </w:hyperlink>
    </w:p>
    <w:p w14:paraId="3E03E165" w14:textId="7D2D3497" w:rsidR="0034432C" w:rsidRDefault="00000000">
      <w:pPr>
        <w:pStyle w:val="TOC1"/>
        <w:rPr>
          <w:rFonts w:asciiTheme="minorHAnsi" w:eastAsiaTheme="minorEastAsia" w:hAnsiTheme="minorHAnsi" w:cstheme="minorBidi"/>
          <w:noProof/>
          <w:kern w:val="2"/>
          <w:sz w:val="22"/>
          <w:lang w:eastAsia="en-GB" w:bidi="ar-SA"/>
          <w14:ligatures w14:val="standardContextual"/>
        </w:rPr>
      </w:pPr>
      <w:hyperlink w:anchor="_Toc185234894" w:history="1">
        <w:r w:rsidR="0034432C" w:rsidRPr="00B109DF">
          <w:rPr>
            <w:rStyle w:val="Hyperlink"/>
            <w:noProof/>
          </w:rPr>
          <w:t>Regulatory activities</w:t>
        </w:r>
        <w:r w:rsidR="0034432C">
          <w:rPr>
            <w:noProof/>
          </w:rPr>
          <w:tab/>
        </w:r>
        <w:r w:rsidR="0034432C">
          <w:rPr>
            <w:noProof/>
          </w:rPr>
          <w:fldChar w:fldCharType="begin"/>
        </w:r>
        <w:r w:rsidR="0034432C">
          <w:rPr>
            <w:noProof/>
          </w:rPr>
          <w:instrText xml:space="preserve"> PAGEREF _Toc185234894 \h </w:instrText>
        </w:r>
        <w:r w:rsidR="0034432C">
          <w:rPr>
            <w:noProof/>
          </w:rPr>
        </w:r>
        <w:r w:rsidR="0034432C">
          <w:rPr>
            <w:noProof/>
          </w:rPr>
          <w:fldChar w:fldCharType="separate"/>
        </w:r>
        <w:r w:rsidR="00686379">
          <w:rPr>
            <w:noProof/>
          </w:rPr>
          <w:t>1</w:t>
        </w:r>
        <w:r w:rsidR="0034432C">
          <w:rPr>
            <w:noProof/>
          </w:rPr>
          <w:fldChar w:fldCharType="end"/>
        </w:r>
      </w:hyperlink>
    </w:p>
    <w:p w14:paraId="35EAC79E" w14:textId="36B9ABC0" w:rsidR="0034432C" w:rsidRDefault="00000000">
      <w:pPr>
        <w:pStyle w:val="TOC2"/>
        <w:rPr>
          <w:rFonts w:asciiTheme="minorHAnsi" w:eastAsiaTheme="minorEastAsia" w:hAnsiTheme="minorHAnsi" w:cstheme="minorBidi"/>
          <w:noProof/>
          <w:kern w:val="2"/>
          <w:sz w:val="22"/>
          <w:lang w:eastAsia="en-GB" w:bidi="ar-SA"/>
          <w14:ligatures w14:val="standardContextual"/>
        </w:rPr>
      </w:pPr>
      <w:hyperlink w:anchor="_Toc185234895" w:history="1">
        <w:r w:rsidR="0034432C" w:rsidRPr="00B109DF">
          <w:rPr>
            <w:rStyle w:val="Hyperlink"/>
            <w:noProof/>
          </w:rPr>
          <w:t>Inspection</w:t>
        </w:r>
        <w:r w:rsidR="0034432C">
          <w:rPr>
            <w:noProof/>
          </w:rPr>
          <w:tab/>
        </w:r>
        <w:r w:rsidR="0034432C">
          <w:rPr>
            <w:noProof/>
          </w:rPr>
          <w:fldChar w:fldCharType="begin"/>
        </w:r>
        <w:r w:rsidR="0034432C">
          <w:rPr>
            <w:noProof/>
          </w:rPr>
          <w:instrText xml:space="preserve"> PAGEREF _Toc185234895 \h </w:instrText>
        </w:r>
        <w:r w:rsidR="0034432C">
          <w:rPr>
            <w:noProof/>
          </w:rPr>
        </w:r>
        <w:r w:rsidR="0034432C">
          <w:rPr>
            <w:noProof/>
          </w:rPr>
          <w:fldChar w:fldCharType="separate"/>
        </w:r>
        <w:r w:rsidR="00686379">
          <w:rPr>
            <w:noProof/>
          </w:rPr>
          <w:t>2</w:t>
        </w:r>
        <w:r w:rsidR="0034432C">
          <w:rPr>
            <w:noProof/>
          </w:rPr>
          <w:fldChar w:fldCharType="end"/>
        </w:r>
      </w:hyperlink>
    </w:p>
    <w:p w14:paraId="0AF8CFC5" w14:textId="4375BFF9" w:rsidR="0034432C" w:rsidRDefault="00000000">
      <w:pPr>
        <w:pStyle w:val="TOC2"/>
        <w:rPr>
          <w:rFonts w:asciiTheme="minorHAnsi" w:eastAsiaTheme="minorEastAsia" w:hAnsiTheme="minorHAnsi" w:cstheme="minorBidi"/>
          <w:noProof/>
          <w:kern w:val="2"/>
          <w:sz w:val="22"/>
          <w:lang w:eastAsia="en-GB" w:bidi="ar-SA"/>
          <w14:ligatures w14:val="standardContextual"/>
        </w:rPr>
      </w:pPr>
      <w:hyperlink w:anchor="_Toc185234896" w:history="1">
        <w:r w:rsidR="0034432C" w:rsidRPr="00B109DF">
          <w:rPr>
            <w:rStyle w:val="Hyperlink"/>
            <w:noProof/>
          </w:rPr>
          <w:t>Assessment</w:t>
        </w:r>
        <w:r w:rsidR="0034432C">
          <w:rPr>
            <w:noProof/>
          </w:rPr>
          <w:tab/>
        </w:r>
        <w:r w:rsidR="0034432C">
          <w:rPr>
            <w:noProof/>
          </w:rPr>
          <w:fldChar w:fldCharType="begin"/>
        </w:r>
        <w:r w:rsidR="0034432C">
          <w:rPr>
            <w:noProof/>
          </w:rPr>
          <w:instrText xml:space="preserve"> PAGEREF _Toc185234896 \h </w:instrText>
        </w:r>
        <w:r w:rsidR="0034432C">
          <w:rPr>
            <w:noProof/>
          </w:rPr>
        </w:r>
        <w:r w:rsidR="0034432C">
          <w:rPr>
            <w:noProof/>
          </w:rPr>
          <w:fldChar w:fldCharType="separate"/>
        </w:r>
        <w:r w:rsidR="00686379">
          <w:rPr>
            <w:noProof/>
          </w:rPr>
          <w:t>2</w:t>
        </w:r>
        <w:r w:rsidR="0034432C">
          <w:rPr>
            <w:noProof/>
          </w:rPr>
          <w:fldChar w:fldCharType="end"/>
        </w:r>
      </w:hyperlink>
    </w:p>
    <w:p w14:paraId="0647641B" w14:textId="53965EB4" w:rsidR="0034432C" w:rsidRDefault="00000000">
      <w:pPr>
        <w:pStyle w:val="TOC2"/>
        <w:rPr>
          <w:rFonts w:asciiTheme="minorHAnsi" w:eastAsiaTheme="minorEastAsia" w:hAnsiTheme="minorHAnsi" w:cstheme="minorBidi"/>
          <w:noProof/>
          <w:kern w:val="2"/>
          <w:sz w:val="22"/>
          <w:lang w:eastAsia="en-GB" w:bidi="ar-SA"/>
          <w14:ligatures w14:val="standardContextual"/>
        </w:rPr>
      </w:pPr>
      <w:hyperlink w:anchor="_Toc185234897" w:history="1">
        <w:r w:rsidR="0034432C" w:rsidRPr="00B109DF">
          <w:rPr>
            <w:rStyle w:val="Hyperlink"/>
            <w:noProof/>
          </w:rPr>
          <w:t>Facilitation</w:t>
        </w:r>
        <w:r w:rsidR="0034432C">
          <w:rPr>
            <w:noProof/>
          </w:rPr>
          <w:tab/>
        </w:r>
        <w:r w:rsidR="0034432C">
          <w:rPr>
            <w:noProof/>
          </w:rPr>
          <w:fldChar w:fldCharType="begin"/>
        </w:r>
        <w:r w:rsidR="0034432C">
          <w:rPr>
            <w:noProof/>
          </w:rPr>
          <w:instrText xml:space="preserve"> PAGEREF _Toc185234897 \h </w:instrText>
        </w:r>
        <w:r w:rsidR="0034432C">
          <w:rPr>
            <w:noProof/>
          </w:rPr>
        </w:r>
        <w:r w:rsidR="0034432C">
          <w:rPr>
            <w:noProof/>
          </w:rPr>
          <w:fldChar w:fldCharType="separate"/>
        </w:r>
        <w:r w:rsidR="00686379">
          <w:rPr>
            <w:noProof/>
          </w:rPr>
          <w:t>3</w:t>
        </w:r>
        <w:r w:rsidR="0034432C">
          <w:rPr>
            <w:noProof/>
          </w:rPr>
          <w:fldChar w:fldCharType="end"/>
        </w:r>
      </w:hyperlink>
    </w:p>
    <w:p w14:paraId="7BD80160" w14:textId="2BF59456" w:rsidR="0034432C" w:rsidRDefault="00000000">
      <w:pPr>
        <w:pStyle w:val="TOC2"/>
        <w:rPr>
          <w:rFonts w:asciiTheme="minorHAnsi" w:eastAsiaTheme="minorEastAsia" w:hAnsiTheme="minorHAnsi" w:cstheme="minorBidi"/>
          <w:noProof/>
          <w:kern w:val="2"/>
          <w:sz w:val="22"/>
          <w:lang w:eastAsia="en-GB" w:bidi="ar-SA"/>
          <w14:ligatures w14:val="standardContextual"/>
        </w:rPr>
      </w:pPr>
      <w:hyperlink w:anchor="_Toc185234898" w:history="1">
        <w:r w:rsidR="0034432C" w:rsidRPr="00B109DF">
          <w:rPr>
            <w:rStyle w:val="Hyperlink"/>
            <w:noProof/>
          </w:rPr>
          <w:t>Reporting</w:t>
        </w:r>
        <w:r w:rsidR="0034432C">
          <w:rPr>
            <w:noProof/>
          </w:rPr>
          <w:tab/>
        </w:r>
        <w:r w:rsidR="0034432C">
          <w:rPr>
            <w:noProof/>
          </w:rPr>
          <w:fldChar w:fldCharType="begin"/>
        </w:r>
        <w:r w:rsidR="0034432C">
          <w:rPr>
            <w:noProof/>
          </w:rPr>
          <w:instrText xml:space="preserve"> PAGEREF _Toc185234898 \h </w:instrText>
        </w:r>
        <w:r w:rsidR="0034432C">
          <w:rPr>
            <w:noProof/>
          </w:rPr>
        </w:r>
        <w:r w:rsidR="0034432C">
          <w:rPr>
            <w:noProof/>
          </w:rPr>
          <w:fldChar w:fldCharType="separate"/>
        </w:r>
        <w:r w:rsidR="00686379">
          <w:rPr>
            <w:noProof/>
          </w:rPr>
          <w:t>4</w:t>
        </w:r>
        <w:r w:rsidR="0034432C">
          <w:rPr>
            <w:noProof/>
          </w:rPr>
          <w:fldChar w:fldCharType="end"/>
        </w:r>
      </w:hyperlink>
    </w:p>
    <w:p w14:paraId="28B9A81A" w14:textId="7F79633E" w:rsidR="0034432C" w:rsidRDefault="00000000">
      <w:pPr>
        <w:pStyle w:val="TOC2"/>
        <w:rPr>
          <w:rFonts w:asciiTheme="minorHAnsi" w:eastAsiaTheme="minorEastAsia" w:hAnsiTheme="minorHAnsi" w:cstheme="minorBidi"/>
          <w:noProof/>
          <w:kern w:val="2"/>
          <w:sz w:val="22"/>
          <w:lang w:eastAsia="en-GB" w:bidi="ar-SA"/>
          <w14:ligatures w14:val="standardContextual"/>
        </w:rPr>
      </w:pPr>
      <w:hyperlink w:anchor="_Toc185234899" w:history="1">
        <w:r w:rsidR="0034432C" w:rsidRPr="00B109DF">
          <w:rPr>
            <w:rStyle w:val="Hyperlink"/>
            <w:noProof/>
          </w:rPr>
          <w:t>Qualifying Nuclear Facilities with Limited Operation</w:t>
        </w:r>
        <w:r w:rsidR="0034432C">
          <w:rPr>
            <w:noProof/>
          </w:rPr>
          <w:tab/>
        </w:r>
        <w:r w:rsidR="0034432C">
          <w:rPr>
            <w:noProof/>
          </w:rPr>
          <w:fldChar w:fldCharType="begin"/>
        </w:r>
        <w:r w:rsidR="0034432C">
          <w:rPr>
            <w:noProof/>
          </w:rPr>
          <w:instrText xml:space="preserve"> PAGEREF _Toc185234899 \h </w:instrText>
        </w:r>
        <w:r w:rsidR="0034432C">
          <w:rPr>
            <w:noProof/>
          </w:rPr>
        </w:r>
        <w:r w:rsidR="0034432C">
          <w:rPr>
            <w:noProof/>
          </w:rPr>
          <w:fldChar w:fldCharType="separate"/>
        </w:r>
        <w:r w:rsidR="00686379">
          <w:rPr>
            <w:noProof/>
          </w:rPr>
          <w:t>5</w:t>
        </w:r>
        <w:r w:rsidR="0034432C">
          <w:rPr>
            <w:noProof/>
          </w:rPr>
          <w:fldChar w:fldCharType="end"/>
        </w:r>
      </w:hyperlink>
    </w:p>
    <w:p w14:paraId="7572BA65" w14:textId="52896F8E" w:rsidR="0034432C" w:rsidRDefault="00000000">
      <w:pPr>
        <w:pStyle w:val="TOC2"/>
        <w:rPr>
          <w:rFonts w:asciiTheme="minorHAnsi" w:eastAsiaTheme="minorEastAsia" w:hAnsiTheme="minorHAnsi" w:cstheme="minorBidi"/>
          <w:noProof/>
          <w:kern w:val="2"/>
          <w:sz w:val="22"/>
          <w:lang w:eastAsia="en-GB" w:bidi="ar-SA"/>
          <w14:ligatures w14:val="standardContextual"/>
        </w:rPr>
      </w:pPr>
      <w:hyperlink w:anchor="_Toc185234900" w:history="1">
        <w:r w:rsidR="0034432C" w:rsidRPr="00B109DF">
          <w:rPr>
            <w:rStyle w:val="Hyperlink"/>
            <w:noProof/>
          </w:rPr>
          <w:t>AUKUS</w:t>
        </w:r>
        <w:r w:rsidR="0034432C">
          <w:rPr>
            <w:noProof/>
          </w:rPr>
          <w:tab/>
        </w:r>
        <w:r w:rsidR="0034432C">
          <w:rPr>
            <w:noProof/>
          </w:rPr>
          <w:fldChar w:fldCharType="begin"/>
        </w:r>
        <w:r w:rsidR="0034432C">
          <w:rPr>
            <w:noProof/>
          </w:rPr>
          <w:instrText xml:space="preserve"> PAGEREF _Toc185234900 \h </w:instrText>
        </w:r>
        <w:r w:rsidR="0034432C">
          <w:rPr>
            <w:noProof/>
          </w:rPr>
        </w:r>
        <w:r w:rsidR="0034432C">
          <w:rPr>
            <w:noProof/>
          </w:rPr>
          <w:fldChar w:fldCharType="separate"/>
        </w:r>
        <w:r w:rsidR="00686379">
          <w:rPr>
            <w:noProof/>
          </w:rPr>
          <w:t>6</w:t>
        </w:r>
        <w:r w:rsidR="0034432C">
          <w:rPr>
            <w:noProof/>
          </w:rPr>
          <w:fldChar w:fldCharType="end"/>
        </w:r>
      </w:hyperlink>
    </w:p>
    <w:p w14:paraId="4D65A36F" w14:textId="1F1BB610" w:rsidR="0034432C" w:rsidRDefault="00000000">
      <w:pPr>
        <w:pStyle w:val="TOC2"/>
        <w:rPr>
          <w:rFonts w:asciiTheme="minorHAnsi" w:eastAsiaTheme="minorEastAsia" w:hAnsiTheme="minorHAnsi" w:cstheme="minorBidi"/>
          <w:noProof/>
          <w:kern w:val="2"/>
          <w:sz w:val="22"/>
          <w:lang w:eastAsia="en-GB" w:bidi="ar-SA"/>
          <w14:ligatures w14:val="standardContextual"/>
        </w:rPr>
      </w:pPr>
      <w:hyperlink w:anchor="_Toc185234901" w:history="1">
        <w:r w:rsidR="0034432C" w:rsidRPr="00B109DF">
          <w:rPr>
            <w:rStyle w:val="Hyperlink"/>
            <w:noProof/>
          </w:rPr>
          <w:t>Update of NSR19</w:t>
        </w:r>
        <w:r w:rsidR="0034432C">
          <w:rPr>
            <w:noProof/>
          </w:rPr>
          <w:tab/>
        </w:r>
        <w:r w:rsidR="0034432C">
          <w:rPr>
            <w:noProof/>
          </w:rPr>
          <w:fldChar w:fldCharType="begin"/>
        </w:r>
        <w:r w:rsidR="0034432C">
          <w:rPr>
            <w:noProof/>
          </w:rPr>
          <w:instrText xml:space="preserve"> PAGEREF _Toc185234901 \h </w:instrText>
        </w:r>
        <w:r w:rsidR="0034432C">
          <w:rPr>
            <w:noProof/>
          </w:rPr>
        </w:r>
        <w:r w:rsidR="0034432C">
          <w:rPr>
            <w:noProof/>
          </w:rPr>
          <w:fldChar w:fldCharType="separate"/>
        </w:r>
        <w:r w:rsidR="00686379">
          <w:rPr>
            <w:noProof/>
          </w:rPr>
          <w:t>6</w:t>
        </w:r>
        <w:r w:rsidR="0034432C">
          <w:rPr>
            <w:noProof/>
          </w:rPr>
          <w:fldChar w:fldCharType="end"/>
        </w:r>
      </w:hyperlink>
    </w:p>
    <w:p w14:paraId="4F3BC525" w14:textId="5B91CAB9" w:rsidR="0034432C" w:rsidRDefault="00000000">
      <w:pPr>
        <w:pStyle w:val="TOC2"/>
        <w:rPr>
          <w:rFonts w:asciiTheme="minorHAnsi" w:eastAsiaTheme="minorEastAsia" w:hAnsiTheme="minorHAnsi" w:cstheme="minorBidi"/>
          <w:noProof/>
          <w:kern w:val="2"/>
          <w:sz w:val="22"/>
          <w:lang w:eastAsia="en-GB" w:bidi="ar-SA"/>
          <w14:ligatures w14:val="standardContextual"/>
        </w:rPr>
      </w:pPr>
      <w:hyperlink w:anchor="_Toc185234902" w:history="1">
        <w:r w:rsidR="0034432C" w:rsidRPr="00B109DF">
          <w:rPr>
            <w:rStyle w:val="Hyperlink"/>
            <w:noProof/>
          </w:rPr>
          <w:t>Treaty of Tlatelolco</w:t>
        </w:r>
        <w:r w:rsidR="0034432C">
          <w:rPr>
            <w:noProof/>
          </w:rPr>
          <w:tab/>
        </w:r>
        <w:r w:rsidR="0034432C">
          <w:rPr>
            <w:noProof/>
          </w:rPr>
          <w:fldChar w:fldCharType="begin"/>
        </w:r>
        <w:r w:rsidR="0034432C">
          <w:rPr>
            <w:noProof/>
          </w:rPr>
          <w:instrText xml:space="preserve"> PAGEREF _Toc185234902 \h </w:instrText>
        </w:r>
        <w:r w:rsidR="0034432C">
          <w:rPr>
            <w:noProof/>
          </w:rPr>
        </w:r>
        <w:r w:rsidR="0034432C">
          <w:rPr>
            <w:noProof/>
          </w:rPr>
          <w:fldChar w:fldCharType="separate"/>
        </w:r>
        <w:r w:rsidR="00686379">
          <w:rPr>
            <w:noProof/>
          </w:rPr>
          <w:t>6</w:t>
        </w:r>
        <w:r w:rsidR="0034432C">
          <w:rPr>
            <w:noProof/>
          </w:rPr>
          <w:fldChar w:fldCharType="end"/>
        </w:r>
      </w:hyperlink>
    </w:p>
    <w:p w14:paraId="430704E4" w14:textId="3E4E46FA" w:rsidR="0034432C" w:rsidRDefault="00000000">
      <w:pPr>
        <w:pStyle w:val="TOC1"/>
        <w:rPr>
          <w:rFonts w:asciiTheme="minorHAnsi" w:eastAsiaTheme="minorEastAsia" w:hAnsiTheme="minorHAnsi" w:cstheme="minorBidi"/>
          <w:noProof/>
          <w:kern w:val="2"/>
          <w:sz w:val="22"/>
          <w:lang w:eastAsia="en-GB" w:bidi="ar-SA"/>
          <w14:ligatures w14:val="standardContextual"/>
        </w:rPr>
      </w:pPr>
      <w:hyperlink w:anchor="_Toc185234903" w:history="1">
        <w:r w:rsidR="0034432C" w:rsidRPr="00B109DF">
          <w:rPr>
            <w:rStyle w:val="Hyperlink"/>
            <w:noProof/>
          </w:rPr>
          <w:t>Conclusion</w:t>
        </w:r>
        <w:r w:rsidR="0034432C">
          <w:rPr>
            <w:noProof/>
          </w:rPr>
          <w:tab/>
        </w:r>
        <w:r w:rsidR="0034432C">
          <w:rPr>
            <w:noProof/>
          </w:rPr>
          <w:fldChar w:fldCharType="begin"/>
        </w:r>
        <w:r w:rsidR="0034432C">
          <w:rPr>
            <w:noProof/>
          </w:rPr>
          <w:instrText xml:space="preserve"> PAGEREF _Toc185234903 \h </w:instrText>
        </w:r>
        <w:r w:rsidR="0034432C">
          <w:rPr>
            <w:noProof/>
          </w:rPr>
        </w:r>
        <w:r w:rsidR="0034432C">
          <w:rPr>
            <w:noProof/>
          </w:rPr>
          <w:fldChar w:fldCharType="separate"/>
        </w:r>
        <w:r w:rsidR="00686379">
          <w:rPr>
            <w:noProof/>
          </w:rPr>
          <w:t>6</w:t>
        </w:r>
        <w:r w:rsidR="0034432C">
          <w:rPr>
            <w:noProof/>
          </w:rPr>
          <w:fldChar w:fldCharType="end"/>
        </w:r>
      </w:hyperlink>
    </w:p>
    <w:p w14:paraId="79D8D671" w14:textId="7F53809B" w:rsidR="005D082D" w:rsidRDefault="00457D9D">
      <w:pPr>
        <w:pStyle w:val="Heading1"/>
        <w:sectPr w:rsidR="005D082D">
          <w:headerReference w:type="default" r:id="rId10"/>
          <w:pgSz w:w="11906" w:h="16838"/>
          <w:pgMar w:top="1440" w:right="1080" w:bottom="1440" w:left="1080" w:header="397" w:footer="397" w:gutter="0"/>
          <w:pgNumType w:start="1"/>
          <w:cols w:space="720"/>
        </w:sectPr>
      </w:pPr>
      <w:r>
        <w:fldChar w:fldCharType="end"/>
      </w:r>
      <w:bookmarkEnd w:id="0"/>
      <w:r w:rsidR="00335809">
        <w:br w:type="page"/>
      </w:r>
    </w:p>
    <w:p w14:paraId="23EC34A1" w14:textId="5A9F0693" w:rsidR="00246F90" w:rsidRDefault="00457D9D">
      <w:pPr>
        <w:pStyle w:val="Heading1"/>
      </w:pPr>
      <w:bookmarkStart w:id="1" w:name="_Toc185234893"/>
      <w:r>
        <w:lastRenderedPageBreak/>
        <w:t>Introduction</w:t>
      </w:r>
      <w:bookmarkEnd w:id="1"/>
    </w:p>
    <w:p w14:paraId="37ABB86A" w14:textId="390AE47B" w:rsidR="00246F90" w:rsidRDefault="31589A2B" w:rsidP="005D082D">
      <w:pPr>
        <w:spacing w:line="252" w:lineRule="auto"/>
      </w:pPr>
      <w:bookmarkStart w:id="2" w:name="_Hlk64448648"/>
      <w:r>
        <w:t>The Office for Nuclear Regulation (</w:t>
      </w:r>
      <w:r w:rsidR="161D2AE8">
        <w:t>ONR</w:t>
      </w:r>
      <w:r w:rsidR="00874190">
        <w:t>)</w:t>
      </w:r>
      <w:r w:rsidR="161D2AE8">
        <w:t xml:space="preserve"> is the </w:t>
      </w:r>
      <w:r w:rsidR="2E67419E">
        <w:t>S</w:t>
      </w:r>
      <w:r w:rsidR="161D2AE8">
        <w:t xml:space="preserve">tate </w:t>
      </w:r>
      <w:r w:rsidR="43902EDC">
        <w:t>R</w:t>
      </w:r>
      <w:r w:rsidR="161D2AE8">
        <w:t xml:space="preserve">egulatory </w:t>
      </w:r>
      <w:r w:rsidR="764D75DA">
        <w:t>A</w:t>
      </w:r>
      <w:r w:rsidR="161D2AE8">
        <w:t xml:space="preserve">uthority </w:t>
      </w:r>
      <w:r w:rsidR="34D55432">
        <w:t>(SRA)</w:t>
      </w:r>
      <w:r w:rsidR="161D2AE8">
        <w:t xml:space="preserve"> for safeguards</w:t>
      </w:r>
      <w:r w:rsidR="00C23DEE">
        <w:t xml:space="preserve"> in the UK</w:t>
      </w:r>
      <w:r w:rsidR="161D2AE8">
        <w:t xml:space="preserve">. This means that we are responsible </w:t>
      </w:r>
      <w:r w:rsidR="00C76B91">
        <w:t xml:space="preserve">for </w:t>
      </w:r>
      <w:r w:rsidR="161D2AE8">
        <w:t>domestic regulation</w:t>
      </w:r>
      <w:r w:rsidR="619B210D">
        <w:t xml:space="preserve"> of UK operators and ensuring that </w:t>
      </w:r>
      <w:r w:rsidR="00D441FD">
        <w:t xml:space="preserve">the </w:t>
      </w:r>
      <w:r w:rsidR="619B210D">
        <w:t>UK meets its international safeguards obligations</w:t>
      </w:r>
      <w:r w:rsidR="00E76042">
        <w:t xml:space="preserve">. </w:t>
      </w:r>
      <w:r w:rsidR="00457D9D">
        <w:t>Our regulation of safeguards, and facilitation of the safeguards activities of the International Atomic Energy Agency (IAEA), are delivered by our Safeguards Sub</w:t>
      </w:r>
      <w:r w:rsidR="00C96352">
        <w:t>-directorate</w:t>
      </w:r>
      <w:r w:rsidR="00457D9D">
        <w:t>.</w:t>
      </w:r>
    </w:p>
    <w:p w14:paraId="51CE8FA0" w14:textId="746AC1FC" w:rsidR="00246F90" w:rsidRDefault="00457D9D" w:rsidP="005D082D">
      <w:pPr>
        <w:spacing w:line="252" w:lineRule="auto"/>
      </w:pPr>
      <w:r>
        <w:t>This report provides an overview of our implementation of the safeguards regime in 202</w:t>
      </w:r>
      <w:r w:rsidR="00DD2570">
        <w:t>4</w:t>
      </w:r>
      <w:r>
        <w:t>, as required under Regulation 41(2) of the Nuclear Safeguards (EU Exit) Regulations 2019 (NSR19).</w:t>
      </w:r>
    </w:p>
    <w:p w14:paraId="7C68D426" w14:textId="77777777" w:rsidR="00246F90" w:rsidRDefault="00457D9D">
      <w:pPr>
        <w:pStyle w:val="Heading1"/>
      </w:pPr>
      <w:bookmarkStart w:id="3" w:name="_Toc185234894"/>
      <w:r>
        <w:t>Regulatory activities</w:t>
      </w:r>
      <w:bookmarkEnd w:id="3"/>
    </w:p>
    <w:p w14:paraId="5C9FACA4" w14:textId="0A85EC9E" w:rsidR="00246F90" w:rsidRDefault="00457D9D" w:rsidP="005D082D">
      <w:pPr>
        <w:spacing w:line="252" w:lineRule="auto"/>
      </w:pPr>
      <w:r>
        <w:t>NSR19 places duties on all holders of civil nuclear material in the UK to establish, implement and maintain a system of accounting for</w:t>
      </w:r>
      <w:r w:rsidR="3056ADFE">
        <w:t>,</w:t>
      </w:r>
      <w:r>
        <w:t xml:space="preserve"> and control of</w:t>
      </w:r>
      <w:r w:rsidR="4F36A1EF">
        <w:t>,</w:t>
      </w:r>
      <w:r>
        <w:t xml:space="preserve"> qualifying nuclear material in each qualifying nuclear facility. Holders of qualifying nuclear material encompass a diverse range of organisations</w:t>
      </w:r>
      <w:r w:rsidR="2B731517">
        <w:t xml:space="preserve">. This includes </w:t>
      </w:r>
      <w:r>
        <w:t xml:space="preserve">operators of major nuclear facilities (such as reactors, reprocessing plants, fuel enrichment and </w:t>
      </w:r>
      <w:r w:rsidR="00E332E9">
        <w:t xml:space="preserve">fuel </w:t>
      </w:r>
      <w:r>
        <w:t xml:space="preserve">fabrication plants) to qualifying nuclear facilities with limited operation (QNFLOs), such as universities, research centres and small businesses. </w:t>
      </w:r>
    </w:p>
    <w:p w14:paraId="75BBF9DA" w14:textId="77777777" w:rsidR="00246F90" w:rsidRDefault="00457D9D" w:rsidP="005D082D">
      <w:pPr>
        <w:spacing w:line="252" w:lineRule="auto"/>
      </w:pPr>
      <w:r>
        <w:t>Our enforcement policy statement and The Regulators’ Code require us to enforce these duties in a manner that is:</w:t>
      </w:r>
    </w:p>
    <w:p w14:paraId="476D0439" w14:textId="77777777" w:rsidR="00246F90" w:rsidRDefault="00457D9D" w:rsidP="005D082D">
      <w:pPr>
        <w:pStyle w:val="Bulletlist1"/>
        <w:ind w:left="709"/>
      </w:pPr>
      <w:r>
        <w:t>proportionate to risks arising from any breach;</w:t>
      </w:r>
    </w:p>
    <w:p w14:paraId="3C47EB6E" w14:textId="77777777" w:rsidR="00246F90" w:rsidRDefault="00457D9D" w:rsidP="005D082D">
      <w:pPr>
        <w:pStyle w:val="Bulletlist1"/>
        <w:ind w:left="709"/>
      </w:pPr>
      <w:r>
        <w:t>targeted on activities that give rise to the most serious risks;</w:t>
      </w:r>
    </w:p>
    <w:p w14:paraId="2E1FA3F1" w14:textId="77777777" w:rsidR="00246F90" w:rsidRDefault="00457D9D" w:rsidP="005D082D">
      <w:pPr>
        <w:pStyle w:val="Bulletlist1"/>
        <w:ind w:left="709"/>
      </w:pPr>
      <w:r>
        <w:t>consistent across similar circumstances to achieve similar outcomes;</w:t>
      </w:r>
    </w:p>
    <w:p w14:paraId="0EE12B3F" w14:textId="77777777" w:rsidR="00246F90" w:rsidRDefault="00457D9D" w:rsidP="005D082D">
      <w:pPr>
        <w:pStyle w:val="Bulletlist1"/>
        <w:ind w:left="709"/>
      </w:pPr>
      <w:r>
        <w:t>transparent to the dutyholders in question; and</w:t>
      </w:r>
    </w:p>
    <w:p w14:paraId="6F44C96E" w14:textId="77777777" w:rsidR="00246F90" w:rsidRDefault="00457D9D" w:rsidP="005D082D">
      <w:pPr>
        <w:pStyle w:val="Bulletlist1"/>
        <w:ind w:left="709"/>
      </w:pPr>
      <w:r>
        <w:t>accountable to the public.</w:t>
      </w:r>
    </w:p>
    <w:p w14:paraId="3CF06DFB" w14:textId="5C228ED4" w:rsidR="00246F90" w:rsidRDefault="00457D9D" w:rsidP="005D082D">
      <w:pPr>
        <w:spacing w:line="252" w:lineRule="auto"/>
      </w:pPr>
      <w:r>
        <w:t xml:space="preserve">To achieve this, we have established an effective and robust regulatory framework to ensure compliance with NSR19 and to enable the UK to meet its international safeguards obligations. This framework provides safeguards inspectors with a regulatory toolkit from which they can make targeted and proportionate interventions to ensure operators are adequately complying with NSR19. This toolkit includes a combination of regulatory activities that can be broadly categorised into </w:t>
      </w:r>
      <w:r w:rsidR="00B93170">
        <w:t xml:space="preserve">ongoing </w:t>
      </w:r>
      <w:r w:rsidR="00D30D7D">
        <w:t>engagement,</w:t>
      </w:r>
      <w:r>
        <w:t xml:space="preserve"> on-site inspection</w:t>
      </w:r>
      <w:r w:rsidR="00D30D7D">
        <w:t>,</w:t>
      </w:r>
      <w:r>
        <w:t xml:space="preserve"> and the regulatory assessment of operator submissions.</w:t>
      </w:r>
      <w:r w:rsidR="001A5E58">
        <w:t xml:space="preserve"> Our guidance</w:t>
      </w:r>
      <w:r w:rsidR="00EA26E9">
        <w:t xml:space="preserve"> </w:t>
      </w:r>
      <w:r w:rsidR="00C75067">
        <w:t>further de</w:t>
      </w:r>
      <w:r w:rsidR="00EA26E9">
        <w:t>monstrates this regulatory approach and</w:t>
      </w:r>
      <w:r w:rsidR="001A5E58">
        <w:t xml:space="preserve"> is available to operators through our </w:t>
      </w:r>
      <w:hyperlink r:id="rId11" w:history="1">
        <w:r w:rsidR="001A5E58" w:rsidRPr="002E07BF">
          <w:rPr>
            <w:rStyle w:val="Hyperlink"/>
          </w:rPr>
          <w:t>website</w:t>
        </w:r>
      </w:hyperlink>
      <w:r w:rsidR="001A5E58">
        <w:t>.</w:t>
      </w:r>
    </w:p>
    <w:p w14:paraId="27F4F4B7" w14:textId="77777777" w:rsidR="00246F90" w:rsidRDefault="00457D9D" w:rsidP="00EA26E9">
      <w:pPr>
        <w:pStyle w:val="Heading2"/>
      </w:pPr>
      <w:bookmarkStart w:id="4" w:name="_Toc185234895"/>
      <w:r>
        <w:lastRenderedPageBreak/>
        <w:t>Inspection</w:t>
      </w:r>
      <w:bookmarkEnd w:id="4"/>
    </w:p>
    <w:p w14:paraId="3B9DC8BD" w14:textId="1BDAE4D0" w:rsidR="00FF77D6" w:rsidRDefault="00457D9D" w:rsidP="00EA26E9">
      <w:pPr>
        <w:keepNext/>
        <w:spacing w:line="252" w:lineRule="auto"/>
      </w:pPr>
      <w:r w:rsidRPr="00625A7B">
        <w:t xml:space="preserve">During the reporting period we conducted </w:t>
      </w:r>
      <w:r w:rsidR="00625A7B" w:rsidRPr="00825E33">
        <w:t xml:space="preserve">26 </w:t>
      </w:r>
      <w:r w:rsidRPr="005D082D">
        <w:t>o</w:t>
      </w:r>
      <w:r>
        <w:t>n-site inspections. These inspections included:</w:t>
      </w:r>
    </w:p>
    <w:p w14:paraId="31605978" w14:textId="580B799E" w:rsidR="00246F90" w:rsidRDefault="00457D9D" w:rsidP="00EA26E9">
      <w:pPr>
        <w:keepNext/>
        <w:spacing w:line="252" w:lineRule="auto"/>
      </w:pPr>
      <w:r>
        <w:rPr>
          <w:b/>
          <w:bCs/>
        </w:rPr>
        <w:t>Nuclear Material Accountancy</w:t>
      </w:r>
      <w:r>
        <w:t xml:space="preserve"> </w:t>
      </w:r>
      <w:r w:rsidR="00AC5278">
        <w:t xml:space="preserve">(NMA) </w:t>
      </w:r>
      <w:r>
        <w:t>to confirm whether operators’ nuclear material account</w:t>
      </w:r>
      <w:r w:rsidR="00A4797D">
        <w:t>ing</w:t>
      </w:r>
      <w:r>
        <w:t xml:space="preserve"> and operating records, required by Regulations 10 and 11 of NSR19, </w:t>
      </w:r>
      <w:r w:rsidR="00F0377D">
        <w:t xml:space="preserve">are technically underpinned and </w:t>
      </w:r>
      <w:r>
        <w:t>align with the accounting reports submitted to us under Regulations 12-15 of NSR19</w:t>
      </w:r>
      <w:r w:rsidR="68308661">
        <w:t>.</w:t>
      </w:r>
    </w:p>
    <w:p w14:paraId="58552423" w14:textId="0D42D11C" w:rsidR="00246F90" w:rsidRDefault="00457D9D" w:rsidP="005D082D">
      <w:pPr>
        <w:spacing w:line="252" w:lineRule="auto"/>
      </w:pPr>
      <w:r>
        <w:rPr>
          <w:b/>
          <w:bCs/>
        </w:rPr>
        <w:t>Physical Inventory Take (PIT) Evaluation</w:t>
      </w:r>
      <w:r>
        <w:t xml:space="preserve"> to confirm that operators are undertaking regular PITs as required, and that this component of their accountancy and control system is proportionate to and appropriate for the facility in question, as required by Regulation 6 and Schedule 2 of NSR19</w:t>
      </w:r>
      <w:r w:rsidR="52CD2759">
        <w:t>.</w:t>
      </w:r>
    </w:p>
    <w:p w14:paraId="555840DC" w14:textId="62588504" w:rsidR="00246F90" w:rsidRDefault="00457D9D" w:rsidP="005D082D">
      <w:pPr>
        <w:spacing w:line="252" w:lineRule="auto"/>
      </w:pPr>
      <w:r>
        <w:rPr>
          <w:b/>
          <w:bCs/>
        </w:rPr>
        <w:t>Basic Technical Characteristics</w:t>
      </w:r>
      <w:r>
        <w:t xml:space="preserve"> </w:t>
      </w:r>
      <w:r w:rsidR="00AC5278">
        <w:t xml:space="preserve">(BTC) </w:t>
      </w:r>
      <w:r>
        <w:t xml:space="preserve">to confirm whether design information declared by operators under Regulation 3 of NSR19 is accurate and matches physical reality. </w:t>
      </w:r>
    </w:p>
    <w:p w14:paraId="35BD1236" w14:textId="2B281543" w:rsidR="00246F90" w:rsidRDefault="00457D9D" w:rsidP="005D082D">
      <w:pPr>
        <w:spacing w:line="252" w:lineRule="auto"/>
      </w:pPr>
      <w:r>
        <w:rPr>
          <w:b/>
          <w:bCs/>
        </w:rPr>
        <w:t>Accountancy and Control Plan</w:t>
      </w:r>
      <w:r w:rsidR="00113989">
        <w:rPr>
          <w:b/>
          <w:bCs/>
        </w:rPr>
        <w:t>s</w:t>
      </w:r>
      <w:r>
        <w:t xml:space="preserve"> </w:t>
      </w:r>
      <w:r w:rsidR="00AC5278">
        <w:t xml:space="preserve">(ACP) </w:t>
      </w:r>
      <w:r>
        <w:t>to confirm whether operators are adequately implementing their nuclear material Accountancy and Control Plans (ACPs), as required by regulations 6, 7, and 9 of NSR19</w:t>
      </w:r>
      <w:r w:rsidR="4884605A">
        <w:t>.</w:t>
      </w:r>
    </w:p>
    <w:p w14:paraId="317076BD" w14:textId="466EB3E2" w:rsidR="00246F90" w:rsidRDefault="00457D9D" w:rsidP="00150FF2">
      <w:pPr>
        <w:spacing w:line="252" w:lineRule="auto"/>
      </w:pPr>
      <w:r w:rsidRPr="00150FF2">
        <w:rPr>
          <w:b/>
          <w:bCs/>
        </w:rPr>
        <w:t>Safeguards System-Based Inspections</w:t>
      </w:r>
      <w:r>
        <w:t xml:space="preserve"> </w:t>
      </w:r>
      <w:r w:rsidR="00AC5278">
        <w:t xml:space="preserve">(SSBI) </w:t>
      </w:r>
      <w:r>
        <w:t>which take a cross-cutting approach by focusing on key nuclear material accountancy and control systems (such as measurement systems</w:t>
      </w:r>
      <w:r w:rsidR="00466BBA">
        <w:t>, nuclear material tracking</w:t>
      </w:r>
      <w:r>
        <w:t xml:space="preserve"> and data processing systems)</w:t>
      </w:r>
      <w:r w:rsidR="4B5E938B">
        <w:t>. They also</w:t>
      </w:r>
      <w:r w:rsidR="006A5C00">
        <w:t xml:space="preserve"> </w:t>
      </w:r>
      <w:r>
        <w:t xml:space="preserve">confirm whether these systems are being implemented in a manner which is proportionate to and appropriate for the facilities in question, as required by Regulation 6 and Schedule 2 of NSR19. </w:t>
      </w:r>
    </w:p>
    <w:p w14:paraId="1B7A501D" w14:textId="4D400AED" w:rsidR="00246F90" w:rsidRDefault="00457D9D" w:rsidP="007D4A45">
      <w:pPr>
        <w:spacing w:line="252" w:lineRule="auto"/>
      </w:pPr>
      <w:r w:rsidRPr="00EE2146">
        <w:t xml:space="preserve">Of these on-site inspections, </w:t>
      </w:r>
      <w:r w:rsidR="00A77428" w:rsidRPr="00EE2146">
        <w:t>2</w:t>
      </w:r>
      <w:r w:rsidR="006A5A62" w:rsidRPr="00EE2146">
        <w:t>5</w:t>
      </w:r>
      <w:r w:rsidRPr="00EE2146">
        <w:t xml:space="preserve"> received a ‘green’ rating, indicating </w:t>
      </w:r>
      <w:r w:rsidR="00ED05AC">
        <w:t xml:space="preserve">no formal action </w:t>
      </w:r>
      <w:r w:rsidR="00C504BB">
        <w:t>taken by ONR</w:t>
      </w:r>
      <w:r w:rsidR="009B25ED">
        <w:t>.</w:t>
      </w:r>
      <w:r w:rsidR="007D4A45">
        <w:t xml:space="preserve"> </w:t>
      </w:r>
      <w:r w:rsidR="00F73331" w:rsidRPr="00EE2146">
        <w:t>O</w:t>
      </w:r>
      <w:r w:rsidR="00D40B45" w:rsidRPr="00EE2146">
        <w:t xml:space="preserve">ne inspection received an </w:t>
      </w:r>
      <w:r w:rsidR="116CC2E6" w:rsidRPr="00EE2146">
        <w:t>‘</w:t>
      </w:r>
      <w:r w:rsidR="00D40B45" w:rsidRPr="00EE2146">
        <w:t>amber</w:t>
      </w:r>
      <w:r w:rsidR="6A953E1A" w:rsidRPr="00EE2146">
        <w:t>’</w:t>
      </w:r>
      <w:r w:rsidR="00D40B45" w:rsidRPr="00EE2146">
        <w:t xml:space="preserve"> rating, </w:t>
      </w:r>
      <w:r w:rsidR="005739B4">
        <w:t>where we have sought improvement from the operator</w:t>
      </w:r>
      <w:r w:rsidR="007301B4">
        <w:t xml:space="preserve"> </w:t>
      </w:r>
      <w:r w:rsidR="00D40B45" w:rsidRPr="00EE2146">
        <w:t xml:space="preserve">to address gaps in compliance. We have worked constructively with </w:t>
      </w:r>
      <w:r w:rsidR="00E757E1">
        <w:t xml:space="preserve">the </w:t>
      </w:r>
      <w:r w:rsidR="00D40B45" w:rsidRPr="00EE2146">
        <w:t xml:space="preserve">operator </w:t>
      </w:r>
      <w:r w:rsidR="00DA678E">
        <w:t xml:space="preserve">and we are content that the operator </w:t>
      </w:r>
      <w:r w:rsidR="00B83C5E">
        <w:t xml:space="preserve">has addressed </w:t>
      </w:r>
      <w:r w:rsidR="00D40B45" w:rsidRPr="00EE2146">
        <w:t>these gaps in a timely manner.</w:t>
      </w:r>
    </w:p>
    <w:p w14:paraId="4CA3FDF2" w14:textId="60162900" w:rsidR="007D4A45" w:rsidRDefault="007D4A45" w:rsidP="007D4A45">
      <w:pPr>
        <w:spacing w:line="252" w:lineRule="auto"/>
      </w:pPr>
      <w:r>
        <w:t xml:space="preserve">We have undertaken several joint compliance inspections with our nuclear safety and security inspectors. This allows us to be more efficient and effective by sharing regulatory intelligence where possible, avoiding the undue burden of separate interventions driven by each regulatory function. </w:t>
      </w:r>
    </w:p>
    <w:p w14:paraId="0A869517" w14:textId="77777777" w:rsidR="00246F90" w:rsidRDefault="00457D9D">
      <w:pPr>
        <w:pStyle w:val="Heading2"/>
      </w:pPr>
      <w:bookmarkStart w:id="5" w:name="_Toc185234896"/>
      <w:r>
        <w:t>Assessment</w:t>
      </w:r>
      <w:bookmarkEnd w:id="5"/>
    </w:p>
    <w:p w14:paraId="69A320F2" w14:textId="77777777" w:rsidR="00896214" w:rsidRDefault="00457D9D" w:rsidP="005D082D">
      <w:pPr>
        <w:spacing w:line="252" w:lineRule="auto"/>
      </w:pPr>
      <w:r>
        <w:t>NSR19 requires operators to make submissions to us</w:t>
      </w:r>
      <w:r w:rsidR="00347CA5">
        <w:t xml:space="preserve"> that</w:t>
      </w:r>
      <w:r>
        <w:t xml:space="preserve"> include</w:t>
      </w:r>
      <w:r w:rsidR="00896214">
        <w:t>:</w:t>
      </w:r>
      <w:r>
        <w:t xml:space="preserve"> </w:t>
      </w:r>
    </w:p>
    <w:p w14:paraId="641AAFCF" w14:textId="195B835C" w:rsidR="00896214" w:rsidRDefault="00ED499E" w:rsidP="00896214">
      <w:pPr>
        <w:pStyle w:val="ListParagraph"/>
        <w:numPr>
          <w:ilvl w:val="0"/>
          <w:numId w:val="8"/>
        </w:numPr>
        <w:spacing w:line="252" w:lineRule="auto"/>
      </w:pPr>
      <w:r>
        <w:t>safeguards-relevant design information</w:t>
      </w:r>
      <w:r w:rsidR="00457D9D">
        <w:t xml:space="preserve"> of facilities </w:t>
      </w:r>
      <w:r w:rsidR="00AC5278">
        <w:t>BTC</w:t>
      </w:r>
      <w:r w:rsidR="00457D9D">
        <w:t>, as required by Regulation 3 of NSR19</w:t>
      </w:r>
      <w:r w:rsidR="00B56BE8">
        <w:t>;</w:t>
      </w:r>
      <w:r w:rsidR="00457D9D">
        <w:t xml:space="preserve"> </w:t>
      </w:r>
    </w:p>
    <w:p w14:paraId="5E1E6EB0" w14:textId="6A5364E6" w:rsidR="00896214" w:rsidRDefault="00457D9D" w:rsidP="00A509EA">
      <w:pPr>
        <w:pStyle w:val="ListParagraph"/>
        <w:numPr>
          <w:ilvl w:val="0"/>
          <w:numId w:val="8"/>
        </w:numPr>
        <w:spacing w:line="252" w:lineRule="auto"/>
      </w:pPr>
      <w:r>
        <w:t>descriptions of arrangements and procedures for nuclear material accountancy and control ACPs</w:t>
      </w:r>
      <w:r w:rsidR="00A509EA">
        <w:t xml:space="preserve">, </w:t>
      </w:r>
      <w:r>
        <w:t>as required by regulation 7 of NSR19</w:t>
      </w:r>
      <w:r w:rsidR="00B56BE8">
        <w:t>;</w:t>
      </w:r>
      <w:r>
        <w:t xml:space="preserve"> and </w:t>
      </w:r>
    </w:p>
    <w:p w14:paraId="681246D4" w14:textId="70CDE971" w:rsidR="00246F90" w:rsidRDefault="00457D9D" w:rsidP="00896214">
      <w:pPr>
        <w:pStyle w:val="ListParagraph"/>
        <w:numPr>
          <w:ilvl w:val="0"/>
          <w:numId w:val="8"/>
        </w:numPr>
        <w:spacing w:line="252" w:lineRule="auto"/>
      </w:pPr>
      <w:r>
        <w:lastRenderedPageBreak/>
        <w:t>accounting reports on nuclear material inventories and movements</w:t>
      </w:r>
      <w:r w:rsidR="00A509EA">
        <w:t xml:space="preserve">, </w:t>
      </w:r>
      <w:r>
        <w:t xml:space="preserve">as required by regulations 12-15 of NSR19. </w:t>
      </w:r>
    </w:p>
    <w:p w14:paraId="20342B0E" w14:textId="107A347E" w:rsidR="00246F90" w:rsidRDefault="00457D9D" w:rsidP="005D082D">
      <w:pPr>
        <w:spacing w:line="252" w:lineRule="auto"/>
      </w:pPr>
      <w:r>
        <w:t xml:space="preserve">We perform assessments of these submissions to judge their compliance with regulatory requirements </w:t>
      </w:r>
      <w:r w:rsidR="00B81951">
        <w:t>and relevant good practice</w:t>
      </w:r>
      <w:r w:rsidR="00246F35">
        <w:t>,</w:t>
      </w:r>
      <w:r w:rsidR="00B81951">
        <w:t xml:space="preserve"> </w:t>
      </w:r>
      <w:r>
        <w:t xml:space="preserve">and to inform </w:t>
      </w:r>
      <w:r w:rsidR="00F427B1">
        <w:t xml:space="preserve">and target </w:t>
      </w:r>
      <w:r>
        <w:t xml:space="preserve">our on-site inspection activities. </w:t>
      </w:r>
    </w:p>
    <w:p w14:paraId="0C646B1E" w14:textId="31D51913" w:rsidR="00246F90" w:rsidRDefault="00457D9D" w:rsidP="005D082D">
      <w:pPr>
        <w:spacing w:line="252" w:lineRule="auto"/>
      </w:pPr>
      <w:r w:rsidRPr="0076276C">
        <w:t>We assessed all nuclear material account</w:t>
      </w:r>
      <w:r w:rsidR="00003AB0" w:rsidRPr="0076276C">
        <w:t>ing</w:t>
      </w:r>
      <w:r w:rsidRPr="0076276C">
        <w:t xml:space="preserve"> reports submitted during the reporting period </w:t>
      </w:r>
      <w:r w:rsidRPr="00320D0E">
        <w:t xml:space="preserve">and carried out </w:t>
      </w:r>
      <w:r w:rsidR="00320D0E" w:rsidRPr="00EE2146">
        <w:t>ten</w:t>
      </w:r>
      <w:r w:rsidRPr="00EE2146">
        <w:t xml:space="preserve"> assessments</w:t>
      </w:r>
      <w:r w:rsidRPr="00320D0E">
        <w:t>. These included:</w:t>
      </w:r>
    </w:p>
    <w:p w14:paraId="036E05C4" w14:textId="00CE9353" w:rsidR="00246F90" w:rsidRDefault="00383568" w:rsidP="005D082D">
      <w:pPr>
        <w:spacing w:line="252" w:lineRule="auto"/>
      </w:pPr>
      <w:r>
        <w:rPr>
          <w:b/>
          <w:bCs/>
        </w:rPr>
        <w:t>BTC</w:t>
      </w:r>
      <w:r w:rsidR="00457D9D">
        <w:rPr>
          <w:b/>
          <w:bCs/>
        </w:rPr>
        <w:t xml:space="preserve"> assessments</w:t>
      </w:r>
      <w:r w:rsidR="00457D9D">
        <w:t xml:space="preserve"> to confirm </w:t>
      </w:r>
      <w:r w:rsidR="00457D9D" w:rsidRPr="002775A4">
        <w:t xml:space="preserve">whether these submissions were correct, complete, and adequate in line with the requirements of Regulation 3 of NSR19 and, where necessary, met international obligations. </w:t>
      </w:r>
      <w:r w:rsidR="00457D9D" w:rsidRPr="00EE2146">
        <w:t>The</w:t>
      </w:r>
      <w:r w:rsidR="00620523" w:rsidRPr="00EE2146">
        <w:t xml:space="preserve"> </w:t>
      </w:r>
      <w:r w:rsidR="00320D0E" w:rsidRPr="00EE2146">
        <w:t>two</w:t>
      </w:r>
      <w:r w:rsidR="00620523" w:rsidRPr="00EE2146">
        <w:t xml:space="preserve"> </w:t>
      </w:r>
      <w:r w:rsidR="007A7D55" w:rsidRPr="00EE2146">
        <w:t xml:space="preserve">BTC </w:t>
      </w:r>
      <w:r w:rsidR="004077DA" w:rsidRPr="00EE2146">
        <w:t>assessments completed</w:t>
      </w:r>
      <w:r w:rsidR="00620523" w:rsidRPr="00EE2146">
        <w:t xml:space="preserve"> </w:t>
      </w:r>
      <w:r w:rsidR="00B36A94">
        <w:t>were judged to be adequate</w:t>
      </w:r>
      <w:r w:rsidR="00457D9D" w:rsidRPr="00EE2146">
        <w:t>.</w:t>
      </w:r>
      <w:r w:rsidR="00457D9D">
        <w:t xml:space="preserve"> </w:t>
      </w:r>
    </w:p>
    <w:p w14:paraId="2EDFD598" w14:textId="0D3CB711" w:rsidR="00246F90" w:rsidRDefault="00457D9D" w:rsidP="00472C34">
      <w:pPr>
        <w:spacing w:line="252" w:lineRule="auto"/>
      </w:pPr>
      <w:r>
        <w:rPr>
          <w:b/>
          <w:bCs/>
        </w:rPr>
        <w:t>ACP assessments</w:t>
      </w:r>
      <w:r>
        <w:t xml:space="preserve"> to confirm whether the arrangements and procedures for nuclear material described in ACP submissions were proportionate to and appropriate for the facility in question, and are being implemented </w:t>
      </w:r>
      <w:r w:rsidRPr="004B1F98">
        <w:t xml:space="preserve">adequately, as required by Regulations 6, 7, and 9 of NSR19. </w:t>
      </w:r>
      <w:r w:rsidR="00472C34" w:rsidRPr="00EE2146">
        <w:t>T</w:t>
      </w:r>
      <w:r w:rsidR="004B1F98" w:rsidRPr="00EE2146">
        <w:t>he t</w:t>
      </w:r>
      <w:r w:rsidR="00472C34" w:rsidRPr="00EE2146">
        <w:t>wo</w:t>
      </w:r>
      <w:r w:rsidRPr="00EE2146">
        <w:t xml:space="preserve"> assessment</w:t>
      </w:r>
      <w:r w:rsidR="00472C34" w:rsidRPr="00EE2146">
        <w:t>s</w:t>
      </w:r>
      <w:r w:rsidRPr="00EE2146">
        <w:t xml:space="preserve"> </w:t>
      </w:r>
      <w:r w:rsidR="008A52F4">
        <w:t>were judged to be adequate.</w:t>
      </w:r>
      <w:r w:rsidRPr="00EE2146">
        <w:t xml:space="preserve"> </w:t>
      </w:r>
    </w:p>
    <w:p w14:paraId="49F94761" w14:textId="7201EDD5" w:rsidR="00A1121D" w:rsidRPr="00EE2146" w:rsidRDefault="00A1121D" w:rsidP="00472C34">
      <w:pPr>
        <w:spacing w:line="252" w:lineRule="auto"/>
        <w:rPr>
          <w:b/>
          <w:bCs/>
        </w:rPr>
      </w:pPr>
      <w:r w:rsidRPr="00EE2146">
        <w:rPr>
          <w:b/>
          <w:bCs/>
        </w:rPr>
        <w:t xml:space="preserve">QNFLO </w:t>
      </w:r>
      <w:r>
        <w:rPr>
          <w:b/>
          <w:bCs/>
        </w:rPr>
        <w:t>a</w:t>
      </w:r>
      <w:r w:rsidRPr="00EE2146">
        <w:rPr>
          <w:b/>
          <w:bCs/>
        </w:rPr>
        <w:t>ssessments</w:t>
      </w:r>
      <w:r>
        <w:rPr>
          <w:b/>
          <w:bCs/>
        </w:rPr>
        <w:t xml:space="preserve"> </w:t>
      </w:r>
      <w:r w:rsidRPr="00EE2146">
        <w:t xml:space="preserve">to confirm </w:t>
      </w:r>
      <w:r w:rsidR="00903F1D" w:rsidRPr="00903F1D">
        <w:t>documents comply with the requirements of NSR19</w:t>
      </w:r>
      <w:r w:rsidR="003C10BD">
        <w:t xml:space="preserve">, and </w:t>
      </w:r>
      <w:r w:rsidR="00903F1D" w:rsidRPr="00903F1D">
        <w:t>the information provided within the BTC are correct and arrangements and procedures for controlling and accounting for material outlined in the ACP are proportionate and appropriate for the qualifying nuclear facility</w:t>
      </w:r>
      <w:r>
        <w:rPr>
          <w:b/>
          <w:bCs/>
        </w:rPr>
        <w:t>.</w:t>
      </w:r>
      <w:r w:rsidR="00127C5B">
        <w:rPr>
          <w:b/>
          <w:bCs/>
        </w:rPr>
        <w:t xml:space="preserve"> </w:t>
      </w:r>
      <w:r w:rsidR="00E723B3" w:rsidRPr="00EE2146">
        <w:t>Each</w:t>
      </w:r>
      <w:r w:rsidR="00127C5B" w:rsidRPr="00EE2146">
        <w:t xml:space="preserve"> of the </w:t>
      </w:r>
      <w:r w:rsidR="00E723B3" w:rsidRPr="00EE2146">
        <w:t xml:space="preserve">six </w:t>
      </w:r>
      <w:r w:rsidR="00127C5B" w:rsidRPr="00EE2146">
        <w:t xml:space="preserve">QNFLO assessments were </w:t>
      </w:r>
      <w:r w:rsidR="003C10BD">
        <w:t>judged to be adequate.</w:t>
      </w:r>
    </w:p>
    <w:p w14:paraId="5C11F432" w14:textId="77777777" w:rsidR="00246F90" w:rsidRDefault="00457D9D">
      <w:pPr>
        <w:pStyle w:val="Heading2"/>
      </w:pPr>
      <w:bookmarkStart w:id="6" w:name="_Toc185234897"/>
      <w:r>
        <w:t>Facilitation</w:t>
      </w:r>
      <w:bookmarkEnd w:id="6"/>
    </w:p>
    <w:p w14:paraId="185E9316" w14:textId="7E78F887" w:rsidR="00E407AC" w:rsidRDefault="00457D9D" w:rsidP="00A56D84">
      <w:pPr>
        <w:spacing w:line="252" w:lineRule="auto"/>
      </w:pPr>
      <w:r>
        <w:t>As set out in Section 72 of The Energy Act (2013), one of our safeguards purposes is to enable and facilitate compliance by the UK with its international safeguards obligations. Under the UK’s Voluntary Offer Agreement (VOA)</w:t>
      </w:r>
      <w:r w:rsidR="006F3148">
        <w:t>, INFCIR</w:t>
      </w:r>
      <w:r w:rsidR="00C76B91">
        <w:t>C</w:t>
      </w:r>
      <w:r w:rsidR="006F3148">
        <w:t>/951</w:t>
      </w:r>
      <w:r w:rsidR="008B52A6">
        <w:t>,</w:t>
      </w:r>
      <w:r>
        <w:t xml:space="preserve"> with the IAEA, the UK is obliged to facilitate IAEA safeguards inspections and site visits at </w:t>
      </w:r>
      <w:r w:rsidR="00D146F2">
        <w:t xml:space="preserve">UK </w:t>
      </w:r>
      <w:r>
        <w:t>facilities that have been designated for that purpose.</w:t>
      </w:r>
      <w:r w:rsidR="00A56D84">
        <w:t xml:space="preserve"> </w:t>
      </w:r>
    </w:p>
    <w:p w14:paraId="5045835D" w14:textId="5DFFAEF1" w:rsidR="00E53833" w:rsidRDefault="00FC3979" w:rsidP="00E53833">
      <w:pPr>
        <w:spacing w:line="252" w:lineRule="auto"/>
      </w:pPr>
      <w:r w:rsidRPr="0076276C">
        <w:t xml:space="preserve">The IAEA designated </w:t>
      </w:r>
      <w:r w:rsidRPr="00105C6F">
        <w:t>four facilities across two sites</w:t>
      </w:r>
      <w:r w:rsidRPr="0076276C">
        <w:t xml:space="preserve"> for their inspection of the implementation of UK safeguards</w:t>
      </w:r>
      <w:r w:rsidR="00BB7AD8">
        <w:t xml:space="preserve"> and</w:t>
      </w:r>
      <w:r w:rsidR="00457D9D" w:rsidRPr="00360877">
        <w:t xml:space="preserve"> carried out </w:t>
      </w:r>
      <w:r w:rsidR="00360877" w:rsidRPr="00825E33">
        <w:t xml:space="preserve">37 </w:t>
      </w:r>
      <w:r w:rsidR="00457D9D" w:rsidRPr="0076276C">
        <w:t xml:space="preserve">safeguards inspections at </w:t>
      </w:r>
      <w:r w:rsidR="00BB7AD8">
        <w:t>the</w:t>
      </w:r>
      <w:r w:rsidR="002D0468">
        <w:t xml:space="preserve"> </w:t>
      </w:r>
      <w:r w:rsidR="00457D9D" w:rsidRPr="0076276C">
        <w:t xml:space="preserve">designated facilities during the reporting period. We successfully facilitated all the IAEA inspections enabling the IAEA to fulfil their objectives. </w:t>
      </w:r>
      <w:r w:rsidR="00E53833">
        <w:t>We facilitate IAEA safeguards inspection activities by liaising with them and the relevant operators, overseeing facility preparations for inspection, and where necessary accompanying IAEA inspectors on-site.</w:t>
      </w:r>
    </w:p>
    <w:p w14:paraId="3B869774" w14:textId="405D625A" w:rsidR="00423861" w:rsidRPr="0076276C" w:rsidRDefault="00457D9D" w:rsidP="00D029FE">
      <w:pPr>
        <w:spacing w:line="252" w:lineRule="auto"/>
      </w:pPr>
      <w:r w:rsidRPr="0076276C">
        <w:t>No</w:t>
      </w:r>
      <w:r w:rsidR="00A4797D">
        <w:t xml:space="preserve"> significant</w:t>
      </w:r>
      <w:r w:rsidRPr="0076276C">
        <w:t xml:space="preserve"> issues have been raised by the IAEA regarding the facilitation of </w:t>
      </w:r>
      <w:r w:rsidR="358A9F34">
        <w:t xml:space="preserve">their </w:t>
      </w:r>
      <w:r w:rsidRPr="0076276C">
        <w:t>safeguards inspections in the UK.</w:t>
      </w:r>
      <w:r w:rsidR="00636455">
        <w:t xml:space="preserve"> </w:t>
      </w:r>
      <w:r w:rsidR="00423861">
        <w:t xml:space="preserve">During the Annual Review of Safeguards Implementation in the UK, the IAEA </w:t>
      </w:r>
      <w:r w:rsidR="00C72E75" w:rsidRPr="00C72E75">
        <w:t>indicated they were satisfied that we were effectively meeting our international obligations.</w:t>
      </w:r>
    </w:p>
    <w:p w14:paraId="1547594E" w14:textId="6F803AE8" w:rsidR="00DF5012" w:rsidRDefault="723F2FCC" w:rsidP="005D082D">
      <w:pPr>
        <w:spacing w:line="252" w:lineRule="auto"/>
      </w:pPr>
      <w:r>
        <w:t>We</w:t>
      </w:r>
      <w:r w:rsidR="000325BB">
        <w:t xml:space="preserve"> continue to support the IAEA</w:t>
      </w:r>
      <w:r w:rsidR="00DF5012" w:rsidRPr="00DF5012">
        <w:t xml:space="preserve"> to better understand the differences between the records held at Capenhurst site and the nuclear material accounting reports </w:t>
      </w:r>
      <w:r w:rsidR="29122976">
        <w:t>we</w:t>
      </w:r>
      <w:r w:rsidR="00DF5012">
        <w:t xml:space="preserve"> </w:t>
      </w:r>
      <w:r w:rsidR="00DF5012" w:rsidRPr="00DF5012">
        <w:t>submitted to the IAEA</w:t>
      </w:r>
      <w:r w:rsidR="29B32A39">
        <w:t xml:space="preserve">. </w:t>
      </w:r>
      <w:r w:rsidR="007475DD">
        <w:t xml:space="preserve"> These differences are</w:t>
      </w:r>
      <w:r w:rsidR="00DF5012" w:rsidRPr="00DF5012">
        <w:t xml:space="preserve"> due to the different reporting requirements in NSR19 and the </w:t>
      </w:r>
      <w:r w:rsidR="00DF5012" w:rsidRPr="00DF5012">
        <w:lastRenderedPageBreak/>
        <w:t>VOA causing a deviation when domestic reports are translated into the required format for the IAEA.</w:t>
      </w:r>
    </w:p>
    <w:p w14:paraId="018E1C77" w14:textId="7613FE93" w:rsidR="000325BB" w:rsidRDefault="001B0F90" w:rsidP="005D082D">
      <w:pPr>
        <w:spacing w:line="252" w:lineRule="auto"/>
      </w:pPr>
      <w:r>
        <w:t>DESNZ</w:t>
      </w:r>
      <w:r w:rsidR="00587C09">
        <w:t>, on behalf of the UK,</w:t>
      </w:r>
      <w:r w:rsidR="00A717DF">
        <w:t xml:space="preserve"> and </w:t>
      </w:r>
      <w:r w:rsidR="00587C09">
        <w:t xml:space="preserve">the </w:t>
      </w:r>
      <w:r w:rsidR="00A717DF">
        <w:t xml:space="preserve">IAEA have agreed </w:t>
      </w:r>
      <w:r w:rsidR="007F0180">
        <w:t xml:space="preserve">that </w:t>
      </w:r>
      <w:r w:rsidR="00F16433">
        <w:t xml:space="preserve">the </w:t>
      </w:r>
      <w:r w:rsidR="007F0180">
        <w:t>Sellafield Product and Residue Store (SPRS) will</w:t>
      </w:r>
      <w:r w:rsidR="0082148A">
        <w:t xml:space="preserve"> </w:t>
      </w:r>
      <w:r w:rsidR="007F0180">
        <w:t>be designated for implementation of IAEA safeguards in line with the Sellafield Retreatment Plant (SRP) starting operations</w:t>
      </w:r>
      <w:r w:rsidR="00717F41">
        <w:t xml:space="preserve"> in </w:t>
      </w:r>
      <w:r w:rsidR="00827070">
        <w:t>2028</w:t>
      </w:r>
      <w:r w:rsidR="007F0180">
        <w:t xml:space="preserve">. </w:t>
      </w:r>
      <w:r w:rsidR="00FA3659">
        <w:t xml:space="preserve">The intent is to retain the </w:t>
      </w:r>
      <w:r w:rsidR="000B3083">
        <w:t xml:space="preserve">current </w:t>
      </w:r>
      <w:r w:rsidR="00FA3659">
        <w:t>quantity of separated, unirradiated plutonium under IAEA safeguards</w:t>
      </w:r>
      <w:r w:rsidR="00A01DBA">
        <w:t xml:space="preserve">, once plutonium cans start to be removed from </w:t>
      </w:r>
      <w:r w:rsidR="00CB3807">
        <w:t xml:space="preserve">their existing </w:t>
      </w:r>
      <w:r w:rsidR="00823AAD">
        <w:t xml:space="preserve">storage </w:t>
      </w:r>
      <w:r w:rsidR="00CB3807">
        <w:t>locations, repackaged and</w:t>
      </w:r>
      <w:r w:rsidR="00C3097A">
        <w:t xml:space="preserve">/or </w:t>
      </w:r>
      <w:r w:rsidR="00CB3807">
        <w:t>retreated</w:t>
      </w:r>
      <w:r w:rsidR="00483149">
        <w:t>, then</w:t>
      </w:r>
      <w:r w:rsidR="00823AAD">
        <w:t xml:space="preserve"> sent for long term storage in SPRS. </w:t>
      </w:r>
      <w:r w:rsidR="53625A69">
        <w:t xml:space="preserve">We </w:t>
      </w:r>
      <w:r w:rsidR="00823AAD">
        <w:t>are facilitating interactions between the IAEA, Sellafield</w:t>
      </w:r>
      <w:r w:rsidR="00112EE6">
        <w:t xml:space="preserve"> and </w:t>
      </w:r>
      <w:r w:rsidR="002B5574">
        <w:t xml:space="preserve">the </w:t>
      </w:r>
      <w:r w:rsidR="00112EE6">
        <w:t>N</w:t>
      </w:r>
      <w:r w:rsidR="00C97636">
        <w:t xml:space="preserve">uclear </w:t>
      </w:r>
      <w:r w:rsidR="00112EE6">
        <w:t>D</w:t>
      </w:r>
      <w:r w:rsidR="00C97636">
        <w:t xml:space="preserve">ecommissioning </w:t>
      </w:r>
      <w:r w:rsidR="00112EE6">
        <w:t>A</w:t>
      </w:r>
      <w:r w:rsidR="00C97636">
        <w:t>uthority</w:t>
      </w:r>
      <w:r w:rsidR="00112EE6">
        <w:t xml:space="preserve"> to support the arrangements and activities </w:t>
      </w:r>
      <w:r w:rsidR="00717F41">
        <w:t>to make this happen.</w:t>
      </w:r>
    </w:p>
    <w:p w14:paraId="710062AD" w14:textId="77777777" w:rsidR="00246F90" w:rsidRDefault="00457D9D">
      <w:pPr>
        <w:pStyle w:val="Heading2"/>
      </w:pPr>
      <w:bookmarkStart w:id="7" w:name="_Toc185234898"/>
      <w:r>
        <w:t>Reporting</w:t>
      </w:r>
      <w:bookmarkEnd w:id="7"/>
    </w:p>
    <w:p w14:paraId="36D68733" w14:textId="731F7B31" w:rsidR="00246F90" w:rsidRDefault="00457D9D" w:rsidP="005D082D">
      <w:pPr>
        <w:spacing w:line="252" w:lineRule="auto"/>
      </w:pPr>
      <w:r>
        <w:t>NSR19 requires operators of qualifying nuclear facilities to provide us with accounting reports for each material balance area. A material balance area is an area in or outside of a facility where the physical inventory of qualifying nuclear material can be determined</w:t>
      </w:r>
      <w:r w:rsidR="34E83DB0">
        <w:t>,</w:t>
      </w:r>
      <w:r>
        <w:t xml:space="preserve"> and the quantity of qualifying nuclear material in each transfer into or out of the area can be determined. </w:t>
      </w:r>
    </w:p>
    <w:p w14:paraId="5F0D8F36" w14:textId="0430D9C3" w:rsidR="00246F90" w:rsidRDefault="00457D9D" w:rsidP="005D082D">
      <w:pPr>
        <w:spacing w:line="252" w:lineRule="auto"/>
      </w:pPr>
      <w:r w:rsidRPr="0076276C">
        <w:t>There are currently 6</w:t>
      </w:r>
      <w:r w:rsidR="00C61857">
        <w:t>7</w:t>
      </w:r>
      <w:r w:rsidRPr="0076276C">
        <w:t xml:space="preserve"> material balance areas across the UK (excluding qualifying nuclear facilities with limited operation – see below).</w:t>
      </w:r>
      <w:r>
        <w:t xml:space="preserve"> </w:t>
      </w:r>
    </w:p>
    <w:p w14:paraId="263BE2BC" w14:textId="32FD48A2" w:rsidR="00246F90" w:rsidRDefault="00457D9D" w:rsidP="005D082D">
      <w:pPr>
        <w:spacing w:line="252" w:lineRule="auto"/>
      </w:pPr>
      <w:r>
        <w:t>Regulations 13 to 18 of NSR19 prescribe the various types of reports and frequency of reporting required. These reports include monthly Inventory Change Reports (</w:t>
      </w:r>
      <w:r w:rsidR="001F3A99">
        <w:t>R</w:t>
      </w:r>
      <w:r>
        <w:t>egulation 14), and Material Balance Reports and Physical Inventory Listings each calendar year (Regulation 15).</w:t>
      </w:r>
    </w:p>
    <w:p w14:paraId="18AF457A" w14:textId="12622C13" w:rsidR="00256C65" w:rsidRDefault="00457D9D" w:rsidP="005D082D">
      <w:pPr>
        <w:spacing w:line="252" w:lineRule="auto"/>
      </w:pPr>
      <w:r w:rsidRPr="0076276C">
        <w:t>We have successfully assessed these reports to ensure that they are correct and complete</w:t>
      </w:r>
      <w:r w:rsidR="3CC5899F">
        <w:t xml:space="preserve">. We </w:t>
      </w:r>
      <w:r w:rsidRPr="0076276C">
        <w:t>have submitted them to the IAEA</w:t>
      </w:r>
      <w:r w:rsidR="43F2F7F2">
        <w:t>,</w:t>
      </w:r>
      <w:r w:rsidRPr="0076276C">
        <w:t xml:space="preserve"> in the required format under the UK/IAEA VOA, enabling the UK to meet its </w:t>
      </w:r>
      <w:r w:rsidR="001B0F90">
        <w:t xml:space="preserve">international </w:t>
      </w:r>
      <w:r w:rsidRPr="0076276C">
        <w:t xml:space="preserve">safeguards obligations. Within the reporting period, this amounts to more than </w:t>
      </w:r>
      <w:r w:rsidR="7D8F313E">
        <w:t xml:space="preserve">a thousand </w:t>
      </w:r>
      <w:r w:rsidRPr="0076276C">
        <w:t>reports</w:t>
      </w:r>
      <w:r w:rsidR="580C9E66">
        <w:t>,</w:t>
      </w:r>
      <w:r w:rsidRPr="0076276C">
        <w:t xml:space="preserve"> with </w:t>
      </w:r>
      <w:r w:rsidR="001B17B9" w:rsidRPr="0076276C">
        <w:t xml:space="preserve">approximately </w:t>
      </w:r>
      <w:r w:rsidR="006B36DC">
        <w:t>three</w:t>
      </w:r>
      <w:r w:rsidR="001B17B9" w:rsidRPr="0076276C">
        <w:t xml:space="preserve"> </w:t>
      </w:r>
      <w:r w:rsidRPr="0076276C">
        <w:t>hundred thousand lines of</w:t>
      </w:r>
      <w:r w:rsidR="00256C65">
        <w:t xml:space="preserve"> accounting</w:t>
      </w:r>
      <w:r w:rsidRPr="0076276C">
        <w:t xml:space="preserve"> data.</w:t>
      </w:r>
    </w:p>
    <w:p w14:paraId="62761126" w14:textId="7BDDB336" w:rsidR="00246F90" w:rsidRDefault="00256C65" w:rsidP="005D082D">
      <w:pPr>
        <w:spacing w:line="252" w:lineRule="auto"/>
      </w:pPr>
      <w:r>
        <w:t xml:space="preserve">Where our assessment has highlighted errors or </w:t>
      </w:r>
      <w:r w:rsidR="00186E42">
        <w:t>discrepancies</w:t>
      </w:r>
      <w:r>
        <w:t xml:space="preserve">, we have worked with the relevant operators for these </w:t>
      </w:r>
      <w:r w:rsidR="00DF3319">
        <w:t xml:space="preserve">all </w:t>
      </w:r>
      <w:r>
        <w:t>to be resolved in a timely manner</w:t>
      </w:r>
      <w:r w:rsidR="0064351F">
        <w:t xml:space="preserve">. </w:t>
      </w:r>
    </w:p>
    <w:p w14:paraId="667CCA40" w14:textId="6DDCF21B" w:rsidR="00246F90" w:rsidRDefault="00457D9D" w:rsidP="005D082D">
      <w:pPr>
        <w:spacing w:line="252" w:lineRule="auto"/>
      </w:pPr>
      <w:r>
        <w:t xml:space="preserve">Regulation 19 of NSR19 requires operators to submit additional reports arising from international agreements and to fulfil obligations resulting from international trade. These include bilateral Nuclear Cooperation Agreements (NCAs) with the United States of America, Australia, Canada, Japan, and with Euratom. During the reporting period we have received, analysed and facilitated the submission of these reports to the relevant states through </w:t>
      </w:r>
      <w:r w:rsidR="6EAE6901">
        <w:t>DESNZ</w:t>
      </w:r>
      <w:r>
        <w:t xml:space="preserve"> in accordance with the administrative arrangements underpinning each of these agreements.</w:t>
      </w:r>
    </w:p>
    <w:p w14:paraId="5C67E538" w14:textId="5B97F23E" w:rsidR="00246F90" w:rsidRDefault="00457D9D" w:rsidP="005D082D">
      <w:pPr>
        <w:spacing w:line="252" w:lineRule="auto"/>
      </w:pPr>
      <w:r>
        <w:t xml:space="preserve">There are several reports in addition to those mentioned above arising from state level agreements with the IAEA (see </w:t>
      </w:r>
      <w:r w:rsidR="003A01A0">
        <w:t xml:space="preserve">following </w:t>
      </w:r>
      <w:r>
        <w:t xml:space="preserve">table). </w:t>
      </w:r>
      <w:r w:rsidRPr="0076276C">
        <w:t>We have met all these reporting requirements</w:t>
      </w:r>
      <w:r>
        <w:t xml:space="preserve">. This includes substantial reporting commitments under the protocol </w:t>
      </w:r>
      <w:r>
        <w:lastRenderedPageBreak/>
        <w:t xml:space="preserve">additional to the voluntary offer safeguards agreement </w:t>
      </w:r>
      <w:r w:rsidR="00210020">
        <w:t xml:space="preserve">(INFCIRC/951 Add. 1) </w:t>
      </w:r>
      <w:r>
        <w:t>with the IAEA known as the ‘Additional Protocol’ (AP).</w:t>
      </w:r>
    </w:p>
    <w:tbl>
      <w:tblPr>
        <w:tblW w:w="9639" w:type="dxa"/>
        <w:tblCellMar>
          <w:left w:w="10" w:type="dxa"/>
          <w:right w:w="10" w:type="dxa"/>
        </w:tblCellMar>
        <w:tblLook w:val="04A0" w:firstRow="1" w:lastRow="0" w:firstColumn="1" w:lastColumn="0" w:noHBand="0" w:noVBand="1"/>
      </w:tblPr>
      <w:tblGrid>
        <w:gridCol w:w="7938"/>
        <w:gridCol w:w="1701"/>
      </w:tblGrid>
      <w:tr w:rsidR="00246F90" w14:paraId="6F37241E" w14:textId="77777777" w:rsidTr="005D082D">
        <w:trPr>
          <w:trHeight w:val="681"/>
        </w:trPr>
        <w:tc>
          <w:tcPr>
            <w:tcW w:w="7938" w:type="dxa"/>
            <w:tcBorders>
              <w:right w:val="single" w:sz="4" w:space="0" w:color="22413A"/>
            </w:tcBorders>
            <w:shd w:val="clear" w:color="auto" w:fill="D4EFE5"/>
            <w:tcMar>
              <w:top w:w="57" w:type="dxa"/>
              <w:left w:w="113" w:type="dxa"/>
              <w:bottom w:w="57" w:type="dxa"/>
              <w:right w:w="113" w:type="dxa"/>
            </w:tcMar>
            <w:vAlign w:val="center"/>
          </w:tcPr>
          <w:p w14:paraId="18D18BBC" w14:textId="77777777" w:rsidR="00246F90" w:rsidRDefault="00457D9D" w:rsidP="00463F96">
            <w:pPr>
              <w:pStyle w:val="TableText"/>
              <w:keepNext/>
              <w:rPr>
                <w:rFonts w:eastAsia="Arial" w:cs="Times New Roman"/>
                <w:b/>
              </w:rPr>
            </w:pPr>
            <w:r>
              <w:rPr>
                <w:rFonts w:eastAsia="Arial" w:cs="Times New Roman"/>
                <w:b/>
              </w:rPr>
              <w:t>Report</w:t>
            </w:r>
          </w:p>
        </w:tc>
        <w:tc>
          <w:tcPr>
            <w:tcW w:w="1701" w:type="dxa"/>
            <w:tcBorders>
              <w:left w:val="single" w:sz="4" w:space="0" w:color="22413A"/>
            </w:tcBorders>
            <w:shd w:val="clear" w:color="auto" w:fill="D4EFE5"/>
            <w:tcMar>
              <w:top w:w="57" w:type="dxa"/>
              <w:left w:w="113" w:type="dxa"/>
              <w:bottom w:w="57" w:type="dxa"/>
              <w:right w:w="113" w:type="dxa"/>
            </w:tcMar>
            <w:vAlign w:val="center"/>
          </w:tcPr>
          <w:p w14:paraId="39EA5E79" w14:textId="77777777" w:rsidR="00246F90" w:rsidRDefault="00457D9D" w:rsidP="00463F96">
            <w:pPr>
              <w:pStyle w:val="TableText"/>
              <w:keepNext/>
              <w:rPr>
                <w:rFonts w:eastAsia="Arial" w:cs="Times New Roman"/>
                <w:b/>
              </w:rPr>
            </w:pPr>
            <w:r>
              <w:rPr>
                <w:rFonts w:eastAsia="Arial" w:cs="Times New Roman"/>
                <w:b/>
              </w:rPr>
              <w:t>Frequency</w:t>
            </w:r>
          </w:p>
        </w:tc>
      </w:tr>
      <w:tr w:rsidR="00246F90" w14:paraId="660CDABD" w14:textId="77777777" w:rsidTr="005D082D">
        <w:trPr>
          <w:trHeight w:val="681"/>
        </w:trPr>
        <w:tc>
          <w:tcPr>
            <w:tcW w:w="7938" w:type="dxa"/>
            <w:tcBorders>
              <w:top w:val="single" w:sz="4" w:space="0" w:color="22413A"/>
              <w:bottom w:val="single" w:sz="4" w:space="0" w:color="22413A"/>
              <w:right w:val="single" w:sz="4" w:space="0" w:color="22413A"/>
            </w:tcBorders>
            <w:shd w:val="clear" w:color="auto" w:fill="auto"/>
            <w:tcMar>
              <w:top w:w="57" w:type="dxa"/>
              <w:left w:w="113" w:type="dxa"/>
              <w:bottom w:w="57" w:type="dxa"/>
              <w:right w:w="113" w:type="dxa"/>
            </w:tcMar>
            <w:vAlign w:val="center"/>
          </w:tcPr>
          <w:p w14:paraId="31717CC6" w14:textId="78E846B9" w:rsidR="00246F90" w:rsidRDefault="00457D9D" w:rsidP="00463F96">
            <w:pPr>
              <w:pStyle w:val="TableText"/>
              <w:rPr>
                <w:rFonts w:eastAsia="Arial" w:cs="Times New Roman"/>
              </w:rPr>
            </w:pPr>
            <w:r>
              <w:rPr>
                <w:rFonts w:eastAsia="Arial" w:cs="Times New Roman"/>
              </w:rPr>
              <w:t xml:space="preserve">Qualifying Nuclear Facilities. ‘Facilities </w:t>
            </w:r>
            <w:r w:rsidRPr="78320213">
              <w:rPr>
                <w:rFonts w:eastAsia="Arial" w:cs="Times New Roman"/>
              </w:rPr>
              <w:t>List</w:t>
            </w:r>
            <w:r w:rsidR="214925F4" w:rsidRPr="78320213">
              <w:rPr>
                <w:rFonts w:eastAsia="Arial" w:cs="Times New Roman"/>
              </w:rPr>
              <w:t>’</w:t>
            </w:r>
          </w:p>
        </w:tc>
        <w:tc>
          <w:tcPr>
            <w:tcW w:w="1701" w:type="dxa"/>
            <w:tcBorders>
              <w:top w:val="single" w:sz="4" w:space="0" w:color="22413A"/>
              <w:left w:val="single" w:sz="4" w:space="0" w:color="22413A"/>
              <w:bottom w:val="single" w:sz="4" w:space="0" w:color="22413A"/>
            </w:tcBorders>
            <w:shd w:val="clear" w:color="auto" w:fill="auto"/>
            <w:tcMar>
              <w:top w:w="57" w:type="dxa"/>
              <w:left w:w="113" w:type="dxa"/>
              <w:bottom w:w="57" w:type="dxa"/>
              <w:right w:w="113" w:type="dxa"/>
            </w:tcMar>
            <w:vAlign w:val="center"/>
          </w:tcPr>
          <w:p w14:paraId="69CC84BB" w14:textId="77777777" w:rsidR="00246F90" w:rsidRDefault="00457D9D" w:rsidP="00463F96">
            <w:pPr>
              <w:pStyle w:val="TableText"/>
              <w:rPr>
                <w:rFonts w:eastAsia="Arial" w:cs="Times New Roman"/>
              </w:rPr>
            </w:pPr>
            <w:r>
              <w:rPr>
                <w:rFonts w:eastAsia="Arial" w:cs="Times New Roman"/>
              </w:rPr>
              <w:t>Annual</w:t>
            </w:r>
          </w:p>
        </w:tc>
      </w:tr>
      <w:tr w:rsidR="00246F90" w14:paraId="60CB3153" w14:textId="77777777" w:rsidTr="005D082D">
        <w:trPr>
          <w:trHeight w:val="681"/>
        </w:trPr>
        <w:tc>
          <w:tcPr>
            <w:tcW w:w="7938" w:type="dxa"/>
            <w:tcBorders>
              <w:top w:val="single" w:sz="4" w:space="0" w:color="22413A"/>
              <w:bottom w:val="single" w:sz="4" w:space="0" w:color="22413A"/>
              <w:right w:val="single" w:sz="4" w:space="0" w:color="22413A"/>
            </w:tcBorders>
            <w:shd w:val="clear" w:color="auto" w:fill="auto"/>
            <w:tcMar>
              <w:top w:w="57" w:type="dxa"/>
              <w:left w:w="113" w:type="dxa"/>
              <w:bottom w:w="57" w:type="dxa"/>
              <w:right w:w="113" w:type="dxa"/>
            </w:tcMar>
            <w:vAlign w:val="center"/>
          </w:tcPr>
          <w:p w14:paraId="16307894" w14:textId="77777777" w:rsidR="00246F90" w:rsidRDefault="00457D9D" w:rsidP="00463F96">
            <w:pPr>
              <w:pStyle w:val="TableText"/>
              <w:rPr>
                <w:rFonts w:eastAsia="Arial" w:cs="Times New Roman"/>
              </w:rPr>
            </w:pPr>
            <w:r>
              <w:rPr>
                <w:rFonts w:eastAsia="Arial" w:cs="Times New Roman"/>
              </w:rPr>
              <w:t>Application of Safeguards on material transferred to the UK pursuant of INFCIRC/175</w:t>
            </w:r>
          </w:p>
        </w:tc>
        <w:tc>
          <w:tcPr>
            <w:tcW w:w="1701" w:type="dxa"/>
            <w:tcBorders>
              <w:top w:val="single" w:sz="4" w:space="0" w:color="22413A"/>
              <w:left w:val="single" w:sz="4" w:space="0" w:color="22413A"/>
              <w:bottom w:val="single" w:sz="4" w:space="0" w:color="22413A"/>
            </w:tcBorders>
            <w:shd w:val="clear" w:color="auto" w:fill="auto"/>
            <w:tcMar>
              <w:top w:w="57" w:type="dxa"/>
              <w:left w:w="113" w:type="dxa"/>
              <w:bottom w:w="57" w:type="dxa"/>
              <w:right w:w="113" w:type="dxa"/>
            </w:tcMar>
            <w:vAlign w:val="center"/>
          </w:tcPr>
          <w:p w14:paraId="5C8E792A" w14:textId="77777777" w:rsidR="00246F90" w:rsidRDefault="00457D9D" w:rsidP="00463F96">
            <w:pPr>
              <w:pStyle w:val="TableText"/>
              <w:rPr>
                <w:rFonts w:eastAsia="Arial" w:cs="Times New Roman"/>
              </w:rPr>
            </w:pPr>
            <w:r>
              <w:rPr>
                <w:rFonts w:eastAsia="Arial" w:cs="Times New Roman"/>
              </w:rPr>
              <w:t>Quarterly</w:t>
            </w:r>
          </w:p>
        </w:tc>
      </w:tr>
      <w:tr w:rsidR="00246F90" w14:paraId="138C6506" w14:textId="77777777" w:rsidTr="005D082D">
        <w:trPr>
          <w:trHeight w:val="681"/>
        </w:trPr>
        <w:tc>
          <w:tcPr>
            <w:tcW w:w="7938" w:type="dxa"/>
            <w:tcBorders>
              <w:top w:val="single" w:sz="4" w:space="0" w:color="22413A"/>
              <w:bottom w:val="single" w:sz="4" w:space="0" w:color="22413A"/>
              <w:right w:val="single" w:sz="4" w:space="0" w:color="22413A"/>
            </w:tcBorders>
            <w:shd w:val="clear" w:color="auto" w:fill="auto"/>
            <w:tcMar>
              <w:top w:w="57" w:type="dxa"/>
              <w:left w:w="113" w:type="dxa"/>
              <w:bottom w:w="57" w:type="dxa"/>
              <w:right w:w="113" w:type="dxa"/>
            </w:tcMar>
            <w:vAlign w:val="center"/>
          </w:tcPr>
          <w:p w14:paraId="6E301AA9" w14:textId="0AD233D0" w:rsidR="00246F90" w:rsidRDefault="00457D9D" w:rsidP="00463F96">
            <w:pPr>
              <w:pStyle w:val="TableText"/>
              <w:rPr>
                <w:rFonts w:eastAsia="Arial" w:cs="Times New Roman"/>
              </w:rPr>
            </w:pPr>
            <w:r>
              <w:rPr>
                <w:rFonts w:eastAsia="Arial" w:cs="Times New Roman"/>
              </w:rPr>
              <w:t xml:space="preserve">Minimisation and elimination of Highly Enriched </w:t>
            </w:r>
            <w:r w:rsidR="00486575">
              <w:rPr>
                <w:rFonts w:eastAsia="Arial" w:cs="Times New Roman"/>
              </w:rPr>
              <w:t>U</w:t>
            </w:r>
            <w:r>
              <w:rPr>
                <w:rFonts w:eastAsia="Arial" w:cs="Times New Roman"/>
              </w:rPr>
              <w:t>ranium (HEU) pursuant to INFCIRC/912</w:t>
            </w:r>
          </w:p>
        </w:tc>
        <w:tc>
          <w:tcPr>
            <w:tcW w:w="1701" w:type="dxa"/>
            <w:tcBorders>
              <w:top w:val="single" w:sz="4" w:space="0" w:color="22413A"/>
              <w:left w:val="single" w:sz="4" w:space="0" w:color="22413A"/>
              <w:bottom w:val="single" w:sz="4" w:space="0" w:color="22413A"/>
            </w:tcBorders>
            <w:shd w:val="clear" w:color="auto" w:fill="auto"/>
            <w:tcMar>
              <w:top w:w="57" w:type="dxa"/>
              <w:left w:w="113" w:type="dxa"/>
              <w:bottom w:w="57" w:type="dxa"/>
              <w:right w:w="113" w:type="dxa"/>
            </w:tcMar>
            <w:vAlign w:val="center"/>
          </w:tcPr>
          <w:p w14:paraId="467BB99C" w14:textId="77777777" w:rsidR="00246F90" w:rsidRDefault="00457D9D" w:rsidP="00463F96">
            <w:pPr>
              <w:pStyle w:val="TableText"/>
              <w:rPr>
                <w:rFonts w:eastAsia="Arial" w:cs="Times New Roman"/>
              </w:rPr>
            </w:pPr>
            <w:r>
              <w:rPr>
                <w:rFonts w:eastAsia="Arial" w:cs="Times New Roman"/>
              </w:rPr>
              <w:t>Annual</w:t>
            </w:r>
          </w:p>
        </w:tc>
      </w:tr>
      <w:tr w:rsidR="00246F90" w14:paraId="2E46E4C6" w14:textId="77777777" w:rsidTr="005D082D">
        <w:trPr>
          <w:trHeight w:val="681"/>
        </w:trPr>
        <w:tc>
          <w:tcPr>
            <w:tcW w:w="7938" w:type="dxa"/>
            <w:tcBorders>
              <w:top w:val="single" w:sz="4" w:space="0" w:color="22413A"/>
              <w:bottom w:val="single" w:sz="4" w:space="0" w:color="22413A"/>
              <w:right w:val="single" w:sz="4" w:space="0" w:color="22413A"/>
            </w:tcBorders>
            <w:shd w:val="clear" w:color="auto" w:fill="auto"/>
            <w:tcMar>
              <w:top w:w="57" w:type="dxa"/>
              <w:left w:w="113" w:type="dxa"/>
              <w:bottom w:w="57" w:type="dxa"/>
              <w:right w:w="113" w:type="dxa"/>
            </w:tcMar>
            <w:vAlign w:val="center"/>
          </w:tcPr>
          <w:p w14:paraId="0C0C585F" w14:textId="77777777" w:rsidR="00246F90" w:rsidRDefault="00457D9D" w:rsidP="00463F96">
            <w:pPr>
              <w:pStyle w:val="TableText"/>
              <w:rPr>
                <w:rFonts w:eastAsia="Arial" w:cs="Times New Roman"/>
              </w:rPr>
            </w:pPr>
            <w:r>
              <w:rPr>
                <w:rFonts w:eastAsia="Arial" w:cs="Times New Roman"/>
              </w:rPr>
              <w:t>Neptunium (Np) and Americium (Am) Report</w:t>
            </w:r>
          </w:p>
        </w:tc>
        <w:tc>
          <w:tcPr>
            <w:tcW w:w="1701" w:type="dxa"/>
            <w:tcBorders>
              <w:top w:val="single" w:sz="4" w:space="0" w:color="22413A"/>
              <w:left w:val="single" w:sz="4" w:space="0" w:color="22413A"/>
              <w:bottom w:val="single" w:sz="4" w:space="0" w:color="22413A"/>
            </w:tcBorders>
            <w:shd w:val="clear" w:color="auto" w:fill="auto"/>
            <w:tcMar>
              <w:top w:w="57" w:type="dxa"/>
              <w:left w:w="113" w:type="dxa"/>
              <w:bottom w:w="57" w:type="dxa"/>
              <w:right w:w="113" w:type="dxa"/>
            </w:tcMar>
            <w:vAlign w:val="center"/>
          </w:tcPr>
          <w:p w14:paraId="50A6E909" w14:textId="77777777" w:rsidR="00246F90" w:rsidRDefault="00457D9D" w:rsidP="00463F96">
            <w:pPr>
              <w:pStyle w:val="TableText"/>
              <w:rPr>
                <w:rFonts w:eastAsia="Arial" w:cs="Times New Roman"/>
              </w:rPr>
            </w:pPr>
            <w:r>
              <w:rPr>
                <w:rFonts w:eastAsia="Arial" w:cs="Times New Roman"/>
              </w:rPr>
              <w:t>Annual</w:t>
            </w:r>
          </w:p>
        </w:tc>
      </w:tr>
      <w:tr w:rsidR="63000390" w14:paraId="310BD2AB" w14:textId="77777777" w:rsidTr="005D082D">
        <w:trPr>
          <w:trHeight w:val="681"/>
        </w:trPr>
        <w:tc>
          <w:tcPr>
            <w:tcW w:w="7938" w:type="dxa"/>
            <w:tcBorders>
              <w:top w:val="single" w:sz="4" w:space="0" w:color="22413A"/>
              <w:bottom w:val="single" w:sz="4" w:space="0" w:color="22413A"/>
              <w:right w:val="single" w:sz="4" w:space="0" w:color="22413A"/>
            </w:tcBorders>
            <w:shd w:val="clear" w:color="auto" w:fill="auto"/>
            <w:tcMar>
              <w:top w:w="57" w:type="dxa"/>
              <w:left w:w="113" w:type="dxa"/>
              <w:bottom w:w="57" w:type="dxa"/>
              <w:right w:w="113" w:type="dxa"/>
            </w:tcMar>
            <w:vAlign w:val="center"/>
          </w:tcPr>
          <w:p w14:paraId="218D8DF5" w14:textId="20B3ED04" w:rsidR="04691DC6" w:rsidRDefault="04691DC6" w:rsidP="00463F96">
            <w:pPr>
              <w:pStyle w:val="TableText"/>
              <w:rPr>
                <w:rFonts w:eastAsia="Arial" w:cs="Times New Roman"/>
              </w:rPr>
            </w:pPr>
            <w:r w:rsidRPr="63000390">
              <w:rPr>
                <w:rFonts w:eastAsia="Arial" w:cs="Times New Roman"/>
              </w:rPr>
              <w:t xml:space="preserve">Annual Additional Protocol (AP) submission pursuant </w:t>
            </w:r>
            <w:r w:rsidR="731AFA1A" w:rsidRPr="63000390">
              <w:rPr>
                <w:rFonts w:eastAsia="Arial" w:cs="Times New Roman"/>
              </w:rPr>
              <w:t>to</w:t>
            </w:r>
            <w:r w:rsidRPr="63000390">
              <w:rPr>
                <w:rFonts w:eastAsia="Arial" w:cs="Times New Roman"/>
              </w:rPr>
              <w:t xml:space="preserve"> the UK/IAEA</w:t>
            </w:r>
            <w:r w:rsidR="337A843B" w:rsidRPr="63000390">
              <w:rPr>
                <w:rFonts w:eastAsia="Arial" w:cs="Times New Roman"/>
              </w:rPr>
              <w:t xml:space="preserve"> - </w:t>
            </w:r>
            <w:r w:rsidRPr="63000390">
              <w:rPr>
                <w:rFonts w:eastAsia="Arial" w:cs="Times New Roman"/>
              </w:rPr>
              <w:t>AP</w:t>
            </w:r>
            <w:r w:rsidR="3BA0D112" w:rsidRPr="63000390">
              <w:rPr>
                <w:rFonts w:eastAsia="Arial" w:cs="Times New Roman"/>
              </w:rPr>
              <w:t xml:space="preserve"> </w:t>
            </w:r>
            <w:r w:rsidRPr="63000390">
              <w:rPr>
                <w:rFonts w:eastAsia="Arial" w:cs="Times New Roman"/>
              </w:rPr>
              <w:t>agreement</w:t>
            </w:r>
          </w:p>
        </w:tc>
        <w:tc>
          <w:tcPr>
            <w:tcW w:w="1701" w:type="dxa"/>
            <w:tcBorders>
              <w:top w:val="single" w:sz="4" w:space="0" w:color="22413A"/>
              <w:left w:val="single" w:sz="4" w:space="0" w:color="22413A"/>
              <w:bottom w:val="single" w:sz="4" w:space="0" w:color="22413A"/>
            </w:tcBorders>
            <w:shd w:val="clear" w:color="auto" w:fill="auto"/>
            <w:tcMar>
              <w:top w:w="57" w:type="dxa"/>
              <w:left w:w="113" w:type="dxa"/>
              <w:bottom w:w="57" w:type="dxa"/>
              <w:right w:w="113" w:type="dxa"/>
            </w:tcMar>
            <w:vAlign w:val="center"/>
          </w:tcPr>
          <w:p w14:paraId="5C03C0B8" w14:textId="03884D68" w:rsidR="6F0247B1" w:rsidRDefault="6F0247B1" w:rsidP="00463F96">
            <w:pPr>
              <w:pStyle w:val="TableText"/>
              <w:rPr>
                <w:rFonts w:eastAsia="Arial" w:cs="Times New Roman"/>
              </w:rPr>
            </w:pPr>
            <w:r w:rsidRPr="63000390">
              <w:rPr>
                <w:rFonts w:eastAsia="Arial" w:cs="Times New Roman"/>
              </w:rPr>
              <w:t>Annual</w:t>
            </w:r>
          </w:p>
        </w:tc>
      </w:tr>
      <w:tr w:rsidR="00246F90" w14:paraId="32DA4691" w14:textId="77777777" w:rsidTr="005D082D">
        <w:trPr>
          <w:trHeight w:val="681"/>
        </w:trPr>
        <w:tc>
          <w:tcPr>
            <w:tcW w:w="7938" w:type="dxa"/>
            <w:tcBorders>
              <w:top w:val="single" w:sz="4" w:space="0" w:color="22413A"/>
              <w:bottom w:val="single" w:sz="4" w:space="0" w:color="22413A"/>
              <w:right w:val="single" w:sz="4" w:space="0" w:color="22413A"/>
            </w:tcBorders>
            <w:shd w:val="clear" w:color="auto" w:fill="auto"/>
            <w:tcMar>
              <w:top w:w="57" w:type="dxa"/>
              <w:left w:w="113" w:type="dxa"/>
              <w:bottom w:w="57" w:type="dxa"/>
              <w:right w:w="113" w:type="dxa"/>
            </w:tcMar>
            <w:vAlign w:val="center"/>
          </w:tcPr>
          <w:p w14:paraId="70C345FC" w14:textId="4C3A5F6B" w:rsidR="00246F90" w:rsidRDefault="00457D9D" w:rsidP="00463F96">
            <w:pPr>
              <w:pStyle w:val="TableText"/>
              <w:rPr>
                <w:rFonts w:eastAsia="Arial" w:cs="Times New Roman"/>
              </w:rPr>
            </w:pPr>
            <w:r w:rsidRPr="63000390">
              <w:rPr>
                <w:rFonts w:eastAsia="Arial" w:cs="Times New Roman"/>
              </w:rPr>
              <w:t xml:space="preserve">UK Export report pursuant </w:t>
            </w:r>
            <w:r w:rsidR="69C99B60" w:rsidRPr="63000390">
              <w:rPr>
                <w:rFonts w:eastAsia="Arial" w:cs="Times New Roman"/>
              </w:rPr>
              <w:t>to</w:t>
            </w:r>
            <w:r w:rsidRPr="63000390">
              <w:rPr>
                <w:rFonts w:eastAsia="Arial" w:cs="Times New Roman"/>
              </w:rPr>
              <w:t xml:space="preserve"> the UK/IAEA Additional Protocol (AP) agreement</w:t>
            </w:r>
          </w:p>
        </w:tc>
        <w:tc>
          <w:tcPr>
            <w:tcW w:w="1701" w:type="dxa"/>
            <w:tcBorders>
              <w:top w:val="single" w:sz="4" w:space="0" w:color="22413A"/>
              <w:left w:val="single" w:sz="4" w:space="0" w:color="22413A"/>
              <w:bottom w:val="single" w:sz="4" w:space="0" w:color="22413A"/>
            </w:tcBorders>
            <w:shd w:val="clear" w:color="auto" w:fill="auto"/>
            <w:tcMar>
              <w:top w:w="57" w:type="dxa"/>
              <w:left w:w="113" w:type="dxa"/>
              <w:bottom w:w="57" w:type="dxa"/>
              <w:right w:w="113" w:type="dxa"/>
            </w:tcMar>
            <w:vAlign w:val="center"/>
          </w:tcPr>
          <w:p w14:paraId="0E60CE62" w14:textId="77777777" w:rsidR="00246F90" w:rsidRDefault="00457D9D" w:rsidP="00463F96">
            <w:pPr>
              <w:pStyle w:val="TableText"/>
              <w:rPr>
                <w:rFonts w:eastAsia="Arial" w:cs="Times New Roman"/>
              </w:rPr>
            </w:pPr>
            <w:r>
              <w:rPr>
                <w:rFonts w:eastAsia="Arial" w:cs="Times New Roman"/>
              </w:rPr>
              <w:t>Quarterly</w:t>
            </w:r>
          </w:p>
        </w:tc>
      </w:tr>
      <w:tr w:rsidR="00246F90" w14:paraId="1E2C5D91" w14:textId="77777777" w:rsidTr="005D082D">
        <w:trPr>
          <w:trHeight w:val="681"/>
        </w:trPr>
        <w:tc>
          <w:tcPr>
            <w:tcW w:w="7938" w:type="dxa"/>
            <w:tcBorders>
              <w:top w:val="single" w:sz="4" w:space="0" w:color="22413A"/>
              <w:bottom w:val="single" w:sz="4" w:space="0" w:color="22413A"/>
              <w:right w:val="single" w:sz="4" w:space="0" w:color="22413A"/>
            </w:tcBorders>
            <w:shd w:val="clear" w:color="auto" w:fill="auto"/>
            <w:tcMar>
              <w:top w:w="57" w:type="dxa"/>
              <w:left w:w="113" w:type="dxa"/>
              <w:bottom w:w="57" w:type="dxa"/>
              <w:right w:w="113" w:type="dxa"/>
            </w:tcMar>
            <w:vAlign w:val="center"/>
          </w:tcPr>
          <w:p w14:paraId="7AD1EEA8" w14:textId="77777777" w:rsidR="00246F90" w:rsidRDefault="00457D9D" w:rsidP="00463F96">
            <w:pPr>
              <w:pStyle w:val="TableText"/>
              <w:rPr>
                <w:rFonts w:eastAsia="Arial" w:cs="Times New Roman"/>
              </w:rPr>
            </w:pPr>
            <w:r>
              <w:rPr>
                <w:rFonts w:eastAsia="Arial" w:cs="Times New Roman"/>
              </w:rPr>
              <w:t>IAEA Inspector designation</w:t>
            </w:r>
          </w:p>
        </w:tc>
        <w:tc>
          <w:tcPr>
            <w:tcW w:w="1701" w:type="dxa"/>
            <w:tcBorders>
              <w:top w:val="single" w:sz="4" w:space="0" w:color="22413A"/>
              <w:left w:val="single" w:sz="4" w:space="0" w:color="22413A"/>
              <w:bottom w:val="single" w:sz="4" w:space="0" w:color="22413A"/>
            </w:tcBorders>
            <w:shd w:val="clear" w:color="auto" w:fill="auto"/>
            <w:tcMar>
              <w:top w:w="57" w:type="dxa"/>
              <w:left w:w="113" w:type="dxa"/>
              <w:bottom w:w="57" w:type="dxa"/>
              <w:right w:w="113" w:type="dxa"/>
            </w:tcMar>
            <w:vAlign w:val="center"/>
          </w:tcPr>
          <w:p w14:paraId="62BD95E5" w14:textId="77777777" w:rsidR="00246F90" w:rsidRDefault="00457D9D" w:rsidP="00463F96">
            <w:pPr>
              <w:pStyle w:val="TableText"/>
              <w:rPr>
                <w:rFonts w:eastAsia="Arial" w:cs="Times New Roman"/>
              </w:rPr>
            </w:pPr>
            <w:r>
              <w:rPr>
                <w:rFonts w:eastAsia="Arial" w:cs="Times New Roman"/>
              </w:rPr>
              <w:t>Periodic</w:t>
            </w:r>
          </w:p>
        </w:tc>
      </w:tr>
      <w:tr w:rsidR="00246F90" w14:paraId="16CA4735" w14:textId="77777777" w:rsidTr="00257DEC">
        <w:trPr>
          <w:trHeight w:val="681"/>
        </w:trPr>
        <w:tc>
          <w:tcPr>
            <w:tcW w:w="7938" w:type="dxa"/>
            <w:tcBorders>
              <w:top w:val="single" w:sz="4" w:space="0" w:color="22413A"/>
              <w:bottom w:val="single" w:sz="4" w:space="0" w:color="22413A"/>
              <w:right w:val="single" w:sz="4" w:space="0" w:color="22413A"/>
            </w:tcBorders>
            <w:shd w:val="clear" w:color="auto" w:fill="auto"/>
            <w:tcMar>
              <w:top w:w="57" w:type="dxa"/>
              <w:left w:w="113" w:type="dxa"/>
              <w:bottom w:w="57" w:type="dxa"/>
              <w:right w:w="113" w:type="dxa"/>
            </w:tcMar>
            <w:vAlign w:val="center"/>
          </w:tcPr>
          <w:p w14:paraId="270E4251" w14:textId="77777777" w:rsidR="00246F90" w:rsidRDefault="00457D9D" w:rsidP="00257DEC">
            <w:pPr>
              <w:pStyle w:val="TableText"/>
            </w:pPr>
            <w:r w:rsidRPr="63000390">
              <w:rPr>
                <w:rFonts w:eastAsia="Arial" w:cs="Times New Roman"/>
              </w:rPr>
              <w:t>Withdrawals of nuclear material from safeguards</w:t>
            </w:r>
          </w:p>
        </w:tc>
        <w:tc>
          <w:tcPr>
            <w:tcW w:w="1701" w:type="dxa"/>
            <w:tcBorders>
              <w:top w:val="single" w:sz="4" w:space="0" w:color="22413A"/>
              <w:left w:val="single" w:sz="4" w:space="0" w:color="22413A"/>
              <w:bottom w:val="single" w:sz="4" w:space="0" w:color="22413A"/>
            </w:tcBorders>
            <w:shd w:val="clear" w:color="auto" w:fill="auto"/>
            <w:tcMar>
              <w:top w:w="57" w:type="dxa"/>
              <w:left w:w="113" w:type="dxa"/>
              <w:bottom w:w="57" w:type="dxa"/>
              <w:right w:w="113" w:type="dxa"/>
            </w:tcMar>
            <w:vAlign w:val="center"/>
          </w:tcPr>
          <w:p w14:paraId="6912F191" w14:textId="77777777" w:rsidR="00246F90" w:rsidRDefault="00457D9D" w:rsidP="00463F96">
            <w:pPr>
              <w:pStyle w:val="TableText"/>
              <w:rPr>
                <w:rFonts w:eastAsia="Arial" w:cs="Times New Roman"/>
              </w:rPr>
            </w:pPr>
            <w:r>
              <w:rPr>
                <w:rFonts w:eastAsia="Arial" w:cs="Times New Roman"/>
              </w:rPr>
              <w:t>Annual</w:t>
            </w:r>
          </w:p>
        </w:tc>
      </w:tr>
      <w:tr w:rsidR="63000390" w14:paraId="70594C5A" w14:textId="77777777" w:rsidTr="005D082D">
        <w:trPr>
          <w:trHeight w:val="682"/>
        </w:trPr>
        <w:tc>
          <w:tcPr>
            <w:tcW w:w="7938" w:type="dxa"/>
            <w:tcBorders>
              <w:top w:val="single" w:sz="4" w:space="0" w:color="22413A"/>
              <w:bottom w:val="single" w:sz="4" w:space="0" w:color="22413A"/>
              <w:right w:val="single" w:sz="4" w:space="0" w:color="22413A"/>
            </w:tcBorders>
            <w:shd w:val="clear" w:color="auto" w:fill="auto"/>
            <w:tcMar>
              <w:top w:w="57" w:type="dxa"/>
              <w:left w:w="113" w:type="dxa"/>
              <w:bottom w:w="57" w:type="dxa"/>
              <w:right w:w="113" w:type="dxa"/>
            </w:tcMar>
            <w:vAlign w:val="center"/>
          </w:tcPr>
          <w:p w14:paraId="25EACCA9" w14:textId="5F0D6995" w:rsidR="56918006" w:rsidRDefault="56918006" w:rsidP="00463F96">
            <w:pPr>
              <w:pStyle w:val="TableText"/>
              <w:rPr>
                <w:rFonts w:eastAsia="Arial" w:cs="Times New Roman"/>
              </w:rPr>
            </w:pPr>
            <w:r w:rsidRPr="63000390">
              <w:rPr>
                <w:rFonts w:eastAsia="Arial" w:cs="Times New Roman"/>
              </w:rPr>
              <w:t>Programme of Activities pursuant to the UK Voluntary Offer Agreement</w:t>
            </w:r>
          </w:p>
        </w:tc>
        <w:tc>
          <w:tcPr>
            <w:tcW w:w="1701" w:type="dxa"/>
            <w:tcBorders>
              <w:top w:val="single" w:sz="4" w:space="0" w:color="22413A"/>
              <w:left w:val="single" w:sz="4" w:space="0" w:color="22413A"/>
              <w:bottom w:val="single" w:sz="4" w:space="0" w:color="22413A"/>
            </w:tcBorders>
            <w:shd w:val="clear" w:color="auto" w:fill="auto"/>
            <w:tcMar>
              <w:top w:w="57" w:type="dxa"/>
              <w:left w:w="113" w:type="dxa"/>
              <w:bottom w:w="57" w:type="dxa"/>
              <w:right w:w="113" w:type="dxa"/>
            </w:tcMar>
            <w:vAlign w:val="center"/>
          </w:tcPr>
          <w:p w14:paraId="18F1F9F5" w14:textId="4D02F63E" w:rsidR="56918006" w:rsidRDefault="56918006" w:rsidP="00463F96">
            <w:pPr>
              <w:pStyle w:val="TableText"/>
              <w:rPr>
                <w:rFonts w:eastAsia="Arial" w:cs="Times New Roman"/>
              </w:rPr>
            </w:pPr>
            <w:r w:rsidRPr="63000390">
              <w:rPr>
                <w:rFonts w:eastAsia="Arial" w:cs="Times New Roman"/>
              </w:rPr>
              <w:t>Annual</w:t>
            </w:r>
          </w:p>
        </w:tc>
      </w:tr>
      <w:tr w:rsidR="009E45CE" w14:paraId="285D6242" w14:textId="77777777" w:rsidTr="005D082D">
        <w:trPr>
          <w:trHeight w:val="682"/>
        </w:trPr>
        <w:tc>
          <w:tcPr>
            <w:tcW w:w="7938" w:type="dxa"/>
            <w:tcBorders>
              <w:top w:val="single" w:sz="4" w:space="0" w:color="22413A"/>
              <w:bottom w:val="single" w:sz="4" w:space="0" w:color="22413A"/>
              <w:right w:val="single" w:sz="4" w:space="0" w:color="22413A"/>
            </w:tcBorders>
            <w:shd w:val="clear" w:color="auto" w:fill="auto"/>
            <w:tcMar>
              <w:top w:w="57" w:type="dxa"/>
              <w:left w:w="113" w:type="dxa"/>
              <w:bottom w:w="57" w:type="dxa"/>
              <w:right w:w="113" w:type="dxa"/>
            </w:tcMar>
            <w:vAlign w:val="center"/>
          </w:tcPr>
          <w:p w14:paraId="7C9F0C89" w14:textId="12C53538" w:rsidR="009E45CE" w:rsidRPr="00D4307B" w:rsidRDefault="009E45CE" w:rsidP="00463F96">
            <w:pPr>
              <w:pStyle w:val="TableText"/>
              <w:rPr>
                <w:rFonts w:eastAsia="Arial" w:cs="Times New Roman"/>
                <w:highlight w:val="yellow"/>
              </w:rPr>
            </w:pPr>
            <w:r w:rsidRPr="00D4307B">
              <w:rPr>
                <w:rFonts w:eastAsia="Arial" w:cs="Times New Roman"/>
              </w:rPr>
              <w:t>INFC</w:t>
            </w:r>
            <w:r w:rsidR="00486575" w:rsidRPr="00D4307B">
              <w:rPr>
                <w:rFonts w:eastAsia="Arial" w:cs="Times New Roman"/>
              </w:rPr>
              <w:t xml:space="preserve">IRC/549 – </w:t>
            </w:r>
            <w:r w:rsidR="001F5582" w:rsidRPr="00D4307B">
              <w:rPr>
                <w:rFonts w:eastAsia="Arial" w:cs="Times New Roman"/>
              </w:rPr>
              <w:t>Annual inventories of</w:t>
            </w:r>
            <w:r w:rsidR="001A6C44" w:rsidRPr="00D4307B">
              <w:rPr>
                <w:rFonts w:eastAsia="Arial" w:cs="Times New Roman"/>
              </w:rPr>
              <w:t xml:space="preserve"> </w:t>
            </w:r>
            <w:r w:rsidR="00486575" w:rsidRPr="00D4307B">
              <w:rPr>
                <w:rFonts w:eastAsia="Arial" w:cs="Times New Roman"/>
              </w:rPr>
              <w:t>P</w:t>
            </w:r>
            <w:r w:rsidR="001F5582" w:rsidRPr="00D4307B">
              <w:rPr>
                <w:rFonts w:eastAsia="Arial" w:cs="Times New Roman"/>
              </w:rPr>
              <w:t>lutonium</w:t>
            </w:r>
            <w:r w:rsidR="003670A5" w:rsidRPr="00D4307B">
              <w:rPr>
                <w:rFonts w:eastAsia="Arial" w:cs="Times New Roman"/>
              </w:rPr>
              <w:t xml:space="preserve"> and H</w:t>
            </w:r>
            <w:r w:rsidR="001A6C44">
              <w:rPr>
                <w:rFonts w:eastAsia="Arial" w:cs="Times New Roman"/>
              </w:rPr>
              <w:t xml:space="preserve">ighly </w:t>
            </w:r>
            <w:r w:rsidR="003670A5" w:rsidRPr="00D4307B">
              <w:rPr>
                <w:rFonts w:eastAsia="Arial" w:cs="Times New Roman"/>
              </w:rPr>
              <w:t>E</w:t>
            </w:r>
            <w:r w:rsidR="001A6C44">
              <w:rPr>
                <w:rFonts w:eastAsia="Arial" w:cs="Times New Roman"/>
              </w:rPr>
              <w:t xml:space="preserve">nriched </w:t>
            </w:r>
            <w:r w:rsidR="003670A5" w:rsidRPr="00D4307B">
              <w:rPr>
                <w:rFonts w:eastAsia="Arial" w:cs="Times New Roman"/>
              </w:rPr>
              <w:t>U</w:t>
            </w:r>
            <w:r w:rsidR="001A6C44">
              <w:rPr>
                <w:rFonts w:eastAsia="Arial" w:cs="Times New Roman"/>
              </w:rPr>
              <w:t>ranium</w:t>
            </w:r>
            <w:r w:rsidR="003670A5" w:rsidRPr="00D4307B">
              <w:rPr>
                <w:rFonts w:eastAsia="Arial" w:cs="Times New Roman"/>
              </w:rPr>
              <w:t xml:space="preserve"> </w:t>
            </w:r>
            <w:r w:rsidR="001A6C44">
              <w:rPr>
                <w:rFonts w:eastAsia="Arial" w:cs="Times New Roman"/>
              </w:rPr>
              <w:t>Holdings</w:t>
            </w:r>
          </w:p>
        </w:tc>
        <w:tc>
          <w:tcPr>
            <w:tcW w:w="1701" w:type="dxa"/>
            <w:tcBorders>
              <w:top w:val="single" w:sz="4" w:space="0" w:color="22413A"/>
              <w:left w:val="single" w:sz="4" w:space="0" w:color="22413A"/>
              <w:bottom w:val="single" w:sz="4" w:space="0" w:color="22413A"/>
            </w:tcBorders>
            <w:shd w:val="clear" w:color="auto" w:fill="auto"/>
            <w:tcMar>
              <w:top w:w="57" w:type="dxa"/>
              <w:left w:w="113" w:type="dxa"/>
              <w:bottom w:w="57" w:type="dxa"/>
              <w:right w:w="113" w:type="dxa"/>
            </w:tcMar>
            <w:vAlign w:val="center"/>
          </w:tcPr>
          <w:p w14:paraId="7CB0DEB9" w14:textId="675181C5" w:rsidR="009E45CE" w:rsidRPr="63000390" w:rsidRDefault="003670A5" w:rsidP="00463F96">
            <w:pPr>
              <w:pStyle w:val="TableText"/>
              <w:rPr>
                <w:rFonts w:eastAsia="Arial" w:cs="Times New Roman"/>
              </w:rPr>
            </w:pPr>
            <w:r>
              <w:rPr>
                <w:rFonts w:eastAsia="Arial" w:cs="Times New Roman"/>
              </w:rPr>
              <w:t>Annual</w:t>
            </w:r>
          </w:p>
        </w:tc>
      </w:tr>
    </w:tbl>
    <w:p w14:paraId="691A7592" w14:textId="77777777" w:rsidR="00246F90" w:rsidRDefault="00246F90"/>
    <w:p w14:paraId="371D6085" w14:textId="77777777" w:rsidR="00246F90" w:rsidRDefault="00457D9D">
      <w:pPr>
        <w:pStyle w:val="Heading2"/>
      </w:pPr>
      <w:bookmarkStart w:id="8" w:name="_Toc185234899"/>
      <w:r>
        <w:t>Qualifying Nuclear Facilities with Limited Operation</w:t>
      </w:r>
      <w:bookmarkEnd w:id="8"/>
    </w:p>
    <w:p w14:paraId="675CF211" w14:textId="68C12F79" w:rsidR="00246F90" w:rsidRDefault="00457D9D" w:rsidP="00032164">
      <w:pPr>
        <w:spacing w:line="252" w:lineRule="auto"/>
      </w:pPr>
      <w:r w:rsidRPr="0076276C">
        <w:t xml:space="preserve">We </w:t>
      </w:r>
      <w:r w:rsidRPr="003937D3">
        <w:t xml:space="preserve">regulate more than </w:t>
      </w:r>
      <w:r w:rsidRPr="00105C6F">
        <w:t>1</w:t>
      </w:r>
      <w:r w:rsidR="009E29EA" w:rsidRPr="00105C6F">
        <w:t>30</w:t>
      </w:r>
      <w:r w:rsidRPr="003937D3">
        <w:t xml:space="preserve"> qualifying</w:t>
      </w:r>
      <w:r w:rsidRPr="0076276C">
        <w:t xml:space="preserve"> nuclear facilities with limited operation (QNFLOs), this number fluctuating over time due to the changing nature of these organisations’ activities.</w:t>
      </w:r>
      <w:r>
        <w:t xml:space="preserve"> They primarily comprise universities, research centres, and small businesses. NSR19 provides</w:t>
      </w:r>
      <w:r w:rsidR="00880368">
        <w:t xml:space="preserve"> the opportunity </w:t>
      </w:r>
      <w:r>
        <w:t>for these operators to apply for a reduced safeguards reporting regime, which we have implemented following applications from eligible QNFLOs. The reduced reporting regime is working effectively</w:t>
      </w:r>
      <w:r w:rsidR="2FD062BA">
        <w:t>,</w:t>
      </w:r>
      <w:r>
        <w:t xml:space="preserve"> and we continue to support </w:t>
      </w:r>
      <w:r w:rsidR="0080661C">
        <w:t>the</w:t>
      </w:r>
      <w:r w:rsidR="00B8355A">
        <w:t>se</w:t>
      </w:r>
      <w:r w:rsidR="00041C75">
        <w:t xml:space="preserve"> organisations </w:t>
      </w:r>
      <w:r>
        <w:t>in meeting their obligations under NSR19.</w:t>
      </w:r>
      <w:r w:rsidR="00113620">
        <w:t xml:space="preserve"> For </w:t>
      </w:r>
      <w:r w:rsidR="00506F76">
        <w:t>QNFLOs</w:t>
      </w:r>
      <w:r w:rsidR="00113620">
        <w:t>, the same regulatory framework applies as with the larger facilities, but we adopt a proportionate approach given the scale of the facility.</w:t>
      </w:r>
    </w:p>
    <w:p w14:paraId="577B1CE5" w14:textId="77777777" w:rsidR="00246F90" w:rsidRDefault="00457D9D">
      <w:pPr>
        <w:pStyle w:val="Heading2"/>
      </w:pPr>
      <w:bookmarkStart w:id="9" w:name="_Toc185234900"/>
      <w:r>
        <w:lastRenderedPageBreak/>
        <w:t>AUKUS</w:t>
      </w:r>
      <w:bookmarkEnd w:id="9"/>
    </w:p>
    <w:p w14:paraId="23121717" w14:textId="43513FB1" w:rsidR="00011BE9" w:rsidRDefault="00011BE9" w:rsidP="005D082D">
      <w:pPr>
        <w:spacing w:line="252" w:lineRule="auto"/>
        <w:rPr>
          <w:szCs w:val="24"/>
        </w:rPr>
      </w:pPr>
      <w:r>
        <w:rPr>
          <w:szCs w:val="24"/>
        </w:rPr>
        <w:t xml:space="preserve">For the </w:t>
      </w:r>
      <w:r>
        <w:t xml:space="preserve">trilateral partnership between Australia, the UK and the US (AUKUS) regarding collaboration on future </w:t>
      </w:r>
      <w:r w:rsidR="00EB2590">
        <w:t>nuclear-powered</w:t>
      </w:r>
      <w:r>
        <w:t xml:space="preserve"> submarines for the Royal Australian Navy, n</w:t>
      </w:r>
      <w:r>
        <w:rPr>
          <w:szCs w:val="24"/>
        </w:rPr>
        <w:t xml:space="preserve">on-proliferation and international safeguards need to be considered. </w:t>
      </w:r>
    </w:p>
    <w:p w14:paraId="7CAF1E80" w14:textId="34B934A6" w:rsidR="000241E3" w:rsidRDefault="00011BE9" w:rsidP="005D082D">
      <w:pPr>
        <w:spacing w:line="252" w:lineRule="auto"/>
      </w:pPr>
      <w:r>
        <w:t xml:space="preserve">As part of the implementation work for this collaboration, DESNZ continue to draw on </w:t>
      </w:r>
      <w:r w:rsidR="51585C12">
        <w:t xml:space="preserve">our </w:t>
      </w:r>
      <w:r>
        <w:t xml:space="preserve">safeguards technical expertise in developing the safeguards and verification approach for AUKUS and </w:t>
      </w:r>
      <w:r w:rsidR="003670A5">
        <w:t xml:space="preserve">for </w:t>
      </w:r>
      <w:r>
        <w:t xml:space="preserve">providing capacity-building support to the Australian Safeguards and Non-Proliferation Office (ASNO). </w:t>
      </w:r>
    </w:p>
    <w:p w14:paraId="55692F11" w14:textId="6F51D396" w:rsidR="00011BE9" w:rsidRPr="00E95830" w:rsidRDefault="7CC3E471" w:rsidP="005D082D">
      <w:pPr>
        <w:spacing w:line="252" w:lineRule="auto"/>
      </w:pPr>
      <w:r>
        <w:t xml:space="preserve">We </w:t>
      </w:r>
      <w:r w:rsidR="00011BE9">
        <w:t xml:space="preserve">are represented at </w:t>
      </w:r>
      <w:r w:rsidR="00CA3D4D">
        <w:t>the UK</w:t>
      </w:r>
      <w:r w:rsidR="00A966BB">
        <w:t>s</w:t>
      </w:r>
      <w:r w:rsidR="00CA3D4D">
        <w:t xml:space="preserve"> </w:t>
      </w:r>
      <w:r w:rsidR="00011BE9">
        <w:t xml:space="preserve">AUKUS cross-Governmental safeguards </w:t>
      </w:r>
      <w:r w:rsidR="00832506">
        <w:t>technical</w:t>
      </w:r>
      <w:r w:rsidR="00011BE9">
        <w:t xml:space="preserve"> </w:t>
      </w:r>
      <w:r w:rsidR="00CA3D4D">
        <w:t>experts group</w:t>
      </w:r>
      <w:r w:rsidR="00011BE9">
        <w:t xml:space="preserve"> meetings </w:t>
      </w:r>
      <w:r w:rsidR="00A966BB">
        <w:t xml:space="preserve">and </w:t>
      </w:r>
      <w:r w:rsidR="00D92205">
        <w:t xml:space="preserve">in the UK delegation </w:t>
      </w:r>
      <w:r w:rsidR="008859EA">
        <w:t xml:space="preserve">meeting </w:t>
      </w:r>
      <w:r w:rsidR="00011BE9">
        <w:t xml:space="preserve">with trilateral partners </w:t>
      </w:r>
      <w:r w:rsidR="003670A5">
        <w:t>and with the IAEA</w:t>
      </w:r>
      <w:r w:rsidR="00256C65">
        <w:t xml:space="preserve"> </w:t>
      </w:r>
      <w:r w:rsidR="00011BE9">
        <w:t>where applicable.</w:t>
      </w:r>
    </w:p>
    <w:p w14:paraId="73045E48" w14:textId="51F2CD13" w:rsidR="00246F90" w:rsidRDefault="00FC6AAB" w:rsidP="00C079FF">
      <w:pPr>
        <w:pStyle w:val="Heading2"/>
      </w:pPr>
      <w:bookmarkStart w:id="10" w:name="_Toc185234901"/>
      <w:r>
        <w:t>Update of NSR19</w:t>
      </w:r>
      <w:bookmarkEnd w:id="10"/>
      <w:r>
        <w:t xml:space="preserve"> </w:t>
      </w:r>
    </w:p>
    <w:p w14:paraId="25EBA57C" w14:textId="5C26CFD4" w:rsidR="0086761D" w:rsidRDefault="00D87B24" w:rsidP="00B8355A">
      <w:pPr>
        <w:spacing w:line="252" w:lineRule="auto"/>
      </w:pPr>
      <w:r>
        <w:t>T</w:t>
      </w:r>
      <w:r w:rsidR="00457D9D">
        <w:t xml:space="preserve">he Post Implementation Review </w:t>
      </w:r>
      <w:r w:rsidR="6D7F24F4">
        <w:t>(PIR)</w:t>
      </w:r>
      <w:r w:rsidR="00457D9D">
        <w:t xml:space="preserve"> of NSR19 and the Nuclear </w:t>
      </w:r>
      <w:r w:rsidR="003670A5">
        <w:t>S</w:t>
      </w:r>
      <w:r w:rsidR="00457D9D">
        <w:t xml:space="preserve">afeguards (Fissionable Material and Relevant International </w:t>
      </w:r>
      <w:r w:rsidR="00EB2590">
        <w:t>Agreements) (</w:t>
      </w:r>
      <w:r w:rsidR="00457D9D">
        <w:t xml:space="preserve">EU Exit) Regulations </w:t>
      </w:r>
      <w:r w:rsidR="00834442">
        <w:t xml:space="preserve">was </w:t>
      </w:r>
      <w:r w:rsidR="00457D9D">
        <w:t xml:space="preserve">undertaken by DESNZ </w:t>
      </w:r>
      <w:r w:rsidR="005367EE">
        <w:t>in 2023</w:t>
      </w:r>
      <w:r w:rsidR="000F621E">
        <w:t>.</w:t>
      </w:r>
      <w:r w:rsidR="006B36DC">
        <w:t xml:space="preserve"> </w:t>
      </w:r>
      <w:r w:rsidR="00FC6AAB">
        <w:t>Since the PIR Report was published</w:t>
      </w:r>
      <w:r w:rsidR="005078D4">
        <w:t xml:space="preserve">, we have been engaging with DESNZ to address the </w:t>
      </w:r>
      <w:r w:rsidR="00D7623E">
        <w:t xml:space="preserve">required </w:t>
      </w:r>
      <w:r w:rsidR="003C0D67">
        <w:t xml:space="preserve">modifications </w:t>
      </w:r>
      <w:r w:rsidR="00162EC6">
        <w:t xml:space="preserve">to </w:t>
      </w:r>
      <w:r w:rsidR="00315F85">
        <w:t xml:space="preserve">simplify and strengthen the regulations </w:t>
      </w:r>
      <w:r w:rsidR="00ED3457">
        <w:t xml:space="preserve">to allow </w:t>
      </w:r>
      <w:r w:rsidR="77960EB8">
        <w:t>us</w:t>
      </w:r>
      <w:r w:rsidR="00A7629E">
        <w:t xml:space="preserve"> </w:t>
      </w:r>
      <w:r w:rsidR="00ED3457">
        <w:t xml:space="preserve">to </w:t>
      </w:r>
      <w:r w:rsidR="00620205">
        <w:t xml:space="preserve">better </w:t>
      </w:r>
      <w:r w:rsidR="00ED3457">
        <w:t>influence improvements in the relevant areas</w:t>
      </w:r>
      <w:r w:rsidR="001E4D99">
        <w:t xml:space="preserve">, and better align our </w:t>
      </w:r>
      <w:r w:rsidR="005B097E">
        <w:t xml:space="preserve">requirements to </w:t>
      </w:r>
      <w:r w:rsidR="00894417">
        <w:t>global standards.</w:t>
      </w:r>
      <w:r w:rsidR="00457D9D">
        <w:t xml:space="preserve"> </w:t>
      </w:r>
      <w:r w:rsidR="00136FCF">
        <w:t xml:space="preserve">Work is ongoing </w:t>
      </w:r>
      <w:r w:rsidR="004F5428">
        <w:t xml:space="preserve">with the intention </w:t>
      </w:r>
      <w:r w:rsidR="00BB7498">
        <w:t xml:space="preserve">being </w:t>
      </w:r>
      <w:r w:rsidR="00D56DBD">
        <w:t>that</w:t>
      </w:r>
      <w:r w:rsidR="004F5428">
        <w:t xml:space="preserve"> the amended regulations</w:t>
      </w:r>
      <w:r w:rsidR="00D01474">
        <w:t xml:space="preserve"> be issued</w:t>
      </w:r>
      <w:r w:rsidR="004F5428">
        <w:t xml:space="preserve"> </w:t>
      </w:r>
      <w:r w:rsidR="00D01474">
        <w:t>for</w:t>
      </w:r>
      <w:r w:rsidR="004F5428">
        <w:t xml:space="preserve"> consultation</w:t>
      </w:r>
      <w:r w:rsidR="00D01474">
        <w:t xml:space="preserve"> in 2025.</w:t>
      </w:r>
    </w:p>
    <w:p w14:paraId="63957BE9" w14:textId="4CBAE40E" w:rsidR="0086761D" w:rsidRDefault="0086761D" w:rsidP="0086761D">
      <w:pPr>
        <w:pStyle w:val="Heading2"/>
      </w:pPr>
      <w:bookmarkStart w:id="11" w:name="_Toc185234902"/>
      <w:r>
        <w:t>Treaty of Tlatelolco</w:t>
      </w:r>
      <w:bookmarkEnd w:id="11"/>
    </w:p>
    <w:p w14:paraId="5B0F954F" w14:textId="32995846" w:rsidR="000871AA" w:rsidRPr="000871AA" w:rsidRDefault="00B74116" w:rsidP="00894417">
      <w:r>
        <w:t>DESNZ</w:t>
      </w:r>
      <w:r w:rsidR="00ED7738">
        <w:t xml:space="preserve"> </w:t>
      </w:r>
      <w:r w:rsidR="001720FC">
        <w:t xml:space="preserve">are currently engaging with us </w:t>
      </w:r>
      <w:r>
        <w:t>to discuss ho</w:t>
      </w:r>
      <w:r w:rsidR="00E24595">
        <w:t xml:space="preserve">w </w:t>
      </w:r>
      <w:r w:rsidR="00894417">
        <w:t xml:space="preserve">the UK’s </w:t>
      </w:r>
      <w:r w:rsidR="00E24595">
        <w:t xml:space="preserve">safeguards </w:t>
      </w:r>
      <w:r w:rsidR="0023097D">
        <w:t>obligations</w:t>
      </w:r>
      <w:r w:rsidR="00D23205">
        <w:t xml:space="preserve"> </w:t>
      </w:r>
      <w:r w:rsidR="00E24595">
        <w:t xml:space="preserve">could be </w:t>
      </w:r>
      <w:r w:rsidR="00D23205">
        <w:t xml:space="preserve">implemented in </w:t>
      </w:r>
      <w:r w:rsidR="003C695C">
        <w:t xml:space="preserve">the </w:t>
      </w:r>
      <w:r w:rsidR="00D23205">
        <w:t xml:space="preserve">British Overseas Territories </w:t>
      </w:r>
      <w:r w:rsidR="00B734B9">
        <w:t>that</w:t>
      </w:r>
      <w:r w:rsidR="00A459F1">
        <w:t xml:space="preserve"> are signatories</w:t>
      </w:r>
      <w:r w:rsidR="00B95417">
        <w:t xml:space="preserve"> to the Treaty for the Prohibition of Nuclear Weapo</w:t>
      </w:r>
      <w:r w:rsidR="003C695C">
        <w:t>ns in Latin America (</w:t>
      </w:r>
      <w:r w:rsidR="005F61C3">
        <w:t>Treaty of Tlatelolco</w:t>
      </w:r>
      <w:r w:rsidR="003C695C">
        <w:t>)</w:t>
      </w:r>
      <w:r w:rsidR="005F61C3">
        <w:t xml:space="preserve">. </w:t>
      </w:r>
      <w:r w:rsidR="00B8355A">
        <w:t>Initial d</w:t>
      </w:r>
      <w:r w:rsidR="00400BD4">
        <w:t>iscussion</w:t>
      </w:r>
      <w:r w:rsidR="00BF0E7C">
        <w:t>s</w:t>
      </w:r>
      <w:r w:rsidR="00400BD4">
        <w:t xml:space="preserve"> </w:t>
      </w:r>
      <w:r w:rsidR="00041BAC">
        <w:t xml:space="preserve">with DESNZ have </w:t>
      </w:r>
      <w:r w:rsidR="00B734B9">
        <w:t>included</w:t>
      </w:r>
      <w:r w:rsidR="00400BD4">
        <w:t xml:space="preserve"> </w:t>
      </w:r>
      <w:r w:rsidR="00302821">
        <w:t xml:space="preserve">our feedback on </w:t>
      </w:r>
      <w:r w:rsidR="00400BD4">
        <w:t xml:space="preserve">what </w:t>
      </w:r>
      <w:r w:rsidR="00793138">
        <w:t xml:space="preserve">role </w:t>
      </w:r>
      <w:r w:rsidR="00938AC5">
        <w:t>we</w:t>
      </w:r>
      <w:r w:rsidR="00793138">
        <w:t xml:space="preserve"> c</w:t>
      </w:r>
      <w:r w:rsidR="0082351D">
        <w:t>ould</w:t>
      </w:r>
      <w:r w:rsidR="00793138">
        <w:t xml:space="preserve"> p</w:t>
      </w:r>
      <w:r w:rsidR="00BF0E7C">
        <w:t>erform</w:t>
      </w:r>
      <w:r w:rsidR="00793138">
        <w:t xml:space="preserve"> in </w:t>
      </w:r>
      <w:r w:rsidR="00C05DE4">
        <w:t>providing the necessary safeguards assurances</w:t>
      </w:r>
      <w:r w:rsidR="003A35D5">
        <w:t xml:space="preserve"> and </w:t>
      </w:r>
      <w:r w:rsidR="00C7061C">
        <w:t xml:space="preserve">we </w:t>
      </w:r>
      <w:r w:rsidR="003A35D5">
        <w:t>have dem</w:t>
      </w:r>
      <w:r w:rsidR="008A54DF">
        <w:t>on</w:t>
      </w:r>
      <w:r w:rsidR="003A35D5">
        <w:t>strated our commitment to supporting DESNZ</w:t>
      </w:r>
      <w:r w:rsidR="008A54DF">
        <w:t xml:space="preserve"> in this endeavour</w:t>
      </w:r>
      <w:r w:rsidR="00C05DE4">
        <w:t>.</w:t>
      </w:r>
      <w:r w:rsidR="00E40898">
        <w:t xml:space="preserve"> </w:t>
      </w:r>
      <w:r w:rsidR="004C0A94">
        <w:t xml:space="preserve">Providing such </w:t>
      </w:r>
      <w:r w:rsidR="008A54DF">
        <w:t xml:space="preserve">safeguards </w:t>
      </w:r>
      <w:r w:rsidR="004C0A94">
        <w:t>assurances</w:t>
      </w:r>
      <w:r w:rsidR="005038F4">
        <w:t xml:space="preserve"> </w:t>
      </w:r>
      <w:r w:rsidR="00BD291E">
        <w:t>currently sits</w:t>
      </w:r>
      <w:r w:rsidR="005038F4">
        <w:t xml:space="preserve"> </w:t>
      </w:r>
      <w:r w:rsidR="00BD291E">
        <w:t xml:space="preserve">outside our vires and </w:t>
      </w:r>
      <w:r w:rsidR="00C30447">
        <w:t xml:space="preserve">planning to implement </w:t>
      </w:r>
      <w:r w:rsidR="00CD5795">
        <w:t>this</w:t>
      </w:r>
      <w:r w:rsidR="00C30447">
        <w:t xml:space="preserve"> regime would require an assessment to </w:t>
      </w:r>
      <w:r w:rsidR="008E7A41">
        <w:t xml:space="preserve">identify the </w:t>
      </w:r>
      <w:r w:rsidR="00825E33">
        <w:t>appropriate</w:t>
      </w:r>
      <w:r w:rsidR="00BD291E">
        <w:t xml:space="preserve"> </w:t>
      </w:r>
      <w:r w:rsidR="008E7A41">
        <w:t xml:space="preserve">level of </w:t>
      </w:r>
      <w:r w:rsidR="00BD291E">
        <w:t>resource, funding, and legislative change.</w:t>
      </w:r>
      <w:r w:rsidR="00C64C9C">
        <w:t xml:space="preserve"> </w:t>
      </w:r>
    </w:p>
    <w:p w14:paraId="1BC8507E" w14:textId="77777777" w:rsidR="00246F90" w:rsidRDefault="00457D9D" w:rsidP="00257DEC">
      <w:pPr>
        <w:pStyle w:val="Heading1"/>
      </w:pPr>
      <w:bookmarkStart w:id="12" w:name="_Toc185234903"/>
      <w:r>
        <w:t>Conclusion</w:t>
      </w:r>
      <w:bookmarkEnd w:id="12"/>
    </w:p>
    <w:p w14:paraId="417D091B" w14:textId="0B2260E4" w:rsidR="00246F90" w:rsidRDefault="00457D9D" w:rsidP="004A1D10">
      <w:pPr>
        <w:spacing w:line="252" w:lineRule="auto"/>
      </w:pPr>
      <w:r w:rsidRPr="000D282C">
        <w:t xml:space="preserve">Through our implementation of NSR19 in </w:t>
      </w:r>
      <w:r w:rsidR="00597794" w:rsidRPr="000D282C">
        <w:t>202</w:t>
      </w:r>
      <w:r w:rsidR="00597794">
        <w:t>4</w:t>
      </w:r>
      <w:r w:rsidRPr="000D282C">
        <w:t xml:space="preserve">, we have enabled the UK to meet </w:t>
      </w:r>
      <w:r w:rsidR="0039457F" w:rsidRPr="000D282C">
        <w:t>all</w:t>
      </w:r>
      <w:r w:rsidRPr="000D282C">
        <w:t xml:space="preserve"> its international safeguards’ obligations</w:t>
      </w:r>
      <w:r w:rsidR="006F242E">
        <w:t>,</w:t>
      </w:r>
      <w:r w:rsidR="00B81FC7">
        <w:t xml:space="preserve"> </w:t>
      </w:r>
      <w:r w:rsidRPr="000D282C">
        <w:t xml:space="preserve">delivered the required </w:t>
      </w:r>
      <w:r w:rsidR="00274B14">
        <w:t xml:space="preserve">IAEA </w:t>
      </w:r>
      <w:r w:rsidRPr="000D282C">
        <w:t>safeguards reporting</w:t>
      </w:r>
      <w:r w:rsidR="008A3520" w:rsidRPr="000D282C">
        <w:t xml:space="preserve"> on time</w:t>
      </w:r>
      <w:r w:rsidR="006F242E">
        <w:t>, and</w:t>
      </w:r>
      <w:r>
        <w:t xml:space="preserve"> effectively facilitated IAEA safeguards activities in the UK. </w:t>
      </w:r>
      <w:bookmarkEnd w:id="2"/>
      <w:r w:rsidR="00A740AA">
        <w:t xml:space="preserve">During </w:t>
      </w:r>
      <w:r w:rsidR="00E30403">
        <w:t xml:space="preserve">2025, </w:t>
      </w:r>
      <w:r w:rsidR="006F242E">
        <w:t xml:space="preserve">we hope to see the updated NSR19 regulations be issued for consultation, and for further clarity </w:t>
      </w:r>
      <w:r w:rsidR="00ED4A04">
        <w:t xml:space="preserve">regarding </w:t>
      </w:r>
      <w:r w:rsidR="006F242E">
        <w:t xml:space="preserve">ONR’s role in </w:t>
      </w:r>
      <w:r w:rsidR="00842852">
        <w:t>the UK</w:t>
      </w:r>
      <w:r w:rsidR="00BC079D">
        <w:t xml:space="preserve"> meeting its</w:t>
      </w:r>
      <w:r w:rsidR="00842852">
        <w:t xml:space="preserve"> safeguards obligations </w:t>
      </w:r>
      <w:r w:rsidR="00B81FC7">
        <w:t>in its overseas territories in Latin America.</w:t>
      </w:r>
      <w:r w:rsidR="005012CD">
        <w:t xml:space="preserve"> </w:t>
      </w:r>
      <w:r w:rsidR="00D10CE0">
        <w:t xml:space="preserve">We will continue to work closely </w:t>
      </w:r>
      <w:r w:rsidR="00875E2B">
        <w:t xml:space="preserve">with </w:t>
      </w:r>
      <w:r w:rsidR="00620205">
        <w:t xml:space="preserve">our domestic </w:t>
      </w:r>
      <w:r w:rsidR="00875E2B">
        <w:t>operators to provide regul</w:t>
      </w:r>
      <w:r w:rsidR="00D411ED">
        <w:t>atory</w:t>
      </w:r>
      <w:r w:rsidR="00875E2B">
        <w:t xml:space="preserve"> advice and guidance to assist them in meeting their obligations under NSR19.</w:t>
      </w:r>
    </w:p>
    <w:p w14:paraId="74D33B47" w14:textId="42845647" w:rsidR="00246F90" w:rsidRPr="002052CA" w:rsidRDefault="00457D9D">
      <w:pPr>
        <w:pStyle w:val="Copyright"/>
        <w:rPr>
          <w:sz w:val="18"/>
          <w:szCs w:val="18"/>
        </w:rPr>
      </w:pPr>
      <w:r w:rsidRPr="002052CA">
        <w:rPr>
          <w:sz w:val="18"/>
          <w:szCs w:val="18"/>
        </w:rPr>
        <w:t>© Office for Nuclear Regulation, 202</w:t>
      </w:r>
      <w:r w:rsidR="00D24CE5">
        <w:rPr>
          <w:sz w:val="18"/>
          <w:szCs w:val="18"/>
        </w:rPr>
        <w:t>4</w:t>
      </w:r>
    </w:p>
    <w:p w14:paraId="27076AF0" w14:textId="40EBB1A4" w:rsidR="00246F90" w:rsidRPr="002052CA" w:rsidRDefault="00457D9D" w:rsidP="004A1D10">
      <w:pPr>
        <w:pStyle w:val="Copyright"/>
        <w:rPr>
          <w:sz w:val="18"/>
          <w:szCs w:val="18"/>
        </w:rPr>
      </w:pPr>
      <w:r w:rsidRPr="002052CA">
        <w:rPr>
          <w:sz w:val="18"/>
          <w:szCs w:val="18"/>
        </w:rPr>
        <w:t>Any enquiries related to this document should be sent to contact@onr.gov.uk</w:t>
      </w:r>
    </w:p>
    <w:sectPr w:rsidR="00246F90" w:rsidRPr="002052CA" w:rsidSect="003D4EE4">
      <w:footerReference w:type="default" r:id="rId12"/>
      <w:pgSz w:w="11906" w:h="16838"/>
      <w:pgMar w:top="1440" w:right="1080" w:bottom="1276" w:left="1080" w:header="397" w:footer="39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BB8C0A" w14:textId="77777777" w:rsidR="00D3667B" w:rsidRDefault="00D3667B">
      <w:pPr>
        <w:spacing w:after="0" w:line="240" w:lineRule="auto"/>
      </w:pPr>
      <w:r>
        <w:separator/>
      </w:r>
    </w:p>
  </w:endnote>
  <w:endnote w:type="continuationSeparator" w:id="0">
    <w:p w14:paraId="6FB7EE29" w14:textId="77777777" w:rsidR="00D3667B" w:rsidRDefault="00D3667B">
      <w:pPr>
        <w:spacing w:after="0" w:line="240" w:lineRule="auto"/>
      </w:pPr>
      <w:r>
        <w:continuationSeparator/>
      </w:r>
    </w:p>
  </w:endnote>
  <w:endnote w:type="continuationNotice" w:id="1">
    <w:p w14:paraId="5A6F792D" w14:textId="77777777" w:rsidR="00D3667B" w:rsidRDefault="00D3667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549052"/>
      <w:docPartObj>
        <w:docPartGallery w:val="Page Numbers (Bottom of Page)"/>
        <w:docPartUnique/>
      </w:docPartObj>
    </w:sdtPr>
    <w:sdtContent>
      <w:p w14:paraId="34A13285" w14:textId="77777777" w:rsidR="005D082D" w:rsidRDefault="005D082D" w:rsidP="005D082D">
        <w:pPr>
          <w:pStyle w:val="Footer"/>
        </w:pPr>
        <w:r>
          <w:t xml:space="preserve">Page | </w:t>
        </w: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E762A2" w14:textId="77777777" w:rsidR="00D3667B" w:rsidRDefault="00D3667B">
      <w:pPr>
        <w:spacing w:after="0" w:line="240" w:lineRule="auto"/>
      </w:pPr>
      <w:r>
        <w:rPr>
          <w:color w:val="000000"/>
        </w:rPr>
        <w:separator/>
      </w:r>
    </w:p>
  </w:footnote>
  <w:footnote w:type="continuationSeparator" w:id="0">
    <w:p w14:paraId="50274A6B" w14:textId="77777777" w:rsidR="00D3667B" w:rsidRDefault="00D3667B">
      <w:pPr>
        <w:spacing w:after="0" w:line="240" w:lineRule="auto"/>
      </w:pPr>
      <w:r>
        <w:continuationSeparator/>
      </w:r>
    </w:p>
  </w:footnote>
  <w:footnote w:type="continuationNotice" w:id="1">
    <w:p w14:paraId="63659A88" w14:textId="77777777" w:rsidR="00D3667B" w:rsidRDefault="00D3667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1C6B4" w14:textId="77777777" w:rsidR="00546605" w:rsidRDefault="00546605">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4A7DF4"/>
    <w:multiLevelType w:val="multilevel"/>
    <w:tmpl w:val="AFF49182"/>
    <w:styleLink w:val="LFO12"/>
    <w:lvl w:ilvl="0">
      <w:numFmt w:val="bullet"/>
      <w:pStyle w:val="Bulletlist1"/>
      <w:lvlText w:val=""/>
      <w:lvlJc w:val="left"/>
      <w:pPr>
        <w:ind w:left="360" w:hanging="360"/>
      </w:pPr>
      <w:rPr>
        <w:rFonts w:ascii="Symbol" w:hAnsi="Symbol"/>
        <w:strike w:val="0"/>
        <w:dstrike w:val="0"/>
        <w:color w:val="07716C"/>
        <w:sz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2F4F3714"/>
    <w:multiLevelType w:val="multilevel"/>
    <w:tmpl w:val="70CCD32C"/>
    <w:styleLink w:val="LFO18"/>
    <w:lvl w:ilvl="0">
      <w:start w:val="1"/>
      <w:numFmt w:val="decimal"/>
      <w:pStyle w:val="NumList2"/>
      <w:lvlText w:val="%1."/>
      <w:lvlJc w:val="left"/>
      <w:pPr>
        <w:ind w:left="357" w:hanging="357"/>
      </w:pPr>
    </w:lvl>
    <w:lvl w:ilvl="1">
      <w:start w:val="1"/>
      <w:numFmt w:val="lowerLetter"/>
      <w:lvlText w:val="%2)"/>
      <w:lvlJc w:val="left"/>
      <w:pPr>
        <w:ind w:left="714" w:hanging="357"/>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3A9A77AB"/>
    <w:multiLevelType w:val="hybridMultilevel"/>
    <w:tmpl w:val="6756EDA2"/>
    <w:lvl w:ilvl="0" w:tplc="F978FDC8">
      <w:start w:val="1"/>
      <w:numFmt w:val="bullet"/>
      <w:lvlText w:val=""/>
      <w:lvlJc w:val="left"/>
      <w:pPr>
        <w:ind w:left="720" w:hanging="360"/>
      </w:pPr>
      <w:rPr>
        <w:rFonts w:ascii="Symbol" w:hAnsi="Symbol" w:hint="default"/>
        <w:color w:val="07716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07B6A3E"/>
    <w:multiLevelType w:val="multilevel"/>
    <w:tmpl w:val="D97286CA"/>
    <w:lvl w:ilvl="0">
      <w:numFmt w:val="bullet"/>
      <w:lvlText w:val=""/>
      <w:lvlJc w:val="left"/>
      <w:pPr>
        <w:ind w:left="720" w:hanging="360"/>
      </w:pPr>
      <w:rPr>
        <w:rFonts w:ascii="Symbol" w:hAnsi="Symbol"/>
        <w:color w:val="07716C"/>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50DB16AC"/>
    <w:multiLevelType w:val="multilevel"/>
    <w:tmpl w:val="0BE0D376"/>
    <w:styleLink w:val="LFO19"/>
    <w:lvl w:ilvl="0">
      <w:numFmt w:val="bullet"/>
      <w:pStyle w:val="BulletList3"/>
      <w:lvlText w:val=""/>
      <w:lvlJc w:val="left"/>
      <w:pPr>
        <w:ind w:left="1072" w:hanging="358"/>
      </w:pPr>
      <w:rPr>
        <w:rFonts w:ascii="Symbol" w:hAnsi="Symbol"/>
        <w:strike w:val="0"/>
        <w:dstrike w:val="0"/>
        <w:color w:val="106470"/>
        <w:sz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5D223CAE"/>
    <w:multiLevelType w:val="hybridMultilevel"/>
    <w:tmpl w:val="5C9A0D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0B345CA"/>
    <w:multiLevelType w:val="multilevel"/>
    <w:tmpl w:val="463E478E"/>
    <w:styleLink w:val="LFO13"/>
    <w:lvl w:ilvl="0">
      <w:numFmt w:val="bullet"/>
      <w:pStyle w:val="Bulletlist2"/>
      <w:lvlText w:val=""/>
      <w:lvlJc w:val="left"/>
      <w:pPr>
        <w:ind w:left="757" w:hanging="360"/>
      </w:pPr>
      <w:rPr>
        <w:rFonts w:ascii="Symbol" w:hAnsi="Symbol"/>
        <w:strike w:val="0"/>
        <w:dstrike w:val="0"/>
        <w:color w:val="07716C"/>
        <w:sz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653169978">
    <w:abstractNumId w:val="0"/>
  </w:num>
  <w:num w:numId="2" w16cid:durableId="1061440604">
    <w:abstractNumId w:val="6"/>
  </w:num>
  <w:num w:numId="3" w16cid:durableId="1884824433">
    <w:abstractNumId w:val="1"/>
  </w:num>
  <w:num w:numId="4" w16cid:durableId="2017613115">
    <w:abstractNumId w:val="4"/>
  </w:num>
  <w:num w:numId="5" w16cid:durableId="754474676">
    <w:abstractNumId w:val="3"/>
  </w:num>
  <w:num w:numId="6" w16cid:durableId="2141411114">
    <w:abstractNumId w:val="2"/>
  </w:num>
  <w:num w:numId="7" w16cid:durableId="991175272">
    <w:abstractNumId w:val="0"/>
  </w:num>
  <w:num w:numId="8" w16cid:durableId="212284335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attachedTemplate r:id="rId1"/>
  <w:defaultTabStop w:val="720"/>
  <w:autoHyphenation/>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6F90"/>
    <w:rsid w:val="00001134"/>
    <w:rsid w:val="00003AB0"/>
    <w:rsid w:val="000108BB"/>
    <w:rsid w:val="00011BE9"/>
    <w:rsid w:val="00013D2D"/>
    <w:rsid w:val="00014F43"/>
    <w:rsid w:val="00021788"/>
    <w:rsid w:val="000241E3"/>
    <w:rsid w:val="00027F08"/>
    <w:rsid w:val="00032164"/>
    <w:rsid w:val="000325BB"/>
    <w:rsid w:val="0003602E"/>
    <w:rsid w:val="00041BAC"/>
    <w:rsid w:val="00041C75"/>
    <w:rsid w:val="000469E4"/>
    <w:rsid w:val="00047B7F"/>
    <w:rsid w:val="000568DF"/>
    <w:rsid w:val="00075813"/>
    <w:rsid w:val="000769AD"/>
    <w:rsid w:val="00076E8E"/>
    <w:rsid w:val="000871AA"/>
    <w:rsid w:val="00095E20"/>
    <w:rsid w:val="00097DF4"/>
    <w:rsid w:val="000A10B3"/>
    <w:rsid w:val="000B28C2"/>
    <w:rsid w:val="000B3083"/>
    <w:rsid w:val="000D282C"/>
    <w:rsid w:val="000D3AEA"/>
    <w:rsid w:val="000F125A"/>
    <w:rsid w:val="000F1490"/>
    <w:rsid w:val="000F31B8"/>
    <w:rsid w:val="000F3649"/>
    <w:rsid w:val="000F621E"/>
    <w:rsid w:val="000F6C0C"/>
    <w:rsid w:val="00105C6F"/>
    <w:rsid w:val="00112EE6"/>
    <w:rsid w:val="00113465"/>
    <w:rsid w:val="00113620"/>
    <w:rsid w:val="00113989"/>
    <w:rsid w:val="00127C5B"/>
    <w:rsid w:val="00131F04"/>
    <w:rsid w:val="00136FCF"/>
    <w:rsid w:val="0014039B"/>
    <w:rsid w:val="00150FF2"/>
    <w:rsid w:val="00162C54"/>
    <w:rsid w:val="00162EC6"/>
    <w:rsid w:val="001720FC"/>
    <w:rsid w:val="00173F22"/>
    <w:rsid w:val="00176BFE"/>
    <w:rsid w:val="00180A17"/>
    <w:rsid w:val="001823B9"/>
    <w:rsid w:val="00186E42"/>
    <w:rsid w:val="00186F07"/>
    <w:rsid w:val="001900EE"/>
    <w:rsid w:val="001959DD"/>
    <w:rsid w:val="00196F2D"/>
    <w:rsid w:val="0019709C"/>
    <w:rsid w:val="001977DC"/>
    <w:rsid w:val="001A21E0"/>
    <w:rsid w:val="001A5E58"/>
    <w:rsid w:val="001A6C44"/>
    <w:rsid w:val="001B0F0F"/>
    <w:rsid w:val="001B0F90"/>
    <w:rsid w:val="001B17B9"/>
    <w:rsid w:val="001B3E29"/>
    <w:rsid w:val="001B6A5C"/>
    <w:rsid w:val="001C0EA6"/>
    <w:rsid w:val="001C3D86"/>
    <w:rsid w:val="001D586A"/>
    <w:rsid w:val="001E4D99"/>
    <w:rsid w:val="001F3A99"/>
    <w:rsid w:val="001F5582"/>
    <w:rsid w:val="001F7D59"/>
    <w:rsid w:val="00202CDA"/>
    <w:rsid w:val="002052CA"/>
    <w:rsid w:val="00210020"/>
    <w:rsid w:val="0023097D"/>
    <w:rsid w:val="00234507"/>
    <w:rsid w:val="00242A0F"/>
    <w:rsid w:val="00246B1C"/>
    <w:rsid w:val="00246F35"/>
    <w:rsid w:val="00246F90"/>
    <w:rsid w:val="0025226F"/>
    <w:rsid w:val="00255E55"/>
    <w:rsid w:val="00256C65"/>
    <w:rsid w:val="00257DEC"/>
    <w:rsid w:val="00273563"/>
    <w:rsid w:val="00274B14"/>
    <w:rsid w:val="00276375"/>
    <w:rsid w:val="002775A4"/>
    <w:rsid w:val="002962FA"/>
    <w:rsid w:val="002A3648"/>
    <w:rsid w:val="002A6798"/>
    <w:rsid w:val="002B077F"/>
    <w:rsid w:val="002B2119"/>
    <w:rsid w:val="002B5574"/>
    <w:rsid w:val="002D0468"/>
    <w:rsid w:val="002D2BE8"/>
    <w:rsid w:val="002E07BF"/>
    <w:rsid w:val="002F5157"/>
    <w:rsid w:val="002F5F3D"/>
    <w:rsid w:val="002F6D97"/>
    <w:rsid w:val="002F6FC2"/>
    <w:rsid w:val="00302821"/>
    <w:rsid w:val="00302F4B"/>
    <w:rsid w:val="0031190D"/>
    <w:rsid w:val="003142B1"/>
    <w:rsid w:val="00315F85"/>
    <w:rsid w:val="00316729"/>
    <w:rsid w:val="00320D0E"/>
    <w:rsid w:val="003268F1"/>
    <w:rsid w:val="0033054E"/>
    <w:rsid w:val="00335809"/>
    <w:rsid w:val="00335A7F"/>
    <w:rsid w:val="00337DD6"/>
    <w:rsid w:val="0034432C"/>
    <w:rsid w:val="00347CA5"/>
    <w:rsid w:val="00354BE1"/>
    <w:rsid w:val="00360877"/>
    <w:rsid w:val="00366B3E"/>
    <w:rsid w:val="003670A5"/>
    <w:rsid w:val="00383568"/>
    <w:rsid w:val="0038477E"/>
    <w:rsid w:val="003856CF"/>
    <w:rsid w:val="00387908"/>
    <w:rsid w:val="003937D3"/>
    <w:rsid w:val="0039457F"/>
    <w:rsid w:val="003A01A0"/>
    <w:rsid w:val="003A35D5"/>
    <w:rsid w:val="003A7D8A"/>
    <w:rsid w:val="003C0D67"/>
    <w:rsid w:val="003C10BD"/>
    <w:rsid w:val="003C695C"/>
    <w:rsid w:val="003D3228"/>
    <w:rsid w:val="003D4EE4"/>
    <w:rsid w:val="003D5434"/>
    <w:rsid w:val="003D6209"/>
    <w:rsid w:val="003E090C"/>
    <w:rsid w:val="003E1E37"/>
    <w:rsid w:val="003E2B0B"/>
    <w:rsid w:val="00400BD4"/>
    <w:rsid w:val="004077DA"/>
    <w:rsid w:val="00423861"/>
    <w:rsid w:val="0044531B"/>
    <w:rsid w:val="00451D3F"/>
    <w:rsid w:val="00457647"/>
    <w:rsid w:val="00457D9D"/>
    <w:rsid w:val="00457FC4"/>
    <w:rsid w:val="00460072"/>
    <w:rsid w:val="00461BBE"/>
    <w:rsid w:val="00462EAB"/>
    <w:rsid w:val="00463F96"/>
    <w:rsid w:val="00466BBA"/>
    <w:rsid w:val="00471758"/>
    <w:rsid w:val="00472C34"/>
    <w:rsid w:val="00483149"/>
    <w:rsid w:val="00486575"/>
    <w:rsid w:val="004A1D10"/>
    <w:rsid w:val="004B162B"/>
    <w:rsid w:val="004B1F98"/>
    <w:rsid w:val="004B6EED"/>
    <w:rsid w:val="004C0279"/>
    <w:rsid w:val="004C0A94"/>
    <w:rsid w:val="004C220F"/>
    <w:rsid w:val="004D09F3"/>
    <w:rsid w:val="004D4E06"/>
    <w:rsid w:val="004F5428"/>
    <w:rsid w:val="004F6F86"/>
    <w:rsid w:val="005012CD"/>
    <w:rsid w:val="005038F4"/>
    <w:rsid w:val="00506F76"/>
    <w:rsid w:val="005078D4"/>
    <w:rsid w:val="0051317C"/>
    <w:rsid w:val="00513FE9"/>
    <w:rsid w:val="00522FBB"/>
    <w:rsid w:val="00534A70"/>
    <w:rsid w:val="005367EE"/>
    <w:rsid w:val="00546605"/>
    <w:rsid w:val="00554935"/>
    <w:rsid w:val="005575EC"/>
    <w:rsid w:val="00565F89"/>
    <w:rsid w:val="005739B4"/>
    <w:rsid w:val="0058040C"/>
    <w:rsid w:val="0058299B"/>
    <w:rsid w:val="00585069"/>
    <w:rsid w:val="00587C09"/>
    <w:rsid w:val="00597794"/>
    <w:rsid w:val="005A5B00"/>
    <w:rsid w:val="005B097E"/>
    <w:rsid w:val="005B1F12"/>
    <w:rsid w:val="005D082D"/>
    <w:rsid w:val="005E697C"/>
    <w:rsid w:val="005F02F6"/>
    <w:rsid w:val="005F61C3"/>
    <w:rsid w:val="00601FD7"/>
    <w:rsid w:val="006059A4"/>
    <w:rsid w:val="00606D1C"/>
    <w:rsid w:val="006115FF"/>
    <w:rsid w:val="00620205"/>
    <w:rsid w:val="00620523"/>
    <w:rsid w:val="00623B27"/>
    <w:rsid w:val="00625A7B"/>
    <w:rsid w:val="00626917"/>
    <w:rsid w:val="00626A63"/>
    <w:rsid w:val="0063546E"/>
    <w:rsid w:val="00636455"/>
    <w:rsid w:val="00642132"/>
    <w:rsid w:val="0064351F"/>
    <w:rsid w:val="00643FB1"/>
    <w:rsid w:val="00645DE9"/>
    <w:rsid w:val="00651C60"/>
    <w:rsid w:val="00664943"/>
    <w:rsid w:val="006732BD"/>
    <w:rsid w:val="00680566"/>
    <w:rsid w:val="00686379"/>
    <w:rsid w:val="00695554"/>
    <w:rsid w:val="00695A0F"/>
    <w:rsid w:val="006A5A62"/>
    <w:rsid w:val="006A5C00"/>
    <w:rsid w:val="006B0B45"/>
    <w:rsid w:val="006B0B75"/>
    <w:rsid w:val="006B36DC"/>
    <w:rsid w:val="006B71BD"/>
    <w:rsid w:val="006B8C9B"/>
    <w:rsid w:val="006E125D"/>
    <w:rsid w:val="006E1E04"/>
    <w:rsid w:val="006F242E"/>
    <w:rsid w:val="006F3148"/>
    <w:rsid w:val="006F3FAF"/>
    <w:rsid w:val="00702E4F"/>
    <w:rsid w:val="0071051A"/>
    <w:rsid w:val="00714C10"/>
    <w:rsid w:val="00717F41"/>
    <w:rsid w:val="00725184"/>
    <w:rsid w:val="007301B4"/>
    <w:rsid w:val="007475DD"/>
    <w:rsid w:val="00747FEB"/>
    <w:rsid w:val="0075340E"/>
    <w:rsid w:val="0075691E"/>
    <w:rsid w:val="007600E3"/>
    <w:rsid w:val="0076276C"/>
    <w:rsid w:val="007635B9"/>
    <w:rsid w:val="00793138"/>
    <w:rsid w:val="00795B9F"/>
    <w:rsid w:val="0079613B"/>
    <w:rsid w:val="007A7D55"/>
    <w:rsid w:val="007B7DCF"/>
    <w:rsid w:val="007D4A45"/>
    <w:rsid w:val="007F0180"/>
    <w:rsid w:val="007F3359"/>
    <w:rsid w:val="007F62CE"/>
    <w:rsid w:val="007F7B1F"/>
    <w:rsid w:val="0080641B"/>
    <w:rsid w:val="0080661C"/>
    <w:rsid w:val="008075DA"/>
    <w:rsid w:val="0082148A"/>
    <w:rsid w:val="0082351D"/>
    <w:rsid w:val="00823AAD"/>
    <w:rsid w:val="00825E33"/>
    <w:rsid w:val="00827070"/>
    <w:rsid w:val="00830FF2"/>
    <w:rsid w:val="00832506"/>
    <w:rsid w:val="00832C82"/>
    <w:rsid w:val="008341E2"/>
    <w:rsid w:val="00834442"/>
    <w:rsid w:val="00835BDE"/>
    <w:rsid w:val="008361FB"/>
    <w:rsid w:val="00842852"/>
    <w:rsid w:val="0086761D"/>
    <w:rsid w:val="00871CFA"/>
    <w:rsid w:val="00874190"/>
    <w:rsid w:val="00875E2B"/>
    <w:rsid w:val="0087735B"/>
    <w:rsid w:val="00880368"/>
    <w:rsid w:val="008859EA"/>
    <w:rsid w:val="0089362C"/>
    <w:rsid w:val="00894417"/>
    <w:rsid w:val="00896214"/>
    <w:rsid w:val="008967D6"/>
    <w:rsid w:val="008A3520"/>
    <w:rsid w:val="008A52F4"/>
    <w:rsid w:val="008A54DF"/>
    <w:rsid w:val="008A5B84"/>
    <w:rsid w:val="008B52A6"/>
    <w:rsid w:val="008C2727"/>
    <w:rsid w:val="008C3B54"/>
    <w:rsid w:val="008C592F"/>
    <w:rsid w:val="008C7861"/>
    <w:rsid w:val="008D342E"/>
    <w:rsid w:val="008E0B64"/>
    <w:rsid w:val="008E7A41"/>
    <w:rsid w:val="008F1A27"/>
    <w:rsid w:val="009012DE"/>
    <w:rsid w:val="00903F1D"/>
    <w:rsid w:val="0091232E"/>
    <w:rsid w:val="00920649"/>
    <w:rsid w:val="00922042"/>
    <w:rsid w:val="00922894"/>
    <w:rsid w:val="0093036C"/>
    <w:rsid w:val="009330E2"/>
    <w:rsid w:val="00938AC5"/>
    <w:rsid w:val="0094011F"/>
    <w:rsid w:val="00962291"/>
    <w:rsid w:val="00970C39"/>
    <w:rsid w:val="00973525"/>
    <w:rsid w:val="009949E9"/>
    <w:rsid w:val="009B0104"/>
    <w:rsid w:val="009B25ED"/>
    <w:rsid w:val="009B5BA5"/>
    <w:rsid w:val="009C415B"/>
    <w:rsid w:val="009C5F01"/>
    <w:rsid w:val="009D5EE4"/>
    <w:rsid w:val="009E1134"/>
    <w:rsid w:val="009E22E4"/>
    <w:rsid w:val="009E29EA"/>
    <w:rsid w:val="009E45CE"/>
    <w:rsid w:val="009E7AA5"/>
    <w:rsid w:val="00A01DBA"/>
    <w:rsid w:val="00A1121D"/>
    <w:rsid w:val="00A25D66"/>
    <w:rsid w:val="00A26327"/>
    <w:rsid w:val="00A26ADA"/>
    <w:rsid w:val="00A31BEA"/>
    <w:rsid w:val="00A32FC1"/>
    <w:rsid w:val="00A459F1"/>
    <w:rsid w:val="00A4797D"/>
    <w:rsid w:val="00A509EA"/>
    <w:rsid w:val="00A56D84"/>
    <w:rsid w:val="00A624EE"/>
    <w:rsid w:val="00A6685C"/>
    <w:rsid w:val="00A717DF"/>
    <w:rsid w:val="00A7207B"/>
    <w:rsid w:val="00A740AA"/>
    <w:rsid w:val="00A7629E"/>
    <w:rsid w:val="00A77428"/>
    <w:rsid w:val="00A82DE2"/>
    <w:rsid w:val="00A93C7A"/>
    <w:rsid w:val="00A966BB"/>
    <w:rsid w:val="00AA4F12"/>
    <w:rsid w:val="00AB00DA"/>
    <w:rsid w:val="00AC5278"/>
    <w:rsid w:val="00AC7BD2"/>
    <w:rsid w:val="00AD2817"/>
    <w:rsid w:val="00AD4A6E"/>
    <w:rsid w:val="00AF3722"/>
    <w:rsid w:val="00AF5177"/>
    <w:rsid w:val="00AF5750"/>
    <w:rsid w:val="00B06B00"/>
    <w:rsid w:val="00B13075"/>
    <w:rsid w:val="00B13C71"/>
    <w:rsid w:val="00B13DBA"/>
    <w:rsid w:val="00B14532"/>
    <w:rsid w:val="00B179A9"/>
    <w:rsid w:val="00B354CB"/>
    <w:rsid w:val="00B35F06"/>
    <w:rsid w:val="00B36A94"/>
    <w:rsid w:val="00B43E94"/>
    <w:rsid w:val="00B46B24"/>
    <w:rsid w:val="00B550A2"/>
    <w:rsid w:val="00B55D9C"/>
    <w:rsid w:val="00B56BE8"/>
    <w:rsid w:val="00B734B9"/>
    <w:rsid w:val="00B74116"/>
    <w:rsid w:val="00B80FF0"/>
    <w:rsid w:val="00B81951"/>
    <w:rsid w:val="00B81FC7"/>
    <w:rsid w:val="00B82AB9"/>
    <w:rsid w:val="00B8355A"/>
    <w:rsid w:val="00B83C5E"/>
    <w:rsid w:val="00B85364"/>
    <w:rsid w:val="00B915E3"/>
    <w:rsid w:val="00B93170"/>
    <w:rsid w:val="00B95417"/>
    <w:rsid w:val="00BA7980"/>
    <w:rsid w:val="00BA7E5D"/>
    <w:rsid w:val="00BB4479"/>
    <w:rsid w:val="00BB7498"/>
    <w:rsid w:val="00BB7AD8"/>
    <w:rsid w:val="00BC079D"/>
    <w:rsid w:val="00BD07A3"/>
    <w:rsid w:val="00BD291E"/>
    <w:rsid w:val="00BD2A39"/>
    <w:rsid w:val="00BD61BE"/>
    <w:rsid w:val="00BD62B0"/>
    <w:rsid w:val="00BF0E7C"/>
    <w:rsid w:val="00BF5D4F"/>
    <w:rsid w:val="00C04FC9"/>
    <w:rsid w:val="00C05DE4"/>
    <w:rsid w:val="00C079FF"/>
    <w:rsid w:val="00C20161"/>
    <w:rsid w:val="00C23DEE"/>
    <w:rsid w:val="00C30447"/>
    <w:rsid w:val="00C3097A"/>
    <w:rsid w:val="00C504BB"/>
    <w:rsid w:val="00C55D6E"/>
    <w:rsid w:val="00C61857"/>
    <w:rsid w:val="00C64C9C"/>
    <w:rsid w:val="00C7061C"/>
    <w:rsid w:val="00C72E75"/>
    <w:rsid w:val="00C72EB2"/>
    <w:rsid w:val="00C75067"/>
    <w:rsid w:val="00C76B91"/>
    <w:rsid w:val="00C82C9E"/>
    <w:rsid w:val="00C86351"/>
    <w:rsid w:val="00C922CF"/>
    <w:rsid w:val="00C96352"/>
    <w:rsid w:val="00C97636"/>
    <w:rsid w:val="00CA1947"/>
    <w:rsid w:val="00CA3D4D"/>
    <w:rsid w:val="00CA4EAD"/>
    <w:rsid w:val="00CB340E"/>
    <w:rsid w:val="00CB3807"/>
    <w:rsid w:val="00CB7A34"/>
    <w:rsid w:val="00CC0D72"/>
    <w:rsid w:val="00CC2FA9"/>
    <w:rsid w:val="00CC394C"/>
    <w:rsid w:val="00CC7A58"/>
    <w:rsid w:val="00CD5795"/>
    <w:rsid w:val="00CD6E24"/>
    <w:rsid w:val="00CE6DAC"/>
    <w:rsid w:val="00CF044D"/>
    <w:rsid w:val="00CF7A5A"/>
    <w:rsid w:val="00D01474"/>
    <w:rsid w:val="00D029FE"/>
    <w:rsid w:val="00D10CE0"/>
    <w:rsid w:val="00D146F2"/>
    <w:rsid w:val="00D20322"/>
    <w:rsid w:val="00D21E55"/>
    <w:rsid w:val="00D23205"/>
    <w:rsid w:val="00D24CE5"/>
    <w:rsid w:val="00D304B2"/>
    <w:rsid w:val="00D3099F"/>
    <w:rsid w:val="00D30D7D"/>
    <w:rsid w:val="00D32AB9"/>
    <w:rsid w:val="00D3667B"/>
    <w:rsid w:val="00D3772E"/>
    <w:rsid w:val="00D40B45"/>
    <w:rsid w:val="00D411ED"/>
    <w:rsid w:val="00D4307B"/>
    <w:rsid w:val="00D441FD"/>
    <w:rsid w:val="00D51DF2"/>
    <w:rsid w:val="00D52FA7"/>
    <w:rsid w:val="00D56DBD"/>
    <w:rsid w:val="00D664B1"/>
    <w:rsid w:val="00D731BC"/>
    <w:rsid w:val="00D74284"/>
    <w:rsid w:val="00D7623E"/>
    <w:rsid w:val="00D80847"/>
    <w:rsid w:val="00D84877"/>
    <w:rsid w:val="00D8720C"/>
    <w:rsid w:val="00D87652"/>
    <w:rsid w:val="00D87B24"/>
    <w:rsid w:val="00D91549"/>
    <w:rsid w:val="00D916E0"/>
    <w:rsid w:val="00D92205"/>
    <w:rsid w:val="00D930B4"/>
    <w:rsid w:val="00DA0424"/>
    <w:rsid w:val="00DA678E"/>
    <w:rsid w:val="00DB30C3"/>
    <w:rsid w:val="00DB6544"/>
    <w:rsid w:val="00DC79FA"/>
    <w:rsid w:val="00DD201B"/>
    <w:rsid w:val="00DD2570"/>
    <w:rsid w:val="00DD3632"/>
    <w:rsid w:val="00DD3CCB"/>
    <w:rsid w:val="00DD7809"/>
    <w:rsid w:val="00DE2C39"/>
    <w:rsid w:val="00DF3319"/>
    <w:rsid w:val="00DF5012"/>
    <w:rsid w:val="00DF6E62"/>
    <w:rsid w:val="00E07D23"/>
    <w:rsid w:val="00E24595"/>
    <w:rsid w:val="00E245FA"/>
    <w:rsid w:val="00E30403"/>
    <w:rsid w:val="00E332E9"/>
    <w:rsid w:val="00E3398D"/>
    <w:rsid w:val="00E407AC"/>
    <w:rsid w:val="00E40898"/>
    <w:rsid w:val="00E44B0F"/>
    <w:rsid w:val="00E46125"/>
    <w:rsid w:val="00E53833"/>
    <w:rsid w:val="00E562D5"/>
    <w:rsid w:val="00E632E8"/>
    <w:rsid w:val="00E65B49"/>
    <w:rsid w:val="00E723B3"/>
    <w:rsid w:val="00E757E1"/>
    <w:rsid w:val="00E76042"/>
    <w:rsid w:val="00E81541"/>
    <w:rsid w:val="00E83170"/>
    <w:rsid w:val="00E95830"/>
    <w:rsid w:val="00EA26E9"/>
    <w:rsid w:val="00EB2590"/>
    <w:rsid w:val="00EC2A10"/>
    <w:rsid w:val="00EC2ED1"/>
    <w:rsid w:val="00EC6EF1"/>
    <w:rsid w:val="00ED05AC"/>
    <w:rsid w:val="00ED3457"/>
    <w:rsid w:val="00ED499E"/>
    <w:rsid w:val="00ED4A04"/>
    <w:rsid w:val="00ED7738"/>
    <w:rsid w:val="00EE2146"/>
    <w:rsid w:val="00EF1D96"/>
    <w:rsid w:val="00EF24D1"/>
    <w:rsid w:val="00F0377D"/>
    <w:rsid w:val="00F056C9"/>
    <w:rsid w:val="00F10ED6"/>
    <w:rsid w:val="00F159A3"/>
    <w:rsid w:val="00F16433"/>
    <w:rsid w:val="00F17482"/>
    <w:rsid w:val="00F2036E"/>
    <w:rsid w:val="00F2457F"/>
    <w:rsid w:val="00F2706C"/>
    <w:rsid w:val="00F427B1"/>
    <w:rsid w:val="00F514B9"/>
    <w:rsid w:val="00F56A2A"/>
    <w:rsid w:val="00F60D72"/>
    <w:rsid w:val="00F6124F"/>
    <w:rsid w:val="00F67FF3"/>
    <w:rsid w:val="00F73331"/>
    <w:rsid w:val="00F76E53"/>
    <w:rsid w:val="00F776D3"/>
    <w:rsid w:val="00F961CA"/>
    <w:rsid w:val="00FA315F"/>
    <w:rsid w:val="00FA3659"/>
    <w:rsid w:val="00FA4751"/>
    <w:rsid w:val="00FA7C4C"/>
    <w:rsid w:val="00FB299F"/>
    <w:rsid w:val="00FB5315"/>
    <w:rsid w:val="00FC3009"/>
    <w:rsid w:val="00FC3979"/>
    <w:rsid w:val="00FC6AAB"/>
    <w:rsid w:val="00FD3833"/>
    <w:rsid w:val="00FE44D5"/>
    <w:rsid w:val="00FF06D9"/>
    <w:rsid w:val="00FF3D03"/>
    <w:rsid w:val="00FF5CE7"/>
    <w:rsid w:val="00FF6948"/>
    <w:rsid w:val="00FF77D6"/>
    <w:rsid w:val="00FF7DB8"/>
    <w:rsid w:val="0179F01A"/>
    <w:rsid w:val="02712141"/>
    <w:rsid w:val="028D80B3"/>
    <w:rsid w:val="04691DC6"/>
    <w:rsid w:val="05F0E4C4"/>
    <w:rsid w:val="0CE940B7"/>
    <w:rsid w:val="0EAA6BAE"/>
    <w:rsid w:val="0EC02D74"/>
    <w:rsid w:val="0F88F14B"/>
    <w:rsid w:val="0FB32840"/>
    <w:rsid w:val="0FD57385"/>
    <w:rsid w:val="116CC2E6"/>
    <w:rsid w:val="161D2AE8"/>
    <w:rsid w:val="17171BCB"/>
    <w:rsid w:val="176CB07D"/>
    <w:rsid w:val="18BDE32B"/>
    <w:rsid w:val="19C831C8"/>
    <w:rsid w:val="214925F4"/>
    <w:rsid w:val="22AEC72D"/>
    <w:rsid w:val="26B79D85"/>
    <w:rsid w:val="26C77C58"/>
    <w:rsid w:val="2708768B"/>
    <w:rsid w:val="29122976"/>
    <w:rsid w:val="29B32A39"/>
    <w:rsid w:val="2B731517"/>
    <w:rsid w:val="2BFA6CE0"/>
    <w:rsid w:val="2C13953D"/>
    <w:rsid w:val="2D5758C9"/>
    <w:rsid w:val="2E67419E"/>
    <w:rsid w:val="2FD062BA"/>
    <w:rsid w:val="3051457E"/>
    <w:rsid w:val="3056ADFE"/>
    <w:rsid w:val="313AAD3A"/>
    <w:rsid w:val="31589A2B"/>
    <w:rsid w:val="31F36298"/>
    <w:rsid w:val="335583D1"/>
    <w:rsid w:val="337A843B"/>
    <w:rsid w:val="34D55432"/>
    <w:rsid w:val="34E83DB0"/>
    <w:rsid w:val="358A9F34"/>
    <w:rsid w:val="36DEBAF4"/>
    <w:rsid w:val="37967CA3"/>
    <w:rsid w:val="3BA0D112"/>
    <w:rsid w:val="3CC5899F"/>
    <w:rsid w:val="3FB9D6EA"/>
    <w:rsid w:val="402F7904"/>
    <w:rsid w:val="4348608A"/>
    <w:rsid w:val="43902EDC"/>
    <w:rsid w:val="43B75D20"/>
    <w:rsid w:val="43D24D9C"/>
    <w:rsid w:val="43F2F7F2"/>
    <w:rsid w:val="471D8DCA"/>
    <w:rsid w:val="4884605A"/>
    <w:rsid w:val="4A756A02"/>
    <w:rsid w:val="4B30130C"/>
    <w:rsid w:val="4B5E938B"/>
    <w:rsid w:val="4B943330"/>
    <w:rsid w:val="4F36A1EF"/>
    <w:rsid w:val="4F58BB0C"/>
    <w:rsid w:val="51585C12"/>
    <w:rsid w:val="5218882C"/>
    <w:rsid w:val="52CD2759"/>
    <w:rsid w:val="53625A69"/>
    <w:rsid w:val="53BC38E0"/>
    <w:rsid w:val="550EB350"/>
    <w:rsid w:val="56918006"/>
    <w:rsid w:val="57A23E8F"/>
    <w:rsid w:val="580C9E66"/>
    <w:rsid w:val="593704D6"/>
    <w:rsid w:val="5982C5C8"/>
    <w:rsid w:val="5C104E13"/>
    <w:rsid w:val="5D5B3AD3"/>
    <w:rsid w:val="5E9DDA79"/>
    <w:rsid w:val="5F2BD580"/>
    <w:rsid w:val="5F4CA67D"/>
    <w:rsid w:val="5F512CDA"/>
    <w:rsid w:val="601C7BEA"/>
    <w:rsid w:val="619B210D"/>
    <w:rsid w:val="626DA919"/>
    <w:rsid w:val="63000390"/>
    <w:rsid w:val="6406EF43"/>
    <w:rsid w:val="680B630E"/>
    <w:rsid w:val="6823105F"/>
    <w:rsid w:val="68308661"/>
    <w:rsid w:val="68A85D41"/>
    <w:rsid w:val="69C99B60"/>
    <w:rsid w:val="6A953E1A"/>
    <w:rsid w:val="6BAAC392"/>
    <w:rsid w:val="6D7F24F4"/>
    <w:rsid w:val="6DDF4FFA"/>
    <w:rsid w:val="6DF66876"/>
    <w:rsid w:val="6EAE6901"/>
    <w:rsid w:val="6F0247B1"/>
    <w:rsid w:val="723F2FCC"/>
    <w:rsid w:val="72D8B2D3"/>
    <w:rsid w:val="731AFA1A"/>
    <w:rsid w:val="764D75DA"/>
    <w:rsid w:val="77960EB8"/>
    <w:rsid w:val="78320213"/>
    <w:rsid w:val="7A5B9AB2"/>
    <w:rsid w:val="7B2D1B5B"/>
    <w:rsid w:val="7B4629CA"/>
    <w:rsid w:val="7BEFF3F0"/>
    <w:rsid w:val="7C07A782"/>
    <w:rsid w:val="7C8A7223"/>
    <w:rsid w:val="7CC3E471"/>
    <w:rsid w:val="7D8F313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DB4143"/>
  <w15:docId w15:val="{8D3CBE92-BD0C-4AF4-BAE2-DEE31AD54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40" w:line="244" w:lineRule="auto"/>
    </w:pPr>
    <w:rPr>
      <w:rFonts w:ascii="Arial" w:hAnsi="Arial"/>
      <w:sz w:val="24"/>
      <w:szCs w:val="22"/>
      <w:lang w:eastAsia="en-US" w:bidi="he-IL"/>
    </w:rPr>
  </w:style>
  <w:style w:type="paragraph" w:styleId="Heading1">
    <w:name w:val="heading 1"/>
    <w:basedOn w:val="Normal"/>
    <w:next w:val="Normal"/>
    <w:uiPriority w:val="9"/>
    <w:qFormat/>
    <w:pPr>
      <w:keepNext/>
      <w:spacing w:before="240"/>
      <w:outlineLvl w:val="0"/>
    </w:pPr>
    <w:rPr>
      <w:color w:val="22413A"/>
      <w:sz w:val="48"/>
    </w:rPr>
  </w:style>
  <w:style w:type="paragraph" w:styleId="Heading2">
    <w:name w:val="heading 2"/>
    <w:basedOn w:val="Normal"/>
    <w:next w:val="Normal"/>
    <w:uiPriority w:val="9"/>
    <w:unhideWhenUsed/>
    <w:qFormat/>
    <w:pPr>
      <w:keepNext/>
      <w:outlineLvl w:val="1"/>
    </w:pPr>
    <w:rPr>
      <w:color w:val="22413A"/>
      <w:sz w:val="36"/>
    </w:rPr>
  </w:style>
  <w:style w:type="paragraph" w:styleId="Heading3">
    <w:name w:val="heading 3"/>
    <w:basedOn w:val="Normal"/>
    <w:next w:val="Normal"/>
    <w:uiPriority w:val="9"/>
    <w:semiHidden/>
    <w:unhideWhenUsed/>
    <w:qFormat/>
    <w:pPr>
      <w:keepNext/>
      <w:outlineLvl w:val="2"/>
    </w:pPr>
    <w:rPr>
      <w:i/>
      <w:color w:val="22413A"/>
      <w:sz w:val="28"/>
    </w:rPr>
  </w:style>
  <w:style w:type="paragraph" w:styleId="Heading4">
    <w:name w:val="heading 4"/>
    <w:basedOn w:val="Normal"/>
    <w:next w:val="Normal"/>
    <w:uiPriority w:val="9"/>
    <w:semiHidden/>
    <w:unhideWhenUsed/>
    <w:qFormat/>
    <w:pPr>
      <w:keepNext/>
      <w:outlineLvl w:val="3"/>
    </w:pPr>
    <w:rPr>
      <w:b/>
      <w:color w:val="22413A"/>
    </w:rPr>
  </w:style>
  <w:style w:type="paragraph" w:styleId="Heading5">
    <w:name w:val="heading 5"/>
    <w:basedOn w:val="Normal"/>
    <w:next w:val="Normal"/>
    <w:uiPriority w:val="9"/>
    <w:semiHidden/>
    <w:unhideWhenUsed/>
    <w:qFormat/>
    <w:pPr>
      <w:keepNext/>
      <w:outlineLvl w:val="4"/>
    </w:pPr>
    <w:rPr>
      <w:i/>
      <w:color w:val="22413A"/>
    </w:rPr>
  </w:style>
  <w:style w:type="paragraph" w:styleId="Heading6">
    <w:name w:val="heading 6"/>
    <w:basedOn w:val="Normal"/>
    <w:next w:val="Normal"/>
    <w:uiPriority w:val="9"/>
    <w:semiHidden/>
    <w:unhideWhenUsed/>
    <w:qFormat/>
    <w:pPr>
      <w:keepNext/>
      <w:keepLines/>
      <w:outlineLvl w:val="5"/>
    </w:pPr>
    <w:rPr>
      <w:rFonts w:eastAsia="Times New Roman" w:cs="Times New Roman"/>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pBdr>
        <w:bottom w:val="single" w:sz="4" w:space="6" w:color="22413A"/>
      </w:pBdr>
      <w:tabs>
        <w:tab w:val="center" w:pos="4513"/>
        <w:tab w:val="right" w:pos="9026"/>
      </w:tabs>
      <w:jc w:val="right"/>
    </w:pPr>
    <w:rPr>
      <w:color w:val="22413A"/>
      <w:sz w:val="18"/>
    </w:rPr>
  </w:style>
  <w:style w:type="character" w:customStyle="1" w:styleId="HeaderChar">
    <w:name w:val="Header Char"/>
    <w:rPr>
      <w:rFonts w:ascii="Arial" w:hAnsi="Arial"/>
      <w:color w:val="22413A"/>
      <w:sz w:val="18"/>
      <w:szCs w:val="22"/>
      <w:lang w:eastAsia="en-US" w:bidi="he-IL"/>
    </w:rPr>
  </w:style>
  <w:style w:type="paragraph" w:styleId="Footer">
    <w:name w:val="footer"/>
    <w:basedOn w:val="Normal"/>
    <w:uiPriority w:val="99"/>
    <w:pPr>
      <w:tabs>
        <w:tab w:val="center" w:pos="4513"/>
        <w:tab w:val="right" w:pos="9026"/>
      </w:tabs>
      <w:jc w:val="right"/>
    </w:pPr>
    <w:rPr>
      <w:color w:val="22413A"/>
    </w:rPr>
  </w:style>
  <w:style w:type="character" w:customStyle="1" w:styleId="FooterChar">
    <w:name w:val="Footer Char"/>
    <w:uiPriority w:val="99"/>
    <w:rPr>
      <w:rFonts w:ascii="Arial" w:hAnsi="Arial"/>
      <w:color w:val="22413A"/>
      <w:sz w:val="24"/>
      <w:szCs w:val="22"/>
      <w:lang w:eastAsia="en-US" w:bidi="he-IL"/>
    </w:rPr>
  </w:style>
  <w:style w:type="character" w:styleId="PageNumber">
    <w:name w:val="page number"/>
    <w:rPr>
      <w:rFonts w:ascii="Arial" w:hAnsi="Arial"/>
      <w:b w:val="0"/>
      <w:color w:val="auto"/>
      <w:sz w:val="22"/>
    </w:rPr>
  </w:style>
  <w:style w:type="character" w:customStyle="1" w:styleId="Heading2Char">
    <w:name w:val="Heading 2 Char"/>
    <w:rPr>
      <w:rFonts w:ascii="Arial" w:hAnsi="Arial"/>
      <w:color w:val="22413A"/>
      <w:sz w:val="36"/>
      <w:szCs w:val="22"/>
      <w:lang w:eastAsia="en-US" w:bidi="he-IL"/>
    </w:rPr>
  </w:style>
  <w:style w:type="character" w:customStyle="1" w:styleId="Heading3Char">
    <w:name w:val="Heading 3 Char"/>
    <w:rPr>
      <w:rFonts w:ascii="Arial" w:hAnsi="Arial"/>
      <w:i/>
      <w:color w:val="22413A"/>
      <w:sz w:val="28"/>
      <w:szCs w:val="22"/>
      <w:lang w:eastAsia="en-US" w:bidi="he-IL"/>
    </w:rPr>
  </w:style>
  <w:style w:type="character" w:customStyle="1" w:styleId="Heading4Char">
    <w:name w:val="Heading 4 Char"/>
    <w:rPr>
      <w:rFonts w:ascii="Arial" w:hAnsi="Arial"/>
      <w:b/>
      <w:color w:val="22413A"/>
      <w:sz w:val="24"/>
      <w:szCs w:val="22"/>
      <w:lang w:eastAsia="en-US" w:bidi="he-IL"/>
    </w:rPr>
  </w:style>
  <w:style w:type="character" w:customStyle="1" w:styleId="Heading5Char">
    <w:name w:val="Heading 5 Char"/>
    <w:rPr>
      <w:rFonts w:ascii="Arial" w:hAnsi="Arial"/>
      <w:i/>
      <w:color w:val="22413A"/>
      <w:sz w:val="24"/>
      <w:szCs w:val="22"/>
      <w:lang w:eastAsia="en-US" w:bidi="he-IL"/>
    </w:rPr>
  </w:style>
  <w:style w:type="character" w:customStyle="1" w:styleId="Heading1Char">
    <w:name w:val="Heading 1 Char"/>
    <w:rPr>
      <w:rFonts w:ascii="Arial" w:hAnsi="Arial"/>
      <w:color w:val="22413A"/>
      <w:sz w:val="48"/>
      <w:szCs w:val="22"/>
      <w:lang w:eastAsia="en-US" w:bidi="he-IL"/>
    </w:rPr>
  </w:style>
  <w:style w:type="paragraph" w:customStyle="1" w:styleId="Bulletlist1">
    <w:name w:val="Bullet list 1"/>
    <w:basedOn w:val="Normal"/>
    <w:pPr>
      <w:numPr>
        <w:numId w:val="1"/>
      </w:numPr>
    </w:pPr>
  </w:style>
  <w:style w:type="paragraph" w:customStyle="1" w:styleId="Bulletlist2">
    <w:name w:val="Bullet list 2"/>
    <w:basedOn w:val="Normal"/>
    <w:pPr>
      <w:numPr>
        <w:numId w:val="2"/>
      </w:numPr>
    </w:pPr>
  </w:style>
  <w:style w:type="paragraph" w:customStyle="1" w:styleId="TableandChartNote">
    <w:name w:val="Table and Chart Note"/>
    <w:basedOn w:val="Normal"/>
    <w:pPr>
      <w:spacing w:before="60"/>
    </w:pPr>
    <w:rPr>
      <w:b/>
      <w:color w:val="000000"/>
      <w:sz w:val="20"/>
      <w:szCs w:val="20"/>
    </w:rPr>
  </w:style>
  <w:style w:type="paragraph" w:customStyle="1" w:styleId="TableText">
    <w:name w:val="Table Text"/>
    <w:basedOn w:val="Normal"/>
    <w:pPr>
      <w:spacing w:before="60" w:after="60"/>
    </w:pPr>
  </w:style>
  <w:style w:type="paragraph" w:styleId="TOC1">
    <w:name w:val="toc 1"/>
    <w:basedOn w:val="Normal"/>
    <w:next w:val="Normal"/>
    <w:uiPriority w:val="39"/>
    <w:pPr>
      <w:tabs>
        <w:tab w:val="right" w:leader="dot" w:pos="9752"/>
      </w:tabs>
      <w:spacing w:before="240" w:after="0"/>
    </w:pPr>
  </w:style>
  <w:style w:type="paragraph" w:styleId="TOC2">
    <w:name w:val="toc 2"/>
    <w:basedOn w:val="Normal"/>
    <w:next w:val="Normal"/>
    <w:uiPriority w:val="39"/>
    <w:pPr>
      <w:tabs>
        <w:tab w:val="right" w:leader="dot" w:pos="9752"/>
      </w:tabs>
      <w:spacing w:before="120" w:after="0"/>
      <w:ind w:left="284"/>
    </w:pPr>
  </w:style>
  <w:style w:type="character" w:styleId="Hyperlink">
    <w:name w:val="Hyperlink"/>
    <w:uiPriority w:val="99"/>
    <w:rPr>
      <w:color w:val="0563C1"/>
      <w:u w:val="single"/>
    </w:rPr>
  </w:style>
  <w:style w:type="paragraph" w:styleId="TOC3">
    <w:name w:val="toc 3"/>
    <w:basedOn w:val="Normal"/>
    <w:next w:val="Normal"/>
    <w:autoRedefine/>
    <w:pPr>
      <w:tabs>
        <w:tab w:val="right" w:leader="dot" w:pos="9469"/>
      </w:tabs>
      <w:spacing w:before="120" w:after="0"/>
      <w:ind w:left="720"/>
    </w:pPr>
  </w:style>
  <w:style w:type="paragraph" w:customStyle="1" w:styleId="ContentsHeading">
    <w:name w:val="Contents Heading"/>
    <w:basedOn w:val="Normal"/>
    <w:pPr>
      <w:spacing w:before="240" w:after="120"/>
    </w:pPr>
    <w:rPr>
      <w:color w:val="22413A"/>
      <w:sz w:val="48"/>
      <w:szCs w:val="48"/>
    </w:rPr>
  </w:style>
  <w:style w:type="paragraph" w:customStyle="1" w:styleId="CoverDate">
    <w:name w:val="Cover Date"/>
    <w:basedOn w:val="Normal"/>
    <w:pPr>
      <w:spacing w:before="240"/>
    </w:pPr>
    <w:rPr>
      <w:color w:val="FFFFFF"/>
      <w:sz w:val="28"/>
      <w:szCs w:val="28"/>
    </w:rPr>
  </w:style>
  <w:style w:type="paragraph" w:customStyle="1" w:styleId="CoverTitle">
    <w:name w:val="Cover Title"/>
    <w:basedOn w:val="Normal"/>
    <w:pPr>
      <w:ind w:left="227"/>
    </w:pPr>
    <w:rPr>
      <w:b/>
      <w:sz w:val="90"/>
      <w:szCs w:val="88"/>
    </w:rPr>
  </w:style>
  <w:style w:type="paragraph" w:customStyle="1" w:styleId="InnerCoverTitle">
    <w:name w:val="Inner Cover Title"/>
    <w:basedOn w:val="Normal"/>
    <w:rPr>
      <w:color w:val="22413A"/>
      <w:sz w:val="48"/>
    </w:rPr>
  </w:style>
  <w:style w:type="paragraph" w:styleId="FootnoteText">
    <w:name w:val="footnote text"/>
    <w:basedOn w:val="Normal"/>
    <w:pPr>
      <w:spacing w:after="120"/>
      <w:ind w:left="397" w:hanging="397"/>
    </w:pPr>
    <w:rPr>
      <w:sz w:val="20"/>
      <w:szCs w:val="20"/>
    </w:rPr>
  </w:style>
  <w:style w:type="character" w:customStyle="1" w:styleId="FootnoteTextChar">
    <w:name w:val="Footnote Text Char"/>
    <w:basedOn w:val="DefaultParagraphFont"/>
    <w:rPr>
      <w:lang w:eastAsia="en-US" w:bidi="he-IL"/>
    </w:rPr>
  </w:style>
  <w:style w:type="character" w:styleId="FootnoteReference">
    <w:name w:val="footnote reference"/>
    <w:basedOn w:val="DefaultParagraphFont"/>
    <w:rPr>
      <w:position w:val="0"/>
      <w:vertAlign w:val="superscript"/>
    </w:rPr>
  </w:style>
  <w:style w:type="character" w:styleId="PlaceholderText">
    <w:name w:val="Placeholder Text"/>
    <w:basedOn w:val="DefaultParagraphFont"/>
    <w:rPr>
      <w:color w:val="808080"/>
    </w:rPr>
  </w:style>
  <w:style w:type="paragraph" w:styleId="BalloonText">
    <w:name w:val="Balloon Text"/>
    <w:basedOn w:val="Normal"/>
    <w:pPr>
      <w:spacing w:after="0"/>
    </w:pPr>
    <w:rPr>
      <w:rFonts w:ascii="Tahoma" w:hAnsi="Tahoma" w:cs="Tahoma"/>
      <w:sz w:val="16"/>
      <w:szCs w:val="16"/>
    </w:rPr>
  </w:style>
  <w:style w:type="character" w:customStyle="1" w:styleId="BalloonTextChar">
    <w:name w:val="Balloon Text Char"/>
    <w:basedOn w:val="DefaultParagraphFont"/>
    <w:rPr>
      <w:rFonts w:ascii="Tahoma" w:hAnsi="Tahoma" w:cs="Tahoma"/>
      <w:sz w:val="16"/>
      <w:szCs w:val="16"/>
      <w:lang w:eastAsia="en-US" w:bidi="he-IL"/>
    </w:rPr>
  </w:style>
  <w:style w:type="paragraph" w:customStyle="1" w:styleId="InnerCoverDate">
    <w:name w:val="Inner Cover Date"/>
    <w:basedOn w:val="CoverDate"/>
    <w:rPr>
      <w:color w:val="22413A"/>
    </w:rPr>
  </w:style>
  <w:style w:type="paragraph" w:customStyle="1" w:styleId="InnerCoverAuthor">
    <w:name w:val="Inner Cover Author"/>
    <w:basedOn w:val="Normal"/>
    <w:rPr>
      <w:color w:val="22413A"/>
      <w:sz w:val="28"/>
      <w:szCs w:val="28"/>
    </w:rPr>
  </w:style>
  <w:style w:type="paragraph" w:customStyle="1" w:styleId="TableandChartCaption">
    <w:name w:val="Table and Chart Caption"/>
    <w:basedOn w:val="Normal"/>
    <w:pPr>
      <w:spacing w:before="60"/>
    </w:pPr>
    <w:rPr>
      <w:rFonts w:eastAsia="Arial" w:cs="Times New Roman"/>
      <w:b/>
      <w:color w:val="22413A"/>
      <w:sz w:val="20"/>
      <w:szCs w:val="18"/>
      <w:lang w:bidi="ar-SA"/>
    </w:rPr>
  </w:style>
  <w:style w:type="paragraph" w:customStyle="1" w:styleId="QuoteText">
    <w:name w:val="Quote Text"/>
    <w:basedOn w:val="Normal"/>
    <w:pPr>
      <w:pBdr>
        <w:top w:val="single" w:sz="4" w:space="6" w:color="22413A"/>
        <w:bottom w:val="single" w:sz="4" w:space="6" w:color="22413A"/>
      </w:pBdr>
      <w:spacing w:before="240"/>
    </w:pPr>
    <w:rPr>
      <w:rFonts w:eastAsia="Arial" w:cs="Times New Roman"/>
      <w:color w:val="22413A"/>
      <w:sz w:val="28"/>
      <w:szCs w:val="30"/>
      <w:lang w:bidi="ar-SA"/>
    </w:rPr>
  </w:style>
  <w:style w:type="paragraph" w:customStyle="1" w:styleId="NumList1">
    <w:name w:val="Num List 1"/>
    <w:basedOn w:val="Normal"/>
    <w:rPr>
      <w:rFonts w:eastAsia="Arial" w:cs="Times New Roman"/>
      <w:lang w:bidi="ar-SA"/>
    </w:rPr>
  </w:style>
  <w:style w:type="paragraph" w:customStyle="1" w:styleId="NumList2">
    <w:name w:val="Num List 2"/>
    <w:basedOn w:val="Normal"/>
    <w:pPr>
      <w:numPr>
        <w:numId w:val="3"/>
      </w:numPr>
    </w:pPr>
    <w:rPr>
      <w:rFonts w:eastAsia="Arial" w:cs="Times New Roman"/>
      <w:lang w:bidi="ar-SA"/>
    </w:rPr>
  </w:style>
  <w:style w:type="paragraph" w:customStyle="1" w:styleId="BulletList3">
    <w:name w:val="Bullet List 3"/>
    <w:basedOn w:val="ListParagraph"/>
    <w:pPr>
      <w:numPr>
        <w:numId w:val="4"/>
      </w:numPr>
      <w:contextualSpacing w:val="0"/>
    </w:pPr>
    <w:rPr>
      <w:rFonts w:eastAsia="Arial" w:cs="Times New Roman"/>
      <w:lang w:bidi="ar-SA"/>
    </w:rPr>
  </w:style>
  <w:style w:type="character" w:styleId="CommentReference">
    <w:name w:val="annotation reference"/>
    <w:basedOn w:val="DefaultParagraphFont"/>
    <w:rPr>
      <w:sz w:val="16"/>
      <w:szCs w:val="16"/>
    </w:rPr>
  </w:style>
  <w:style w:type="paragraph" w:styleId="CommentText">
    <w:name w:val="annotation text"/>
    <w:basedOn w:val="Normal"/>
    <w:pPr>
      <w:spacing w:line="240" w:lineRule="auto"/>
    </w:pPr>
    <w:rPr>
      <w:rFonts w:eastAsia="Arial" w:cs="Times New Roman"/>
      <w:sz w:val="20"/>
      <w:szCs w:val="20"/>
      <w:lang w:bidi="ar-SA"/>
    </w:rPr>
  </w:style>
  <w:style w:type="character" w:customStyle="1" w:styleId="CommentTextChar">
    <w:name w:val="Comment Text Char"/>
    <w:basedOn w:val="DefaultParagraphFont"/>
    <w:rPr>
      <w:rFonts w:ascii="Arial" w:eastAsia="Arial" w:hAnsi="Arial" w:cs="Times New Roman"/>
      <w:lang w:eastAsia="en-US"/>
    </w:rPr>
  </w:style>
  <w:style w:type="paragraph" w:styleId="ListParagraph">
    <w:name w:val="List Paragraph"/>
    <w:basedOn w:val="Normal"/>
    <w:pPr>
      <w:ind w:left="720"/>
      <w:contextualSpacing/>
    </w:pPr>
  </w:style>
  <w:style w:type="character" w:styleId="IntenseEmphasis">
    <w:name w:val="Intense Emphasis"/>
    <w:basedOn w:val="DefaultParagraphFont"/>
    <w:rPr>
      <w:i/>
      <w:iCs/>
      <w:color w:val="22413A"/>
    </w:rPr>
  </w:style>
  <w:style w:type="character" w:styleId="IntenseReference">
    <w:name w:val="Intense Reference"/>
    <w:basedOn w:val="DefaultParagraphFont"/>
    <w:rPr>
      <w:b/>
      <w:bCs/>
      <w:smallCaps/>
      <w:color w:val="22413A"/>
      <w:spacing w:val="5"/>
    </w:rPr>
  </w:style>
  <w:style w:type="paragraph" w:styleId="IntenseQuote">
    <w:name w:val="Intense Quote"/>
    <w:basedOn w:val="Normal"/>
    <w:next w:val="Normal"/>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rPr>
      <w:rFonts w:ascii="Arial" w:hAnsi="Arial"/>
      <w:i/>
      <w:iCs/>
      <w:color w:val="22413A"/>
      <w:sz w:val="24"/>
      <w:szCs w:val="22"/>
      <w:lang w:eastAsia="en-US" w:bidi="he-IL"/>
    </w:rPr>
  </w:style>
  <w:style w:type="character" w:customStyle="1" w:styleId="Heading6Char">
    <w:name w:val="Heading 6 Char"/>
    <w:basedOn w:val="DefaultParagraphFont"/>
    <w:rPr>
      <w:rFonts w:ascii="Arial" w:eastAsia="Times New Roman" w:hAnsi="Arial" w:cs="Times New Roman"/>
      <w:i/>
      <w:color w:val="22413A"/>
      <w:sz w:val="24"/>
      <w:szCs w:val="22"/>
      <w:u w:val="single"/>
      <w:lang w:eastAsia="en-US" w:bidi="he-IL"/>
    </w:rPr>
  </w:style>
  <w:style w:type="paragraph" w:customStyle="1" w:styleId="Copyright">
    <w:name w:val="Copyright"/>
    <w:basedOn w:val="Normal"/>
    <w:pPr>
      <w:spacing w:after="0"/>
    </w:pPr>
    <w:rPr>
      <w:color w:val="22413A"/>
      <w:szCs w:val="16"/>
    </w:rPr>
  </w:style>
  <w:style w:type="paragraph" w:styleId="Revision">
    <w:name w:val="Revision"/>
    <w:rPr>
      <w:rFonts w:ascii="Arial" w:hAnsi="Arial"/>
      <w:sz w:val="24"/>
      <w:szCs w:val="22"/>
      <w:lang w:eastAsia="en-US" w:bidi="he-IL"/>
    </w:rPr>
  </w:style>
  <w:style w:type="paragraph" w:styleId="CommentSubject">
    <w:name w:val="annotation subject"/>
    <w:basedOn w:val="CommentText"/>
    <w:next w:val="CommentText"/>
    <w:rPr>
      <w:rFonts w:eastAsia="Calibri" w:cs="Arial"/>
      <w:b/>
      <w:bCs/>
      <w:lang w:bidi="he-IL"/>
    </w:rPr>
  </w:style>
  <w:style w:type="character" w:customStyle="1" w:styleId="CommentTextChar1">
    <w:name w:val="Comment Text Char1"/>
    <w:basedOn w:val="DefaultParagraphFont"/>
    <w:rPr>
      <w:rFonts w:ascii="Arial" w:eastAsia="Arial" w:hAnsi="Arial" w:cs="Times New Roman"/>
      <w:lang w:eastAsia="en-US"/>
    </w:rPr>
  </w:style>
  <w:style w:type="character" w:customStyle="1" w:styleId="CommentSubjectChar">
    <w:name w:val="Comment Subject Char"/>
    <w:basedOn w:val="CommentTextChar1"/>
    <w:rPr>
      <w:rFonts w:ascii="Arial" w:eastAsia="Arial" w:hAnsi="Arial" w:cs="Times New Roman"/>
      <w:b/>
      <w:bCs/>
      <w:lang w:eastAsia="en-US" w:bidi="he-IL"/>
    </w:rPr>
  </w:style>
  <w:style w:type="numbering" w:customStyle="1" w:styleId="LFO12">
    <w:name w:val="LFO12"/>
    <w:basedOn w:val="NoList"/>
    <w:pPr>
      <w:numPr>
        <w:numId w:val="1"/>
      </w:numPr>
    </w:pPr>
  </w:style>
  <w:style w:type="numbering" w:customStyle="1" w:styleId="LFO13">
    <w:name w:val="LFO13"/>
    <w:basedOn w:val="NoList"/>
    <w:pPr>
      <w:numPr>
        <w:numId w:val="2"/>
      </w:numPr>
    </w:pPr>
  </w:style>
  <w:style w:type="numbering" w:customStyle="1" w:styleId="LFO18">
    <w:name w:val="LFO18"/>
    <w:basedOn w:val="NoList"/>
    <w:pPr>
      <w:numPr>
        <w:numId w:val="3"/>
      </w:numPr>
    </w:pPr>
  </w:style>
  <w:style w:type="numbering" w:customStyle="1" w:styleId="LFO19">
    <w:name w:val="LFO19"/>
    <w:basedOn w:val="NoList"/>
    <w:pPr>
      <w:numPr>
        <w:numId w:val="4"/>
      </w:numPr>
    </w:pPr>
  </w:style>
  <w:style w:type="table" w:customStyle="1" w:styleId="Style1">
    <w:name w:val="Style1"/>
    <w:basedOn w:val="TableNormal"/>
    <w:uiPriority w:val="99"/>
    <w:rsid w:val="00257DEC"/>
    <w:pPr>
      <w:autoSpaceDN/>
    </w:pPr>
    <w:rPr>
      <w:rFonts w:ascii="Arial" w:hAnsi="Arial"/>
      <w:sz w:val="24"/>
    </w:rPr>
    <w:tblPr/>
  </w:style>
  <w:style w:type="character" w:styleId="UnresolvedMention">
    <w:name w:val="Unresolved Mention"/>
    <w:basedOn w:val="DefaultParagraphFont"/>
    <w:uiPriority w:val="99"/>
    <w:semiHidden/>
    <w:unhideWhenUsed/>
    <w:rsid w:val="002E07BF"/>
    <w:rPr>
      <w:color w:val="605E5C"/>
      <w:shd w:val="clear" w:color="auto" w:fill="E1DFDD"/>
    </w:rPr>
  </w:style>
  <w:style w:type="character" w:styleId="FollowedHyperlink">
    <w:name w:val="FollowedHyperlink"/>
    <w:basedOn w:val="DefaultParagraphFont"/>
    <w:uiPriority w:val="99"/>
    <w:semiHidden/>
    <w:unhideWhenUsed/>
    <w:rsid w:val="006B0B4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6951220">
      <w:bodyDiv w:val="1"/>
      <w:marLeft w:val="0"/>
      <w:marRight w:val="0"/>
      <w:marTop w:val="0"/>
      <w:marBottom w:val="0"/>
      <w:divBdr>
        <w:top w:val="none" w:sz="0" w:space="0" w:color="auto"/>
        <w:left w:val="none" w:sz="0" w:space="0" w:color="auto"/>
        <w:bottom w:val="none" w:sz="0" w:space="0" w:color="auto"/>
        <w:right w:val="none" w:sz="0" w:space="0" w:color="auto"/>
      </w:divBdr>
    </w:div>
    <w:div w:id="4585691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nr.org.uk/publications/regulatory-guidance/" TargetMode="Externa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MacInnes\OneDrive%20-%20Office%20for%20Nuclear%20Regulation\2%20-%20Export%20Control\ONR-DOC-TEMP-305%20-%20ONR%20Word%20Template%20-%20Gener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E4DF03-0B1F-4325-AC2B-56E63FBC55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9</Pages>
  <Words>2385</Words>
  <Characters>13599</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Safeguards Annual Report 2023</vt:lpstr>
    </vt:vector>
  </TitlesOfParts>
  <Company/>
  <LinksUpToDate>false</LinksUpToDate>
  <CharactersWithSpaces>15953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Safeguards Annual Report 2023</dc:title>
  <dc:subject>[Subtitle or description]</dc:subject>
  <dc:creator>Ryan de Ste Croix</dc:creator>
  <cp:keywords>[Key words separated by commas]</cp:keywords>
  <dc:description/>
  <cp:lastModifiedBy>Kate MacInnes</cp:lastModifiedBy>
  <cp:revision>3</cp:revision>
  <cp:lastPrinted>2024-12-19T11:26:00Z</cp:lastPrinted>
  <dcterms:created xsi:type="dcterms:W3CDTF">2024-12-19T11:26:00Z</dcterms:created>
  <dcterms:modified xsi:type="dcterms:W3CDTF">2024-12-19T11:27:00Z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2023-03-28T10:02:02Z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3fd79ce0-bb67-400c-a20c-a14d5beb98ae</vt:lpwstr>
  </property>
  <property fmtid="{D5CDD505-2E9C-101B-9397-08002B2CF9AE}" pid="8" name="MSIP_Label_9e5e003a-90eb-47c9-a506-ad47e7a0b281_ContentBits">
    <vt:lpwstr>0</vt:lpwstr>
  </property>
</Properties>
</file>