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7944BA">
            <w:bookmarkStart w:id="0" w:name="_Toc466022543"/>
          </w:p>
        </w:tc>
      </w:tr>
      <w:tr w:rsidR="00D0226A" w:rsidRPr="001E03E1" w14:paraId="6FF9A0F4" w14:textId="77777777" w:rsidTr="0C31807B">
        <w:trPr>
          <w:trHeight w:val="300"/>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8BF5079" w:rsidR="00595C8C" w:rsidRPr="00550834" w:rsidRDefault="00595C8C" w:rsidP="0041196A">
            <w:pPr>
              <w:pStyle w:val="InnerCoverTitle"/>
              <w:spacing w:before="120"/>
              <w:ind w:left="223"/>
              <w:rPr>
                <w:color w:val="07716C"/>
                <w:sz w:val="44"/>
                <w:szCs w:val="44"/>
              </w:rPr>
            </w:pPr>
            <w:r w:rsidRPr="00550834">
              <w:rPr>
                <w:color w:val="07716C"/>
                <w:sz w:val="44"/>
                <w:szCs w:val="44"/>
              </w:rPr>
              <w:t>ONR</w:t>
            </w:r>
            <w:r w:rsidR="00443822" w:rsidRPr="00550834">
              <w:rPr>
                <w:color w:val="07716C"/>
                <w:sz w:val="44"/>
                <w:szCs w:val="44"/>
              </w:rPr>
              <w:t xml:space="preserve"> </w:t>
            </w:r>
            <w:r w:rsidR="007944BA" w:rsidRPr="00550834">
              <w:rPr>
                <w:color w:val="07716C"/>
                <w:sz w:val="44"/>
                <w:szCs w:val="44"/>
              </w:rPr>
              <w:t>Report</w:t>
            </w:r>
          </w:p>
          <w:p w14:paraId="1928593B" w14:textId="77777777" w:rsidR="001750E1" w:rsidRPr="00997E4E" w:rsidRDefault="001750E1" w:rsidP="0041196A">
            <w:pPr>
              <w:pStyle w:val="InnerCoverTitle"/>
              <w:spacing w:before="120"/>
              <w:ind w:left="223"/>
              <w:rPr>
                <w:sz w:val="36"/>
                <w:szCs w:val="36"/>
              </w:rPr>
            </w:pPr>
          </w:p>
          <w:sdt>
            <w:sdtPr>
              <w:rPr>
                <w:b w:val="0"/>
                <w:bCs/>
                <w:sz w:val="52"/>
                <w:szCs w:val="52"/>
              </w:rPr>
              <w:id w:val="1228188510"/>
              <w:placeholder>
                <w:docPart w:val="DefaultPlaceholder_-1854013440"/>
              </w:placeholder>
            </w:sdtPr>
            <w:sdtContent>
              <w:p w14:paraId="7C4EA414" w14:textId="5A89518D" w:rsidR="00D0226A" w:rsidRPr="00550834" w:rsidRDefault="00000000" w:rsidP="007944BA">
                <w:pPr>
                  <w:pStyle w:val="CoverTitle"/>
                  <w:rPr>
                    <w:b w:val="0"/>
                    <w:bCs/>
                    <w:sz w:val="52"/>
                    <w:szCs w:val="52"/>
                  </w:rPr>
                </w:pPr>
                <w:sdt>
                  <w:sdtPr>
                    <w:rPr>
                      <w:b w:val="0"/>
                      <w:bCs/>
                      <w:sz w:val="52"/>
                      <w:szCs w:val="5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3D6680" w:rsidRPr="00550834">
                      <w:rPr>
                        <w:b w:val="0"/>
                        <w:bCs/>
                        <w:sz w:val="52"/>
                        <w:szCs w:val="52"/>
                      </w:rPr>
                      <w:t>ONR’s Regulatory influence on the EPR Design in the UK</w:t>
                    </w:r>
                  </w:sdtContent>
                </w:sdt>
              </w:p>
            </w:sdtContent>
          </w:sdt>
        </w:tc>
      </w:tr>
    </w:tbl>
    <w:p w14:paraId="56A09D10" w14:textId="4AB533A3" w:rsidR="00D0226A" w:rsidRDefault="00CB26C7" w:rsidP="007944BA">
      <w:r>
        <w:rPr>
          <w:noProof/>
        </w:rPr>
        <w:drawing>
          <wp:anchor distT="0" distB="0" distL="114300" distR="114300" simplePos="0" relativeHeight="251658240" behindDoc="1" locked="0" layoutInCell="1" allowOverlap="1" wp14:anchorId="10B0A4AA" wp14:editId="35020AFC">
            <wp:simplePos x="0" y="0"/>
            <wp:positionH relativeFrom="page">
              <wp:align>left</wp:align>
            </wp:positionH>
            <wp:positionV relativeFrom="page">
              <wp:posOffset>285750</wp:posOffset>
            </wp:positionV>
            <wp:extent cx="8277225" cy="10402570"/>
            <wp:effectExtent l="0" t="0" r="952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5308" b="5308"/>
                    <a:stretch/>
                  </pic:blipFill>
                  <pic:spPr bwMode="auto">
                    <a:xfrm>
                      <a:off x="0" y="0"/>
                      <a:ext cx="8277225" cy="10402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20D9483E" w:rsidR="00D0226A" w:rsidRDefault="00D0226A" w:rsidP="007944BA"/>
    <w:p w14:paraId="48095CA5" w14:textId="77777777" w:rsidR="0068762A" w:rsidRDefault="00267815" w:rsidP="007944BA">
      <w:pPr>
        <w:sectPr w:rsidR="0068762A" w:rsidSect="007944BA">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397" w:footer="397" w:gutter="0"/>
          <w:cols w:space="312"/>
          <w:docGrid w:linePitch="360"/>
        </w:sectPr>
      </w:pPr>
      <w:r>
        <w:br w:type="page"/>
      </w:r>
    </w:p>
    <w:p w14:paraId="19C80EE9" w14:textId="6A2C17CC" w:rsidR="007944BA" w:rsidRPr="00997E4E" w:rsidRDefault="007944BA" w:rsidP="00997E4E">
      <w:pPr>
        <w:pStyle w:val="InnerCoverTitle"/>
        <w:spacing w:before="120"/>
        <w:rPr>
          <w:sz w:val="36"/>
          <w:szCs w:val="16"/>
        </w:rPr>
      </w:pPr>
      <w:r w:rsidRPr="00997E4E">
        <w:rPr>
          <w:sz w:val="36"/>
          <w:szCs w:val="16"/>
        </w:rPr>
        <w:lastRenderedPageBreak/>
        <w:t>ONR Report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5996E4A" w:rsidR="00004C16" w:rsidRDefault="003D6680" w:rsidP="007944BA">
          <w:r>
            <w:rPr>
              <w:rStyle w:val="Style2"/>
            </w:rPr>
            <w:t>ONR’s Regulatory influence on the EPR Design in the UK</w:t>
          </w:r>
        </w:p>
      </w:sdtContent>
    </w:sdt>
    <w:p w14:paraId="61A25C0F" w14:textId="39EC7DBA" w:rsidR="00004C16" w:rsidRPr="0030089F" w:rsidRDefault="00004C16" w:rsidP="007944BA"/>
    <w:p w14:paraId="4D99E381" w14:textId="54F92B2F" w:rsidR="00004C16" w:rsidRPr="0030089F" w:rsidRDefault="00004C16" w:rsidP="006723B0">
      <w:pPr>
        <w:tabs>
          <w:tab w:val="left" w:pos="1701"/>
          <w:tab w:val="left" w:pos="3828"/>
        </w:tabs>
      </w:pPr>
      <w:r w:rsidRPr="0030089F">
        <w:rPr>
          <w:b/>
          <w:bCs/>
        </w:rPr>
        <w:t>Authored by</w:t>
      </w:r>
      <w:r w:rsidR="003A7E1C" w:rsidRPr="0030089F">
        <w:rPr>
          <w:b/>
          <w:bCs/>
        </w:rPr>
        <w:t>:</w:t>
      </w:r>
      <w:r w:rsidR="00322099" w:rsidRPr="0030089F">
        <w:tab/>
      </w:r>
      <w:r w:rsidR="00DC7F6B">
        <w:t>[REDACTED]</w:t>
      </w:r>
    </w:p>
    <w:p w14:paraId="26602DBA" w14:textId="77777777" w:rsidR="00DC7F6B" w:rsidRDefault="001C117C" w:rsidP="006723B0">
      <w:pPr>
        <w:tabs>
          <w:tab w:val="left" w:pos="1701"/>
          <w:tab w:val="left" w:pos="3828"/>
        </w:tabs>
      </w:pPr>
      <w:r w:rsidRPr="0030089F">
        <w:tab/>
      </w:r>
      <w:r w:rsidR="00DC7F6B">
        <w:t>[REDACTED]</w:t>
      </w:r>
    </w:p>
    <w:p w14:paraId="049F99E7" w14:textId="77777777" w:rsidR="00DC7F6B" w:rsidRDefault="005754E8" w:rsidP="006723B0">
      <w:pPr>
        <w:tabs>
          <w:tab w:val="left" w:pos="1701"/>
          <w:tab w:val="left" w:pos="3828"/>
        </w:tabs>
      </w:pPr>
      <w:r w:rsidRPr="0030089F">
        <w:tab/>
      </w:r>
      <w:r w:rsidR="00DC7F6B">
        <w:t>[REDACTED]</w:t>
      </w:r>
    </w:p>
    <w:p w14:paraId="17B6F496" w14:textId="77777777" w:rsidR="00DC7F6B" w:rsidRDefault="00C0335E" w:rsidP="006723B0">
      <w:pPr>
        <w:tabs>
          <w:tab w:val="left" w:pos="1701"/>
          <w:tab w:val="left" w:pos="3828"/>
        </w:tabs>
      </w:pPr>
      <w:r w:rsidRPr="0030089F">
        <w:tab/>
      </w:r>
      <w:r w:rsidR="00DC7F6B">
        <w:t>[REDACTED]</w:t>
      </w:r>
    </w:p>
    <w:p w14:paraId="1B826B4B" w14:textId="77777777" w:rsidR="00DC7F6B" w:rsidRDefault="00242649" w:rsidP="006723B0">
      <w:pPr>
        <w:tabs>
          <w:tab w:val="left" w:pos="1701"/>
          <w:tab w:val="left" w:pos="3828"/>
        </w:tabs>
      </w:pPr>
      <w:r w:rsidRPr="0030089F">
        <w:tab/>
      </w:r>
      <w:r w:rsidR="00DC7F6B">
        <w:t>[REDACTED]</w:t>
      </w:r>
    </w:p>
    <w:p w14:paraId="49A73F04" w14:textId="77777777" w:rsidR="00DC7F6B" w:rsidRDefault="003D7CD7" w:rsidP="006723B0">
      <w:pPr>
        <w:tabs>
          <w:tab w:val="left" w:pos="1701"/>
          <w:tab w:val="left" w:pos="3828"/>
        </w:tabs>
      </w:pPr>
      <w:r w:rsidRPr="0030089F">
        <w:tab/>
      </w:r>
      <w:r w:rsidR="00DC7F6B">
        <w:t>[REDACTED]</w:t>
      </w:r>
    </w:p>
    <w:p w14:paraId="0678F663" w14:textId="611795B3" w:rsidR="00EA02FE" w:rsidRDefault="00E9278D" w:rsidP="006723B0">
      <w:pPr>
        <w:tabs>
          <w:tab w:val="left" w:pos="1701"/>
          <w:tab w:val="left" w:pos="3828"/>
        </w:tabs>
      </w:pPr>
      <w:r w:rsidRPr="0030089F">
        <w:tab/>
      </w:r>
      <w:r w:rsidR="00DC7F6B">
        <w:t>[REDACTED]</w:t>
      </w:r>
    </w:p>
    <w:p w14:paraId="4EFE2794" w14:textId="77777777" w:rsidR="00DC7F6B" w:rsidRPr="0030089F" w:rsidRDefault="00DC7F6B" w:rsidP="006723B0">
      <w:pPr>
        <w:tabs>
          <w:tab w:val="left" w:pos="1701"/>
          <w:tab w:val="left" w:pos="3828"/>
        </w:tabs>
      </w:pPr>
    </w:p>
    <w:p w14:paraId="3275610B" w14:textId="77777777" w:rsidR="00DC7F6B" w:rsidRDefault="005665A7" w:rsidP="006723B0">
      <w:pPr>
        <w:tabs>
          <w:tab w:val="left" w:pos="1701"/>
          <w:tab w:val="left" w:pos="3828"/>
        </w:tabs>
      </w:pPr>
      <w:r w:rsidRPr="0030089F">
        <w:rPr>
          <w:b/>
          <w:bCs/>
        </w:rPr>
        <w:t>Reviewed by:</w:t>
      </w:r>
      <w:r w:rsidRPr="0030089F">
        <w:rPr>
          <w:b/>
          <w:bCs/>
        </w:rPr>
        <w:tab/>
      </w:r>
      <w:r w:rsidR="00DC7F6B">
        <w:t>[REDACTED]</w:t>
      </w:r>
    </w:p>
    <w:p w14:paraId="5C423D57" w14:textId="77777777" w:rsidR="00DC7F6B" w:rsidRDefault="00004C16" w:rsidP="006723B0">
      <w:pPr>
        <w:tabs>
          <w:tab w:val="left" w:pos="1701"/>
          <w:tab w:val="left" w:pos="3828"/>
        </w:tabs>
      </w:pPr>
      <w:r w:rsidRPr="0030089F">
        <w:rPr>
          <w:b/>
          <w:bCs/>
        </w:rPr>
        <w:t>Approved b</w:t>
      </w:r>
      <w:r w:rsidRPr="0030089F">
        <w:t>y</w:t>
      </w:r>
      <w:r w:rsidR="003A7E1C" w:rsidRPr="0030089F">
        <w:t>:</w:t>
      </w:r>
      <w:r w:rsidR="00322099" w:rsidRPr="0030089F">
        <w:tab/>
      </w:r>
      <w:r w:rsidR="00DC7F6B">
        <w:t>[REDACTED]</w:t>
      </w:r>
    </w:p>
    <w:p w14:paraId="7E744BD8" w14:textId="27002B61" w:rsidR="003A7E1C" w:rsidRDefault="00C034A5" w:rsidP="00DC7F6B">
      <w:pPr>
        <w:tabs>
          <w:tab w:val="left" w:pos="1701"/>
          <w:tab w:val="left" w:pos="3828"/>
        </w:tabs>
      </w:pPr>
      <w:r w:rsidRPr="0030089F">
        <w:rPr>
          <w:b/>
          <w:bCs/>
        </w:rPr>
        <w:t>Cleared by:</w:t>
      </w:r>
      <w:r w:rsidRPr="0030089F">
        <w:tab/>
      </w:r>
      <w:r w:rsidR="00DC7F6B">
        <w:t>[REDACTED]</w:t>
      </w:r>
    </w:p>
    <w:p w14:paraId="301F9C97" w14:textId="77777777" w:rsidR="00DC7F6B" w:rsidRPr="0030089F" w:rsidRDefault="00DC7F6B" w:rsidP="00DC7F6B">
      <w:pPr>
        <w:tabs>
          <w:tab w:val="left" w:pos="1701"/>
          <w:tab w:val="left" w:pos="3828"/>
        </w:tabs>
      </w:pPr>
    </w:p>
    <w:p w14:paraId="247E3769" w14:textId="78C57C28" w:rsidR="00004C16" w:rsidRPr="007944BA" w:rsidRDefault="00004C16" w:rsidP="007944BA">
      <w:r w:rsidRPr="007944BA">
        <w:rPr>
          <w:b/>
          <w:bCs/>
        </w:rPr>
        <w:t>Issue No</w:t>
      </w:r>
      <w:r w:rsidRPr="007944BA">
        <w:t xml:space="preserve">.: </w:t>
      </w:r>
      <w:sdt>
        <w:sdt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2E3F66">
            <w:t>1</w:t>
          </w:r>
        </w:sdtContent>
      </w:sdt>
    </w:p>
    <w:p w14:paraId="19206F45" w14:textId="529BFB67" w:rsidR="00004C16" w:rsidRPr="007944BA" w:rsidRDefault="00004C16" w:rsidP="007944BA">
      <w:r w:rsidRPr="008945BB">
        <w:rPr>
          <w:b/>
          <w:bCs/>
        </w:rPr>
        <w:t>Publication Date</w:t>
      </w:r>
      <w:r w:rsidRPr="007944BA">
        <w:t xml:space="preserve">: </w:t>
      </w:r>
      <w:r w:rsidR="00FB59DD">
        <w:t>October</w:t>
      </w:r>
      <w:r w:rsidR="00C91244" w:rsidRPr="00C91244">
        <w:t xml:space="preserve"> </w:t>
      </w:r>
      <w:r w:rsidR="00FB59DD">
        <w:t xml:space="preserve">4 </w:t>
      </w:r>
      <w:r w:rsidR="00C91244" w:rsidRPr="00C91244">
        <w:t>2024</w:t>
      </w:r>
    </w:p>
    <w:p w14:paraId="55057C62" w14:textId="2B0A2520" w:rsidR="00004C16" w:rsidRPr="007944BA" w:rsidRDefault="00CB26C7" w:rsidP="007944BA">
      <w:r w:rsidRPr="008945BB">
        <w:rPr>
          <w:b/>
          <w:bCs/>
        </w:rPr>
        <w:t xml:space="preserve">ONR </w:t>
      </w:r>
      <w:r w:rsidR="00004C16" w:rsidRPr="008945BB">
        <w:rPr>
          <w:b/>
          <w:bCs/>
        </w:rPr>
        <w:t>Record Ref. No</w:t>
      </w:r>
      <w:r w:rsidR="00004C16" w:rsidRPr="007944BA">
        <w:t xml:space="preserve">.: </w:t>
      </w:r>
      <w:r w:rsidR="009A0E9B">
        <w:rPr>
          <w:rStyle w:val="ui-provider"/>
        </w:rPr>
        <w:t>2024/40704</w:t>
      </w:r>
    </w:p>
    <w:p w14:paraId="39BC0EA4" w14:textId="77777777" w:rsidR="00420A11" w:rsidRDefault="00420A11" w:rsidP="007944BA"/>
    <w:p w14:paraId="1170F9CB" w14:textId="77777777" w:rsidR="007944BA" w:rsidRDefault="007944BA" w:rsidP="00A97C89">
      <w:pPr>
        <w:pStyle w:val="Heading1"/>
        <w:sectPr w:rsidR="007944BA" w:rsidSect="007944BA">
          <w:headerReference w:type="default" r:id="rId16"/>
          <w:pgSz w:w="11906" w:h="16838" w:code="9"/>
          <w:pgMar w:top="1440" w:right="1440" w:bottom="1440" w:left="1440" w:header="397" w:footer="397" w:gutter="0"/>
          <w:cols w:space="312"/>
          <w:docGrid w:linePitch="360"/>
        </w:sectPr>
      </w:pPr>
      <w:bookmarkStart w:id="1" w:name="_Toc109727646"/>
      <w:bookmarkEnd w:id="0"/>
    </w:p>
    <w:p w14:paraId="5C9558A7" w14:textId="77777777" w:rsidR="007944BA" w:rsidRDefault="007944BA" w:rsidP="00A97C89">
      <w:pPr>
        <w:pStyle w:val="Heading1"/>
        <w:numPr>
          <w:ilvl w:val="0"/>
          <w:numId w:val="0"/>
        </w:numPr>
      </w:pPr>
      <w:bookmarkStart w:id="2" w:name="_Toc1039036557"/>
      <w:bookmarkStart w:id="3" w:name="_Toc178776906"/>
      <w:r>
        <w:lastRenderedPageBreak/>
        <w:t>Executive Summary</w:t>
      </w:r>
      <w:bookmarkEnd w:id="2"/>
      <w:bookmarkEnd w:id="3"/>
    </w:p>
    <w:p w14:paraId="785AE2CE" w14:textId="6F674575" w:rsidR="00914BB0" w:rsidRDefault="00914BB0" w:rsidP="00914BB0">
      <w:pPr>
        <w:pStyle w:val="Paragraph"/>
      </w:pPr>
      <w:r>
        <w:t xml:space="preserve">Hinkley Point C </w:t>
      </w:r>
      <w:r w:rsidR="001F4A5F">
        <w:t xml:space="preserve">(HPC) </w:t>
      </w:r>
      <w:r>
        <w:t xml:space="preserve">is a </w:t>
      </w:r>
      <w:r w:rsidR="21424D02">
        <w:t>high-profile</w:t>
      </w:r>
      <w:r>
        <w:t xml:space="preserve"> project and attracts </w:t>
      </w:r>
      <w:r w:rsidR="002E5867">
        <w:t>widespread stakeholder attention</w:t>
      </w:r>
      <w:r>
        <w:t xml:space="preserve">. </w:t>
      </w:r>
      <w:r w:rsidR="004E4BF3" w:rsidRPr="004E4BF3">
        <w:t xml:space="preserve">In early 2024 NNB </w:t>
      </w:r>
      <w:proofErr w:type="spellStart"/>
      <w:r w:rsidR="004E4BF3" w:rsidRPr="004E4BF3">
        <w:t>GenCo</w:t>
      </w:r>
      <w:proofErr w:type="spellEnd"/>
      <w:r w:rsidR="004E4BF3" w:rsidRPr="004E4BF3">
        <w:t xml:space="preserve"> (EDF) released public communications that referenced some 7,000 design changes in order to meet ‘British regulations’, including 35% more steel and 25% more concrete</w:t>
      </w:r>
      <w:r w:rsidR="00FE72FE">
        <w:t xml:space="preserve"> (when compared to the reference plant at </w:t>
      </w:r>
      <w:proofErr w:type="spellStart"/>
      <w:r w:rsidR="00FE72FE">
        <w:t>Flamanville</w:t>
      </w:r>
      <w:proofErr w:type="spellEnd"/>
      <w:r w:rsidR="00FE72FE">
        <w:t xml:space="preserve"> in France)</w:t>
      </w:r>
      <w:r w:rsidR="004E4BF3" w:rsidRPr="004E4BF3">
        <w:t xml:space="preserve">. Although NNB Genco has not attributed these figures to ONR’s regulation, recent media reports have increasingly cited ONR as the sole driver for the changes. </w:t>
      </w:r>
    </w:p>
    <w:p w14:paraId="51BC0301" w14:textId="388D554C" w:rsidR="007775F7" w:rsidRPr="007775F7" w:rsidRDefault="00530436" w:rsidP="00F214BB">
      <w:pPr>
        <w:pStyle w:val="Paragraph"/>
      </w:pPr>
      <w:r w:rsidRPr="00530436">
        <w:t xml:space="preserve">To ensure that we continue to consider the impact of our regulation, and to incorporate learning for the future, we conducted a review of the design evolution of the European Pressurised Water Reactor (EPR) at Hinkley Point C (HPC). </w:t>
      </w:r>
      <w:r w:rsidR="007A2182">
        <w:t xml:space="preserve">The aim of this </w:t>
      </w:r>
      <w:r w:rsidR="002D6792" w:rsidRPr="007775F7">
        <w:t xml:space="preserve">review </w:t>
      </w:r>
      <w:r w:rsidR="00EF2346">
        <w:t xml:space="preserve">was </w:t>
      </w:r>
      <w:r w:rsidR="00914BB0">
        <w:t xml:space="preserve">to understand </w:t>
      </w:r>
      <w:r w:rsidR="00F214BB">
        <w:t xml:space="preserve">the role </w:t>
      </w:r>
      <w:r w:rsidR="00EF2346">
        <w:t>we</w:t>
      </w:r>
      <w:r w:rsidR="00F214BB">
        <w:t xml:space="preserve"> may have played in the large number of changes cited</w:t>
      </w:r>
      <w:r w:rsidR="004A74BB">
        <w:t>,</w:t>
      </w:r>
      <w:r w:rsidR="00DB0209">
        <w:t xml:space="preserve"> </w:t>
      </w:r>
      <w:r w:rsidR="00914BB0">
        <w:t>and to further learn from experience</w:t>
      </w:r>
      <w:r w:rsidR="007775F7" w:rsidRPr="007775F7">
        <w:t xml:space="preserve">. This </w:t>
      </w:r>
      <w:r w:rsidR="00254659">
        <w:t xml:space="preserve">report details the review undertaken and the conclusions reached. </w:t>
      </w:r>
    </w:p>
    <w:p w14:paraId="34CC151B" w14:textId="6D6DF12A" w:rsidR="007775F7" w:rsidRPr="007775F7" w:rsidRDefault="00392CDB" w:rsidP="005B2BAF">
      <w:pPr>
        <w:pStyle w:val="Paragraph"/>
      </w:pPr>
      <w:r>
        <w:t>ON</w:t>
      </w:r>
      <w:r w:rsidR="00D328B2">
        <w:t>R</w:t>
      </w:r>
      <w:r>
        <w:t xml:space="preserve"> engaged </w:t>
      </w:r>
      <w:r w:rsidR="00C83BC7">
        <w:t xml:space="preserve">positively </w:t>
      </w:r>
      <w:r>
        <w:t xml:space="preserve">with NNB </w:t>
      </w:r>
      <w:proofErr w:type="spellStart"/>
      <w:r w:rsidR="00557CC3">
        <w:t>GenCo</w:t>
      </w:r>
      <w:proofErr w:type="spellEnd"/>
      <w:r>
        <w:t xml:space="preserve"> </w:t>
      </w:r>
      <w:r w:rsidR="00774638">
        <w:t>who co-operated with this review</w:t>
      </w:r>
      <w:r w:rsidR="008F51D0">
        <w:t xml:space="preserve">. </w:t>
      </w:r>
      <w:r w:rsidR="00A57277">
        <w:t>The aim of this engagement was</w:t>
      </w:r>
      <w:r w:rsidR="008F51D0">
        <w:t xml:space="preserve"> </w:t>
      </w:r>
      <w:r>
        <w:t>to understand detail</w:t>
      </w:r>
      <w:r w:rsidR="00FA6BF3">
        <w:t>s</w:t>
      </w:r>
      <w:r>
        <w:t xml:space="preserve"> of the </w:t>
      </w:r>
      <w:r w:rsidR="00D328B2">
        <w:t xml:space="preserve">design changes </w:t>
      </w:r>
      <w:r w:rsidR="002953C4">
        <w:t xml:space="preserve">it </w:t>
      </w:r>
      <w:r w:rsidR="00914BB0">
        <w:t>considers has had the greatest impact on cost and schedule.</w:t>
      </w:r>
      <w:r w:rsidR="00FA6BF3">
        <w:t xml:space="preserve"> This </w:t>
      </w:r>
      <w:r w:rsidR="007775F7" w:rsidRPr="007775F7">
        <w:t>identified seven groups of changes</w:t>
      </w:r>
      <w:r w:rsidR="006C04B0">
        <w:t>:</w:t>
      </w:r>
      <w:r w:rsidR="007775F7" w:rsidRPr="007775F7">
        <w:t xml:space="preserve"> </w:t>
      </w:r>
    </w:p>
    <w:p w14:paraId="14527B30" w14:textId="22CC6C50" w:rsidR="00914BB0" w:rsidRPr="007775F7" w:rsidRDefault="00914BB0" w:rsidP="0013787C">
      <w:pPr>
        <w:pStyle w:val="Bulletlist1"/>
        <w:numPr>
          <w:ilvl w:val="0"/>
          <w:numId w:val="12"/>
        </w:numPr>
        <w:ind w:left="851" w:hanging="425"/>
      </w:pPr>
      <w:r w:rsidRPr="007775F7">
        <w:t xml:space="preserve">High </w:t>
      </w:r>
      <w:r w:rsidR="001E452A" w:rsidRPr="007775F7">
        <w:t>integrity components</w:t>
      </w:r>
      <w:r w:rsidR="001F2B2D">
        <w:t>.</w:t>
      </w:r>
      <w:r w:rsidR="001E452A" w:rsidRPr="007775F7">
        <w:t xml:space="preserve"> </w:t>
      </w:r>
    </w:p>
    <w:p w14:paraId="3B4C93C4" w14:textId="17640DF6" w:rsidR="00914BB0" w:rsidRPr="007775F7" w:rsidRDefault="00914BB0" w:rsidP="0013787C">
      <w:pPr>
        <w:pStyle w:val="Bulletlist1"/>
        <w:numPr>
          <w:ilvl w:val="0"/>
          <w:numId w:val="12"/>
        </w:numPr>
        <w:ind w:left="851" w:hanging="425"/>
      </w:pPr>
      <w:r w:rsidRPr="007775F7">
        <w:t>Categor</w:t>
      </w:r>
      <w:r>
        <w:t>isation</w:t>
      </w:r>
      <w:r w:rsidRPr="007775F7">
        <w:t xml:space="preserve"> </w:t>
      </w:r>
      <w:r>
        <w:t>and</w:t>
      </w:r>
      <w:r w:rsidRPr="007775F7">
        <w:t xml:space="preserve"> </w:t>
      </w:r>
      <w:r w:rsidR="001E452A">
        <w:t>c</w:t>
      </w:r>
      <w:r w:rsidRPr="007775F7">
        <w:t>lassification</w:t>
      </w:r>
      <w:r w:rsidR="001F2B2D">
        <w:t>.</w:t>
      </w:r>
    </w:p>
    <w:p w14:paraId="03CD89F1" w14:textId="7478421F" w:rsidR="00914BB0" w:rsidRPr="007775F7" w:rsidRDefault="00914BB0" w:rsidP="0013787C">
      <w:pPr>
        <w:pStyle w:val="Bulletlist1"/>
        <w:numPr>
          <w:ilvl w:val="0"/>
          <w:numId w:val="12"/>
        </w:numPr>
        <w:ind w:left="851" w:hanging="425"/>
      </w:pPr>
      <w:r>
        <w:t xml:space="preserve">Control and </w:t>
      </w:r>
      <w:r w:rsidR="001E452A">
        <w:t>i</w:t>
      </w:r>
      <w:r w:rsidRPr="007775F7">
        <w:t>nstrumentation</w:t>
      </w:r>
      <w:r>
        <w:t xml:space="preserve"> architecture</w:t>
      </w:r>
      <w:r w:rsidR="001F2B2D">
        <w:t>.</w:t>
      </w:r>
    </w:p>
    <w:p w14:paraId="7F319DD1" w14:textId="448DA276" w:rsidR="00914BB0" w:rsidRPr="007775F7" w:rsidRDefault="00914BB0" w:rsidP="0013787C">
      <w:pPr>
        <w:pStyle w:val="Bulletlist1"/>
        <w:numPr>
          <w:ilvl w:val="0"/>
          <w:numId w:val="12"/>
        </w:numPr>
        <w:ind w:left="851" w:hanging="425"/>
      </w:pPr>
      <w:r w:rsidRPr="007775F7">
        <w:t xml:space="preserve">Additional </w:t>
      </w:r>
      <w:r w:rsidR="001E452A" w:rsidRPr="007775F7">
        <w:t>heating, ventilation, and air conditioning</w:t>
      </w:r>
      <w:r w:rsidR="001F2B2D">
        <w:t>.</w:t>
      </w:r>
      <w:r w:rsidR="001E452A" w:rsidRPr="007775F7">
        <w:t xml:space="preserve"> </w:t>
      </w:r>
    </w:p>
    <w:p w14:paraId="2D804EC4" w14:textId="1E63C7A6" w:rsidR="00914BB0" w:rsidRPr="007775F7" w:rsidRDefault="00914BB0" w:rsidP="0013787C">
      <w:pPr>
        <w:pStyle w:val="Bulletlist1"/>
        <w:numPr>
          <w:ilvl w:val="0"/>
          <w:numId w:val="12"/>
        </w:numPr>
        <w:ind w:left="851" w:hanging="425"/>
      </w:pPr>
      <w:r w:rsidRPr="007775F7">
        <w:t xml:space="preserve">Use of </w:t>
      </w:r>
      <w:r w:rsidR="005C7AE4">
        <w:t>f</w:t>
      </w:r>
      <w:r w:rsidRPr="007775F7">
        <w:t>ib</w:t>
      </w:r>
      <w:r w:rsidR="0000181B">
        <w:t>re</w:t>
      </w:r>
      <w:r w:rsidRPr="007775F7">
        <w:t xml:space="preserve"> </w:t>
      </w:r>
      <w:r w:rsidR="005C7AE4">
        <w:t>f</w:t>
      </w:r>
      <w:r w:rsidRPr="007775F7">
        <w:t>ree Insulation</w:t>
      </w:r>
      <w:r w:rsidR="001F2B2D">
        <w:t>.</w:t>
      </w:r>
    </w:p>
    <w:p w14:paraId="2E5A8826" w14:textId="3F8E07CE" w:rsidR="00914BB0" w:rsidRPr="007775F7" w:rsidRDefault="00914BB0" w:rsidP="0013787C">
      <w:pPr>
        <w:pStyle w:val="Bulletlist1"/>
        <w:numPr>
          <w:ilvl w:val="0"/>
          <w:numId w:val="12"/>
        </w:numPr>
        <w:ind w:left="851" w:hanging="425"/>
      </w:pPr>
      <w:r w:rsidRPr="007775F7">
        <w:t>Greater use of concrete and steel</w:t>
      </w:r>
      <w:r w:rsidR="001F2B2D">
        <w:t>.</w:t>
      </w:r>
    </w:p>
    <w:p w14:paraId="6225F690" w14:textId="46CE42ED" w:rsidR="00914BB0" w:rsidRPr="007775F7" w:rsidRDefault="00914BB0" w:rsidP="0013787C">
      <w:pPr>
        <w:pStyle w:val="Bulletlist1"/>
        <w:numPr>
          <w:ilvl w:val="0"/>
          <w:numId w:val="12"/>
        </w:numPr>
        <w:ind w:left="851" w:hanging="425"/>
      </w:pPr>
      <w:r w:rsidRPr="007775F7">
        <w:t>Miscellaneous smaller changes</w:t>
      </w:r>
      <w:r w:rsidR="001F2B2D">
        <w:t>.</w:t>
      </w:r>
    </w:p>
    <w:p w14:paraId="6570ED91" w14:textId="67752870" w:rsidR="00CF262C" w:rsidRDefault="00914BB0" w:rsidP="00553099">
      <w:pPr>
        <w:pStyle w:val="Paragraph"/>
      </w:pPr>
      <w:r>
        <w:t>This report</w:t>
      </w:r>
      <w:r w:rsidRPr="00CF262C">
        <w:t xml:space="preserve"> discuss</w:t>
      </w:r>
      <w:r>
        <w:t>es</w:t>
      </w:r>
      <w:r w:rsidRPr="00CF262C">
        <w:t xml:space="preserve"> the overall number of design changes</w:t>
      </w:r>
      <w:r w:rsidR="00CF262C" w:rsidRPr="00CF262C">
        <w:t xml:space="preserve"> and provide</w:t>
      </w:r>
      <w:r w:rsidR="00542A3E">
        <w:t>s</w:t>
      </w:r>
      <w:r w:rsidR="00CF262C" w:rsidRPr="00CF262C">
        <w:t xml:space="preserve"> additional detail on the seven groups of significant change identified by NNB </w:t>
      </w:r>
      <w:proofErr w:type="spellStart"/>
      <w:r w:rsidR="00557CC3">
        <w:t>GenCo</w:t>
      </w:r>
      <w:proofErr w:type="spellEnd"/>
      <w:r w:rsidR="00CF262C" w:rsidRPr="00CF262C">
        <w:t>.</w:t>
      </w:r>
    </w:p>
    <w:p w14:paraId="640BF214" w14:textId="77777777" w:rsidR="0008258B" w:rsidRDefault="001F77BA" w:rsidP="009849EB">
      <w:pPr>
        <w:pStyle w:val="Paragraph"/>
      </w:pPr>
      <w:r w:rsidRPr="001F77BA">
        <w:t>Across the sample of modifications reviewed, the conclusions were broadly similar.</w:t>
      </w:r>
      <w:r w:rsidR="009849EB">
        <w:t xml:space="preserve"> </w:t>
      </w:r>
    </w:p>
    <w:p w14:paraId="7C089DBA" w14:textId="1EA2BBD1" w:rsidR="0008258B" w:rsidRDefault="007775F7" w:rsidP="009849EB">
      <w:pPr>
        <w:pStyle w:val="Paragraph"/>
      </w:pPr>
      <w:r w:rsidRPr="007775F7">
        <w:t xml:space="preserve">All </w:t>
      </w:r>
      <w:r w:rsidR="000A52E0">
        <w:t xml:space="preserve">the identified </w:t>
      </w:r>
      <w:r w:rsidRPr="007775F7">
        <w:t xml:space="preserve">changes were proposed </w:t>
      </w:r>
      <w:r w:rsidR="005E0D63">
        <w:t xml:space="preserve">by </w:t>
      </w:r>
      <w:r w:rsidRPr="007775F7">
        <w:t xml:space="preserve">or discussed with </w:t>
      </w:r>
      <w:r w:rsidR="00247CE0">
        <w:t xml:space="preserve">the </w:t>
      </w:r>
      <w:r w:rsidR="001D500B">
        <w:t xml:space="preserve">UK European Pressurised Water Reactor (UK EPR) </w:t>
      </w:r>
      <w:r w:rsidR="00247CE0">
        <w:t>requesting parties (</w:t>
      </w:r>
      <w:r w:rsidRPr="007775F7">
        <w:t>EDF</w:t>
      </w:r>
      <w:r w:rsidR="00247CE0">
        <w:t xml:space="preserve"> and </w:t>
      </w:r>
      <w:r w:rsidRPr="007775F7">
        <w:t>AREVA</w:t>
      </w:r>
      <w:r w:rsidR="00247CE0">
        <w:t>)</w:t>
      </w:r>
      <w:r w:rsidRPr="007775F7">
        <w:t xml:space="preserve"> during </w:t>
      </w:r>
      <w:r w:rsidR="00381828">
        <w:t xml:space="preserve">the </w:t>
      </w:r>
      <w:r w:rsidRPr="007775F7">
        <w:t>G</w:t>
      </w:r>
      <w:r w:rsidR="00381828">
        <w:t xml:space="preserve">eneric </w:t>
      </w:r>
      <w:r w:rsidRPr="007775F7">
        <w:t>D</w:t>
      </w:r>
      <w:r w:rsidR="00381828">
        <w:t xml:space="preserve">esign </w:t>
      </w:r>
      <w:r w:rsidRPr="007775F7">
        <w:t>A</w:t>
      </w:r>
      <w:r w:rsidR="00381828">
        <w:t>ssessment (GDA)</w:t>
      </w:r>
      <w:r w:rsidRPr="007775F7">
        <w:t xml:space="preserve"> in </w:t>
      </w:r>
      <w:r w:rsidR="009F46D2">
        <w:t xml:space="preserve">the period </w:t>
      </w:r>
      <w:r w:rsidRPr="007775F7">
        <w:t>200</w:t>
      </w:r>
      <w:r w:rsidR="00F07D75">
        <w:t>8</w:t>
      </w:r>
      <w:r w:rsidR="0002269D">
        <w:t xml:space="preserve"> to 20</w:t>
      </w:r>
      <w:r w:rsidRPr="007775F7">
        <w:t xml:space="preserve">12. </w:t>
      </w:r>
    </w:p>
    <w:p w14:paraId="3856CC29" w14:textId="1CEFCEFB" w:rsidR="007775F7" w:rsidRPr="007775F7" w:rsidRDefault="00C169D2" w:rsidP="009849EB">
      <w:pPr>
        <w:pStyle w:val="Paragraph"/>
      </w:pPr>
      <w:r>
        <w:rPr>
          <w:lang w:val="en-US"/>
        </w:rPr>
        <w:t>O</w:t>
      </w:r>
      <w:r w:rsidRPr="00C169D2">
        <w:rPr>
          <w:lang w:val="en-US"/>
        </w:rPr>
        <w:t xml:space="preserve">n balance, </w:t>
      </w:r>
      <w:r>
        <w:rPr>
          <w:lang w:val="en-US"/>
        </w:rPr>
        <w:t>ONR</w:t>
      </w:r>
      <w:r w:rsidRPr="00C169D2">
        <w:rPr>
          <w:lang w:val="en-US"/>
        </w:rPr>
        <w:t xml:space="preserve"> </w:t>
      </w:r>
      <w:r w:rsidR="0008258B">
        <w:rPr>
          <w:lang w:val="en-US"/>
        </w:rPr>
        <w:t>believes</w:t>
      </w:r>
      <w:r w:rsidRPr="00C169D2">
        <w:rPr>
          <w:lang w:val="en-US"/>
        </w:rPr>
        <w:t xml:space="preserve"> that the modifications reviewed </w:t>
      </w:r>
      <w:r w:rsidR="00DA0A19">
        <w:rPr>
          <w:lang w:val="en-US"/>
        </w:rPr>
        <w:t>we</w:t>
      </w:r>
      <w:r w:rsidRPr="00C169D2">
        <w:rPr>
          <w:lang w:val="en-US"/>
        </w:rPr>
        <w:t xml:space="preserve">re proportionate, and </w:t>
      </w:r>
      <w:r w:rsidR="00DA0A19">
        <w:rPr>
          <w:lang w:val="en-US"/>
        </w:rPr>
        <w:t xml:space="preserve">that </w:t>
      </w:r>
      <w:r w:rsidR="00950C06">
        <w:rPr>
          <w:lang w:val="en-US"/>
        </w:rPr>
        <w:t>its</w:t>
      </w:r>
      <w:r w:rsidRPr="00C169D2">
        <w:rPr>
          <w:lang w:val="en-US"/>
        </w:rPr>
        <w:t xml:space="preserve"> approach was broadly consistent with </w:t>
      </w:r>
      <w:r w:rsidR="00DA0A19">
        <w:rPr>
          <w:lang w:val="en-US"/>
        </w:rPr>
        <w:t xml:space="preserve">that of </w:t>
      </w:r>
      <w:r w:rsidRPr="00C169D2">
        <w:rPr>
          <w:lang w:val="en-US"/>
        </w:rPr>
        <w:t>other international regulators.</w:t>
      </w:r>
    </w:p>
    <w:p w14:paraId="5930B1D9" w14:textId="2F84CB70" w:rsidR="005E5372" w:rsidRDefault="00D621AF" w:rsidP="00D621AF">
      <w:pPr>
        <w:spacing w:before="0" w:after="0" w:line="240" w:lineRule="auto"/>
        <w:rPr>
          <w:lang w:val="en-US" w:bidi="ar-SA"/>
        </w:rPr>
      </w:pPr>
      <w:r w:rsidRPr="00D621AF">
        <w:t>An intent of the GDA is to help reduce the developer’s risks on costs and timescales</w:t>
      </w:r>
      <w:r w:rsidR="00664FB9">
        <w:t xml:space="preserve"> by providing c</w:t>
      </w:r>
      <w:r w:rsidR="00945EC4">
        <w:t>larity on design changes as early as possible.</w:t>
      </w:r>
      <w:r w:rsidRPr="00D621AF">
        <w:t xml:space="preserve"> Th</w:t>
      </w:r>
      <w:r w:rsidR="0008258B">
        <w:t>is was achieved for the UK EPR</w:t>
      </w:r>
      <w:r w:rsidR="00BF1032">
        <w:t>;</w:t>
      </w:r>
      <w:r w:rsidR="0008258B">
        <w:t xml:space="preserve"> th</w:t>
      </w:r>
      <w:r w:rsidRPr="00D621AF">
        <w:t xml:space="preserve">e modifications reviewed were identified early and have remained largely unchanged since 2012. </w:t>
      </w:r>
      <w:r w:rsidR="005E5372">
        <w:rPr>
          <w:lang w:val="en-US" w:bidi="ar-SA"/>
        </w:rPr>
        <w:br w:type="page"/>
      </w:r>
    </w:p>
    <w:bookmarkStart w:id="4" w:name="_Toc676048012" w:displacedByCustomXml="next"/>
    <w:sdt>
      <w:sdtPr>
        <w:rPr>
          <w:rFonts w:ascii="Arial" w:eastAsia="Calibri" w:hAnsi="Arial" w:cs="Arial"/>
          <w:b/>
          <w:noProof/>
          <w:color w:val="auto"/>
          <w:sz w:val="24"/>
          <w:szCs w:val="22"/>
          <w:lang w:val="en-GB" w:bidi="he-IL"/>
        </w:rPr>
        <w:id w:val="450061971"/>
        <w:docPartObj>
          <w:docPartGallery w:val="Table of Contents"/>
          <w:docPartUnique/>
        </w:docPartObj>
      </w:sdtPr>
      <w:sdtEndPr>
        <w:rPr>
          <w:szCs w:val="24"/>
        </w:rPr>
      </w:sdtEndPr>
      <w:sdtContent>
        <w:p w14:paraId="0136B020" w14:textId="440465C5" w:rsidR="007944BA" w:rsidRPr="00422D37" w:rsidRDefault="007944BA" w:rsidP="00D1279F">
          <w:pPr>
            <w:pStyle w:val="TOCHeading"/>
            <w:spacing w:after="120"/>
            <w:rPr>
              <w:rStyle w:val="Heading1Char"/>
            </w:rPr>
          </w:pPr>
          <w:r w:rsidRPr="00422D37">
            <w:rPr>
              <w:rStyle w:val="Heading1Char"/>
            </w:rPr>
            <w:t>Contents</w:t>
          </w:r>
          <w:bookmarkEnd w:id="4"/>
        </w:p>
        <w:p w14:paraId="30F9DA49" w14:textId="60D7CB38" w:rsidR="006331C9" w:rsidRDefault="09CB7B2D">
          <w:pPr>
            <w:pStyle w:val="TOC1"/>
            <w:rPr>
              <w:rFonts w:asciiTheme="minorHAnsi" w:eastAsiaTheme="minorEastAsia" w:hAnsiTheme="minorHAnsi" w:cstheme="minorBidi"/>
              <w:b w:val="0"/>
              <w:kern w:val="2"/>
              <w:sz w:val="22"/>
              <w:lang w:eastAsia="en-GB" w:bidi="ar-SA"/>
              <w14:ligatures w14:val="standardContextual"/>
            </w:rPr>
          </w:pPr>
          <w:r>
            <w:fldChar w:fldCharType="begin"/>
          </w:r>
          <w:r w:rsidR="00997E4E">
            <w:instrText>TOC \o "1-2" \z \u \h</w:instrText>
          </w:r>
          <w:r>
            <w:fldChar w:fldCharType="separate"/>
          </w:r>
          <w:hyperlink w:anchor="_Toc178776906" w:history="1">
            <w:r w:rsidR="006331C9" w:rsidRPr="00A97AD5">
              <w:rPr>
                <w:rStyle w:val="Hyperlink"/>
              </w:rPr>
              <w:t>Executive Summary</w:t>
            </w:r>
            <w:r w:rsidR="006331C9">
              <w:rPr>
                <w:webHidden/>
              </w:rPr>
              <w:tab/>
            </w:r>
            <w:r w:rsidR="006331C9">
              <w:rPr>
                <w:webHidden/>
              </w:rPr>
              <w:fldChar w:fldCharType="begin"/>
            </w:r>
            <w:r w:rsidR="006331C9">
              <w:rPr>
                <w:webHidden/>
              </w:rPr>
              <w:instrText xml:space="preserve"> PAGEREF _Toc178776906 \h </w:instrText>
            </w:r>
            <w:r w:rsidR="006331C9">
              <w:rPr>
                <w:webHidden/>
              </w:rPr>
            </w:r>
            <w:r w:rsidR="006331C9">
              <w:rPr>
                <w:webHidden/>
              </w:rPr>
              <w:fldChar w:fldCharType="separate"/>
            </w:r>
            <w:r w:rsidR="00E256EC">
              <w:rPr>
                <w:webHidden/>
              </w:rPr>
              <w:t>1</w:t>
            </w:r>
            <w:r w:rsidR="006331C9">
              <w:rPr>
                <w:webHidden/>
              </w:rPr>
              <w:fldChar w:fldCharType="end"/>
            </w:r>
          </w:hyperlink>
        </w:p>
        <w:p w14:paraId="7C37E7D3" w14:textId="0D3CC2BD" w:rsidR="006331C9" w:rsidRDefault="00000000">
          <w:pPr>
            <w:pStyle w:val="TOC1"/>
            <w:tabs>
              <w:tab w:val="left" w:pos="720"/>
            </w:tabs>
            <w:rPr>
              <w:rFonts w:asciiTheme="minorHAnsi" w:eastAsiaTheme="minorEastAsia" w:hAnsiTheme="minorHAnsi" w:cstheme="minorBidi"/>
              <w:b w:val="0"/>
              <w:kern w:val="2"/>
              <w:sz w:val="22"/>
              <w:lang w:eastAsia="en-GB" w:bidi="ar-SA"/>
              <w14:ligatures w14:val="standardContextual"/>
            </w:rPr>
          </w:pPr>
          <w:hyperlink w:anchor="_Toc178776907" w:history="1">
            <w:r w:rsidR="006331C9" w:rsidRPr="00A97AD5">
              <w:rPr>
                <w:rStyle w:val="Hyperlink"/>
              </w:rPr>
              <w:t>1.</w:t>
            </w:r>
            <w:r w:rsidR="006331C9">
              <w:rPr>
                <w:rFonts w:asciiTheme="minorHAnsi" w:eastAsiaTheme="minorEastAsia" w:hAnsiTheme="minorHAnsi" w:cstheme="minorBidi"/>
                <w:b w:val="0"/>
                <w:kern w:val="2"/>
                <w:sz w:val="22"/>
                <w:lang w:eastAsia="en-GB" w:bidi="ar-SA"/>
                <w14:ligatures w14:val="standardContextual"/>
              </w:rPr>
              <w:tab/>
            </w:r>
            <w:r w:rsidR="006331C9" w:rsidRPr="00A97AD5">
              <w:rPr>
                <w:rStyle w:val="Hyperlink"/>
              </w:rPr>
              <w:t>NNB GenCo Statement</w:t>
            </w:r>
            <w:r w:rsidR="006331C9">
              <w:rPr>
                <w:webHidden/>
              </w:rPr>
              <w:tab/>
            </w:r>
            <w:r w:rsidR="006331C9">
              <w:rPr>
                <w:webHidden/>
              </w:rPr>
              <w:fldChar w:fldCharType="begin"/>
            </w:r>
            <w:r w:rsidR="006331C9">
              <w:rPr>
                <w:webHidden/>
              </w:rPr>
              <w:instrText xml:space="preserve"> PAGEREF _Toc178776907 \h </w:instrText>
            </w:r>
            <w:r w:rsidR="006331C9">
              <w:rPr>
                <w:webHidden/>
              </w:rPr>
            </w:r>
            <w:r w:rsidR="006331C9">
              <w:rPr>
                <w:webHidden/>
              </w:rPr>
              <w:fldChar w:fldCharType="separate"/>
            </w:r>
            <w:r w:rsidR="00E256EC">
              <w:rPr>
                <w:webHidden/>
              </w:rPr>
              <w:t>4</w:t>
            </w:r>
            <w:r w:rsidR="006331C9">
              <w:rPr>
                <w:webHidden/>
              </w:rPr>
              <w:fldChar w:fldCharType="end"/>
            </w:r>
          </w:hyperlink>
        </w:p>
        <w:p w14:paraId="07C58A88" w14:textId="0EBD0587" w:rsidR="006331C9" w:rsidRDefault="00000000">
          <w:pPr>
            <w:pStyle w:val="TOC1"/>
            <w:tabs>
              <w:tab w:val="left" w:pos="720"/>
            </w:tabs>
            <w:rPr>
              <w:rFonts w:asciiTheme="minorHAnsi" w:eastAsiaTheme="minorEastAsia" w:hAnsiTheme="minorHAnsi" w:cstheme="minorBidi"/>
              <w:b w:val="0"/>
              <w:kern w:val="2"/>
              <w:sz w:val="22"/>
              <w:lang w:eastAsia="en-GB" w:bidi="ar-SA"/>
              <w14:ligatures w14:val="standardContextual"/>
            </w:rPr>
          </w:pPr>
          <w:hyperlink w:anchor="_Toc178776908" w:history="1">
            <w:r w:rsidR="006331C9" w:rsidRPr="00A97AD5">
              <w:rPr>
                <w:rStyle w:val="Hyperlink"/>
              </w:rPr>
              <w:t>2.</w:t>
            </w:r>
            <w:r w:rsidR="006331C9">
              <w:rPr>
                <w:rFonts w:asciiTheme="minorHAnsi" w:eastAsiaTheme="minorEastAsia" w:hAnsiTheme="minorHAnsi" w:cstheme="minorBidi"/>
                <w:b w:val="0"/>
                <w:kern w:val="2"/>
                <w:sz w:val="22"/>
                <w:lang w:eastAsia="en-GB" w:bidi="ar-SA"/>
                <w14:ligatures w14:val="standardContextual"/>
              </w:rPr>
              <w:tab/>
            </w:r>
            <w:r w:rsidR="006331C9" w:rsidRPr="00A97AD5">
              <w:rPr>
                <w:rStyle w:val="Hyperlink"/>
              </w:rPr>
              <w:t>Review Findings</w:t>
            </w:r>
            <w:r w:rsidR="006331C9">
              <w:rPr>
                <w:webHidden/>
              </w:rPr>
              <w:tab/>
            </w:r>
            <w:r w:rsidR="006331C9">
              <w:rPr>
                <w:webHidden/>
              </w:rPr>
              <w:fldChar w:fldCharType="begin"/>
            </w:r>
            <w:r w:rsidR="006331C9">
              <w:rPr>
                <w:webHidden/>
              </w:rPr>
              <w:instrText xml:space="preserve"> PAGEREF _Toc178776908 \h </w:instrText>
            </w:r>
            <w:r w:rsidR="006331C9">
              <w:rPr>
                <w:webHidden/>
              </w:rPr>
            </w:r>
            <w:r w:rsidR="006331C9">
              <w:rPr>
                <w:webHidden/>
              </w:rPr>
              <w:fldChar w:fldCharType="separate"/>
            </w:r>
            <w:r w:rsidR="00E256EC">
              <w:rPr>
                <w:webHidden/>
              </w:rPr>
              <w:t>4</w:t>
            </w:r>
            <w:r w:rsidR="006331C9">
              <w:rPr>
                <w:webHidden/>
              </w:rPr>
              <w:fldChar w:fldCharType="end"/>
            </w:r>
          </w:hyperlink>
        </w:p>
        <w:p w14:paraId="40604711" w14:textId="3357250F" w:rsidR="006331C9" w:rsidRDefault="00000000">
          <w:pPr>
            <w:pStyle w:val="TOC1"/>
            <w:tabs>
              <w:tab w:val="left" w:pos="720"/>
            </w:tabs>
            <w:rPr>
              <w:rFonts w:asciiTheme="minorHAnsi" w:eastAsiaTheme="minorEastAsia" w:hAnsiTheme="minorHAnsi" w:cstheme="minorBidi"/>
              <w:b w:val="0"/>
              <w:kern w:val="2"/>
              <w:sz w:val="22"/>
              <w:lang w:eastAsia="en-GB" w:bidi="ar-SA"/>
              <w14:ligatures w14:val="standardContextual"/>
            </w:rPr>
          </w:pPr>
          <w:hyperlink w:anchor="_Toc178776909" w:history="1">
            <w:r w:rsidR="006331C9" w:rsidRPr="00A97AD5">
              <w:rPr>
                <w:rStyle w:val="Hyperlink"/>
              </w:rPr>
              <w:t>3.</w:t>
            </w:r>
            <w:r w:rsidR="006331C9">
              <w:rPr>
                <w:rFonts w:asciiTheme="minorHAnsi" w:eastAsiaTheme="minorEastAsia" w:hAnsiTheme="minorHAnsi" w:cstheme="minorBidi"/>
                <w:b w:val="0"/>
                <w:kern w:val="2"/>
                <w:sz w:val="22"/>
                <w:lang w:eastAsia="en-GB" w:bidi="ar-SA"/>
                <w14:ligatures w14:val="standardContextual"/>
              </w:rPr>
              <w:tab/>
            </w:r>
            <w:r w:rsidR="006331C9" w:rsidRPr="00A97AD5">
              <w:rPr>
                <w:rStyle w:val="Hyperlink"/>
              </w:rPr>
              <w:t>High Integrity Components (HIC)</w:t>
            </w:r>
            <w:r w:rsidR="006331C9">
              <w:rPr>
                <w:webHidden/>
              </w:rPr>
              <w:tab/>
            </w:r>
            <w:r w:rsidR="006331C9">
              <w:rPr>
                <w:webHidden/>
              </w:rPr>
              <w:fldChar w:fldCharType="begin"/>
            </w:r>
            <w:r w:rsidR="006331C9">
              <w:rPr>
                <w:webHidden/>
              </w:rPr>
              <w:instrText xml:space="preserve"> PAGEREF _Toc178776909 \h </w:instrText>
            </w:r>
            <w:r w:rsidR="006331C9">
              <w:rPr>
                <w:webHidden/>
              </w:rPr>
            </w:r>
            <w:r w:rsidR="006331C9">
              <w:rPr>
                <w:webHidden/>
              </w:rPr>
              <w:fldChar w:fldCharType="separate"/>
            </w:r>
            <w:r w:rsidR="00E256EC">
              <w:rPr>
                <w:webHidden/>
              </w:rPr>
              <w:t>6</w:t>
            </w:r>
            <w:r w:rsidR="006331C9">
              <w:rPr>
                <w:webHidden/>
              </w:rPr>
              <w:fldChar w:fldCharType="end"/>
            </w:r>
          </w:hyperlink>
        </w:p>
        <w:p w14:paraId="489331D7" w14:textId="6C57DDF3"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10" w:history="1">
            <w:r w:rsidR="006331C9" w:rsidRPr="00A97AD5">
              <w:rPr>
                <w:rStyle w:val="Hyperlink"/>
              </w:rPr>
              <w:t>3.1.</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Overview</w:t>
            </w:r>
            <w:r w:rsidR="006331C9">
              <w:rPr>
                <w:webHidden/>
              </w:rPr>
              <w:tab/>
            </w:r>
            <w:r w:rsidR="006331C9">
              <w:rPr>
                <w:webHidden/>
              </w:rPr>
              <w:fldChar w:fldCharType="begin"/>
            </w:r>
            <w:r w:rsidR="006331C9">
              <w:rPr>
                <w:webHidden/>
              </w:rPr>
              <w:instrText xml:space="preserve"> PAGEREF _Toc178776910 \h </w:instrText>
            </w:r>
            <w:r w:rsidR="006331C9">
              <w:rPr>
                <w:webHidden/>
              </w:rPr>
            </w:r>
            <w:r w:rsidR="006331C9">
              <w:rPr>
                <w:webHidden/>
              </w:rPr>
              <w:fldChar w:fldCharType="separate"/>
            </w:r>
            <w:r w:rsidR="00E256EC">
              <w:rPr>
                <w:webHidden/>
              </w:rPr>
              <w:t>6</w:t>
            </w:r>
            <w:r w:rsidR="006331C9">
              <w:rPr>
                <w:webHidden/>
              </w:rPr>
              <w:fldChar w:fldCharType="end"/>
            </w:r>
          </w:hyperlink>
        </w:p>
        <w:p w14:paraId="51EBD6B4" w14:textId="2489C0B5"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11" w:history="1">
            <w:r w:rsidR="006331C9" w:rsidRPr="00A97AD5">
              <w:rPr>
                <w:rStyle w:val="Hyperlink"/>
              </w:rPr>
              <w:t>3.2.</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Differences in regulatory approaches</w:t>
            </w:r>
            <w:r w:rsidR="006331C9">
              <w:rPr>
                <w:webHidden/>
              </w:rPr>
              <w:tab/>
            </w:r>
            <w:r w:rsidR="006331C9">
              <w:rPr>
                <w:webHidden/>
              </w:rPr>
              <w:fldChar w:fldCharType="begin"/>
            </w:r>
            <w:r w:rsidR="006331C9">
              <w:rPr>
                <w:webHidden/>
              </w:rPr>
              <w:instrText xml:space="preserve"> PAGEREF _Toc178776911 \h </w:instrText>
            </w:r>
            <w:r w:rsidR="006331C9">
              <w:rPr>
                <w:webHidden/>
              </w:rPr>
            </w:r>
            <w:r w:rsidR="006331C9">
              <w:rPr>
                <w:webHidden/>
              </w:rPr>
              <w:fldChar w:fldCharType="separate"/>
            </w:r>
            <w:r w:rsidR="00E256EC">
              <w:rPr>
                <w:webHidden/>
              </w:rPr>
              <w:t>7</w:t>
            </w:r>
            <w:r w:rsidR="006331C9">
              <w:rPr>
                <w:webHidden/>
              </w:rPr>
              <w:fldChar w:fldCharType="end"/>
            </w:r>
          </w:hyperlink>
        </w:p>
        <w:p w14:paraId="5F9889CF" w14:textId="0822A072"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12" w:history="1">
            <w:r w:rsidR="006331C9" w:rsidRPr="00A97AD5">
              <w:rPr>
                <w:rStyle w:val="Hyperlink"/>
              </w:rPr>
              <w:t>3.3.</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Safety benefit</w:t>
            </w:r>
            <w:r w:rsidR="006331C9">
              <w:rPr>
                <w:webHidden/>
              </w:rPr>
              <w:tab/>
            </w:r>
            <w:r w:rsidR="006331C9">
              <w:rPr>
                <w:webHidden/>
              </w:rPr>
              <w:fldChar w:fldCharType="begin"/>
            </w:r>
            <w:r w:rsidR="006331C9">
              <w:rPr>
                <w:webHidden/>
              </w:rPr>
              <w:instrText xml:space="preserve"> PAGEREF _Toc178776912 \h </w:instrText>
            </w:r>
            <w:r w:rsidR="006331C9">
              <w:rPr>
                <w:webHidden/>
              </w:rPr>
            </w:r>
            <w:r w:rsidR="006331C9">
              <w:rPr>
                <w:webHidden/>
              </w:rPr>
              <w:fldChar w:fldCharType="separate"/>
            </w:r>
            <w:r w:rsidR="00E256EC">
              <w:rPr>
                <w:webHidden/>
              </w:rPr>
              <w:t>7</w:t>
            </w:r>
            <w:r w:rsidR="006331C9">
              <w:rPr>
                <w:webHidden/>
              </w:rPr>
              <w:fldChar w:fldCharType="end"/>
            </w:r>
          </w:hyperlink>
        </w:p>
        <w:p w14:paraId="79EBC2E8" w14:textId="31E3DCD0"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13" w:history="1">
            <w:r w:rsidR="006331C9" w:rsidRPr="00A97AD5">
              <w:rPr>
                <w:rStyle w:val="Hyperlink"/>
              </w:rPr>
              <w:t>3.4.</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Impact</w:t>
            </w:r>
            <w:r w:rsidR="006331C9">
              <w:rPr>
                <w:webHidden/>
              </w:rPr>
              <w:tab/>
            </w:r>
            <w:r w:rsidR="006331C9">
              <w:rPr>
                <w:webHidden/>
              </w:rPr>
              <w:fldChar w:fldCharType="begin"/>
            </w:r>
            <w:r w:rsidR="006331C9">
              <w:rPr>
                <w:webHidden/>
              </w:rPr>
              <w:instrText xml:space="preserve"> PAGEREF _Toc178776913 \h </w:instrText>
            </w:r>
            <w:r w:rsidR="006331C9">
              <w:rPr>
                <w:webHidden/>
              </w:rPr>
            </w:r>
            <w:r w:rsidR="006331C9">
              <w:rPr>
                <w:webHidden/>
              </w:rPr>
              <w:fldChar w:fldCharType="separate"/>
            </w:r>
            <w:r w:rsidR="00E256EC">
              <w:rPr>
                <w:webHidden/>
              </w:rPr>
              <w:t>8</w:t>
            </w:r>
            <w:r w:rsidR="006331C9">
              <w:rPr>
                <w:webHidden/>
              </w:rPr>
              <w:fldChar w:fldCharType="end"/>
            </w:r>
          </w:hyperlink>
        </w:p>
        <w:p w14:paraId="64A13005" w14:textId="0D3A01F0" w:rsidR="006331C9" w:rsidRDefault="00000000">
          <w:pPr>
            <w:pStyle w:val="TOC1"/>
            <w:tabs>
              <w:tab w:val="left" w:pos="720"/>
            </w:tabs>
            <w:rPr>
              <w:rFonts w:asciiTheme="minorHAnsi" w:eastAsiaTheme="minorEastAsia" w:hAnsiTheme="minorHAnsi" w:cstheme="minorBidi"/>
              <w:b w:val="0"/>
              <w:kern w:val="2"/>
              <w:sz w:val="22"/>
              <w:lang w:eastAsia="en-GB" w:bidi="ar-SA"/>
              <w14:ligatures w14:val="standardContextual"/>
            </w:rPr>
          </w:pPr>
          <w:hyperlink w:anchor="_Toc178776914" w:history="1">
            <w:r w:rsidR="006331C9" w:rsidRPr="00A97AD5">
              <w:rPr>
                <w:rStyle w:val="Hyperlink"/>
              </w:rPr>
              <w:t>4.</w:t>
            </w:r>
            <w:r w:rsidR="006331C9">
              <w:rPr>
                <w:rFonts w:asciiTheme="minorHAnsi" w:eastAsiaTheme="minorEastAsia" w:hAnsiTheme="minorHAnsi" w:cstheme="minorBidi"/>
                <w:b w:val="0"/>
                <w:kern w:val="2"/>
                <w:sz w:val="22"/>
                <w:lang w:eastAsia="en-GB" w:bidi="ar-SA"/>
                <w14:ligatures w14:val="standardContextual"/>
              </w:rPr>
              <w:tab/>
            </w:r>
            <w:r w:rsidR="006331C9" w:rsidRPr="00A97AD5">
              <w:rPr>
                <w:rStyle w:val="Hyperlink"/>
              </w:rPr>
              <w:t>Categorisation and Classification</w:t>
            </w:r>
            <w:r w:rsidR="006331C9">
              <w:rPr>
                <w:webHidden/>
              </w:rPr>
              <w:tab/>
            </w:r>
            <w:r w:rsidR="006331C9">
              <w:rPr>
                <w:webHidden/>
              </w:rPr>
              <w:fldChar w:fldCharType="begin"/>
            </w:r>
            <w:r w:rsidR="006331C9">
              <w:rPr>
                <w:webHidden/>
              </w:rPr>
              <w:instrText xml:space="preserve"> PAGEREF _Toc178776914 \h </w:instrText>
            </w:r>
            <w:r w:rsidR="006331C9">
              <w:rPr>
                <w:webHidden/>
              </w:rPr>
            </w:r>
            <w:r w:rsidR="006331C9">
              <w:rPr>
                <w:webHidden/>
              </w:rPr>
              <w:fldChar w:fldCharType="separate"/>
            </w:r>
            <w:r w:rsidR="00E256EC">
              <w:rPr>
                <w:webHidden/>
              </w:rPr>
              <w:t>8</w:t>
            </w:r>
            <w:r w:rsidR="006331C9">
              <w:rPr>
                <w:webHidden/>
              </w:rPr>
              <w:fldChar w:fldCharType="end"/>
            </w:r>
          </w:hyperlink>
        </w:p>
        <w:p w14:paraId="16BC25D5" w14:textId="28B6DDAC"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15" w:history="1">
            <w:r w:rsidR="006331C9" w:rsidRPr="00A97AD5">
              <w:rPr>
                <w:rStyle w:val="Hyperlink"/>
              </w:rPr>
              <w:t>4.1.</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Overview</w:t>
            </w:r>
            <w:r w:rsidR="006331C9">
              <w:rPr>
                <w:webHidden/>
              </w:rPr>
              <w:tab/>
            </w:r>
            <w:r w:rsidR="006331C9">
              <w:rPr>
                <w:webHidden/>
              </w:rPr>
              <w:fldChar w:fldCharType="begin"/>
            </w:r>
            <w:r w:rsidR="006331C9">
              <w:rPr>
                <w:webHidden/>
              </w:rPr>
              <w:instrText xml:space="preserve"> PAGEREF _Toc178776915 \h </w:instrText>
            </w:r>
            <w:r w:rsidR="006331C9">
              <w:rPr>
                <w:webHidden/>
              </w:rPr>
            </w:r>
            <w:r w:rsidR="006331C9">
              <w:rPr>
                <w:webHidden/>
              </w:rPr>
              <w:fldChar w:fldCharType="separate"/>
            </w:r>
            <w:r w:rsidR="00E256EC">
              <w:rPr>
                <w:webHidden/>
              </w:rPr>
              <w:t>8</w:t>
            </w:r>
            <w:r w:rsidR="006331C9">
              <w:rPr>
                <w:webHidden/>
              </w:rPr>
              <w:fldChar w:fldCharType="end"/>
            </w:r>
          </w:hyperlink>
        </w:p>
        <w:p w14:paraId="4B041314" w14:textId="0FA3A692"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16" w:history="1">
            <w:r w:rsidR="006331C9" w:rsidRPr="00A97AD5">
              <w:rPr>
                <w:rStyle w:val="Hyperlink"/>
              </w:rPr>
              <w:t>4.2.</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Differences in regulatory approaches</w:t>
            </w:r>
            <w:r w:rsidR="006331C9">
              <w:rPr>
                <w:webHidden/>
              </w:rPr>
              <w:tab/>
            </w:r>
            <w:r w:rsidR="006331C9">
              <w:rPr>
                <w:webHidden/>
              </w:rPr>
              <w:fldChar w:fldCharType="begin"/>
            </w:r>
            <w:r w:rsidR="006331C9">
              <w:rPr>
                <w:webHidden/>
              </w:rPr>
              <w:instrText xml:space="preserve"> PAGEREF _Toc178776916 \h </w:instrText>
            </w:r>
            <w:r w:rsidR="006331C9">
              <w:rPr>
                <w:webHidden/>
              </w:rPr>
            </w:r>
            <w:r w:rsidR="006331C9">
              <w:rPr>
                <w:webHidden/>
              </w:rPr>
              <w:fldChar w:fldCharType="separate"/>
            </w:r>
            <w:r w:rsidR="00E256EC">
              <w:rPr>
                <w:webHidden/>
              </w:rPr>
              <w:t>10</w:t>
            </w:r>
            <w:r w:rsidR="006331C9">
              <w:rPr>
                <w:webHidden/>
              </w:rPr>
              <w:fldChar w:fldCharType="end"/>
            </w:r>
          </w:hyperlink>
        </w:p>
        <w:p w14:paraId="765CB0AB" w14:textId="0A6642A1"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17" w:history="1">
            <w:r w:rsidR="006331C9" w:rsidRPr="00A97AD5">
              <w:rPr>
                <w:rStyle w:val="Hyperlink"/>
              </w:rPr>
              <w:t>4.3.</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Safety benefit</w:t>
            </w:r>
            <w:r w:rsidR="006331C9">
              <w:rPr>
                <w:webHidden/>
              </w:rPr>
              <w:tab/>
            </w:r>
            <w:r w:rsidR="006331C9">
              <w:rPr>
                <w:webHidden/>
              </w:rPr>
              <w:fldChar w:fldCharType="begin"/>
            </w:r>
            <w:r w:rsidR="006331C9">
              <w:rPr>
                <w:webHidden/>
              </w:rPr>
              <w:instrText xml:space="preserve"> PAGEREF _Toc178776917 \h </w:instrText>
            </w:r>
            <w:r w:rsidR="006331C9">
              <w:rPr>
                <w:webHidden/>
              </w:rPr>
            </w:r>
            <w:r w:rsidR="006331C9">
              <w:rPr>
                <w:webHidden/>
              </w:rPr>
              <w:fldChar w:fldCharType="separate"/>
            </w:r>
            <w:r w:rsidR="00E256EC">
              <w:rPr>
                <w:webHidden/>
              </w:rPr>
              <w:t>10</w:t>
            </w:r>
            <w:r w:rsidR="006331C9">
              <w:rPr>
                <w:webHidden/>
              </w:rPr>
              <w:fldChar w:fldCharType="end"/>
            </w:r>
          </w:hyperlink>
        </w:p>
        <w:p w14:paraId="5CF2781F" w14:textId="587D70A8"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18" w:history="1">
            <w:r w:rsidR="006331C9" w:rsidRPr="00A97AD5">
              <w:rPr>
                <w:rStyle w:val="Hyperlink"/>
              </w:rPr>
              <w:t>4.4.</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Impact</w:t>
            </w:r>
            <w:r w:rsidR="006331C9">
              <w:rPr>
                <w:webHidden/>
              </w:rPr>
              <w:tab/>
            </w:r>
            <w:r w:rsidR="006331C9">
              <w:rPr>
                <w:webHidden/>
              </w:rPr>
              <w:fldChar w:fldCharType="begin"/>
            </w:r>
            <w:r w:rsidR="006331C9">
              <w:rPr>
                <w:webHidden/>
              </w:rPr>
              <w:instrText xml:space="preserve"> PAGEREF _Toc178776918 \h </w:instrText>
            </w:r>
            <w:r w:rsidR="006331C9">
              <w:rPr>
                <w:webHidden/>
              </w:rPr>
            </w:r>
            <w:r w:rsidR="006331C9">
              <w:rPr>
                <w:webHidden/>
              </w:rPr>
              <w:fldChar w:fldCharType="separate"/>
            </w:r>
            <w:r w:rsidR="00E256EC">
              <w:rPr>
                <w:webHidden/>
              </w:rPr>
              <w:t>10</w:t>
            </w:r>
            <w:r w:rsidR="006331C9">
              <w:rPr>
                <w:webHidden/>
              </w:rPr>
              <w:fldChar w:fldCharType="end"/>
            </w:r>
          </w:hyperlink>
        </w:p>
        <w:p w14:paraId="5CF71B98" w14:textId="44AD4810" w:rsidR="006331C9" w:rsidRDefault="00000000">
          <w:pPr>
            <w:pStyle w:val="TOC1"/>
            <w:tabs>
              <w:tab w:val="left" w:pos="720"/>
            </w:tabs>
            <w:rPr>
              <w:rFonts w:asciiTheme="minorHAnsi" w:eastAsiaTheme="minorEastAsia" w:hAnsiTheme="minorHAnsi" w:cstheme="minorBidi"/>
              <w:b w:val="0"/>
              <w:kern w:val="2"/>
              <w:sz w:val="22"/>
              <w:lang w:eastAsia="en-GB" w:bidi="ar-SA"/>
              <w14:ligatures w14:val="standardContextual"/>
            </w:rPr>
          </w:pPr>
          <w:hyperlink w:anchor="_Toc178776919" w:history="1">
            <w:r w:rsidR="006331C9" w:rsidRPr="00A97AD5">
              <w:rPr>
                <w:rStyle w:val="Hyperlink"/>
              </w:rPr>
              <w:t>5.</w:t>
            </w:r>
            <w:r w:rsidR="006331C9">
              <w:rPr>
                <w:rFonts w:asciiTheme="minorHAnsi" w:eastAsiaTheme="minorEastAsia" w:hAnsiTheme="minorHAnsi" w:cstheme="minorBidi"/>
                <w:b w:val="0"/>
                <w:kern w:val="2"/>
                <w:sz w:val="22"/>
                <w:lang w:eastAsia="en-GB" w:bidi="ar-SA"/>
                <w14:ligatures w14:val="standardContextual"/>
              </w:rPr>
              <w:tab/>
            </w:r>
            <w:r w:rsidR="006331C9" w:rsidRPr="00A97AD5">
              <w:rPr>
                <w:rStyle w:val="Hyperlink"/>
              </w:rPr>
              <w:t>Control and Instrumentation Architecture</w:t>
            </w:r>
            <w:r w:rsidR="006331C9">
              <w:rPr>
                <w:webHidden/>
              </w:rPr>
              <w:tab/>
            </w:r>
            <w:r w:rsidR="006331C9">
              <w:rPr>
                <w:webHidden/>
              </w:rPr>
              <w:fldChar w:fldCharType="begin"/>
            </w:r>
            <w:r w:rsidR="006331C9">
              <w:rPr>
                <w:webHidden/>
              </w:rPr>
              <w:instrText xml:space="preserve"> PAGEREF _Toc178776919 \h </w:instrText>
            </w:r>
            <w:r w:rsidR="006331C9">
              <w:rPr>
                <w:webHidden/>
              </w:rPr>
            </w:r>
            <w:r w:rsidR="006331C9">
              <w:rPr>
                <w:webHidden/>
              </w:rPr>
              <w:fldChar w:fldCharType="separate"/>
            </w:r>
            <w:r w:rsidR="00E256EC">
              <w:rPr>
                <w:webHidden/>
              </w:rPr>
              <w:t>10</w:t>
            </w:r>
            <w:r w:rsidR="006331C9">
              <w:rPr>
                <w:webHidden/>
              </w:rPr>
              <w:fldChar w:fldCharType="end"/>
            </w:r>
          </w:hyperlink>
        </w:p>
        <w:p w14:paraId="0EEA8A5C" w14:textId="427C2327"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20" w:history="1">
            <w:r w:rsidR="006331C9" w:rsidRPr="00A97AD5">
              <w:rPr>
                <w:rStyle w:val="Hyperlink"/>
              </w:rPr>
              <w:t>5.1.</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Overview</w:t>
            </w:r>
            <w:r w:rsidR="006331C9">
              <w:rPr>
                <w:webHidden/>
              </w:rPr>
              <w:tab/>
            </w:r>
            <w:r w:rsidR="006331C9">
              <w:rPr>
                <w:webHidden/>
              </w:rPr>
              <w:fldChar w:fldCharType="begin"/>
            </w:r>
            <w:r w:rsidR="006331C9">
              <w:rPr>
                <w:webHidden/>
              </w:rPr>
              <w:instrText xml:space="preserve"> PAGEREF _Toc178776920 \h </w:instrText>
            </w:r>
            <w:r w:rsidR="006331C9">
              <w:rPr>
                <w:webHidden/>
              </w:rPr>
            </w:r>
            <w:r w:rsidR="006331C9">
              <w:rPr>
                <w:webHidden/>
              </w:rPr>
              <w:fldChar w:fldCharType="separate"/>
            </w:r>
            <w:r w:rsidR="00E256EC">
              <w:rPr>
                <w:webHidden/>
              </w:rPr>
              <w:t>10</w:t>
            </w:r>
            <w:r w:rsidR="006331C9">
              <w:rPr>
                <w:webHidden/>
              </w:rPr>
              <w:fldChar w:fldCharType="end"/>
            </w:r>
          </w:hyperlink>
        </w:p>
        <w:p w14:paraId="56CAB3BA" w14:textId="2FF3A7FC"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21" w:history="1">
            <w:r w:rsidR="006331C9" w:rsidRPr="00A97AD5">
              <w:rPr>
                <w:rStyle w:val="Hyperlink"/>
              </w:rPr>
              <w:t>5.2.</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Differences in regulatory approaches</w:t>
            </w:r>
            <w:r w:rsidR="006331C9">
              <w:rPr>
                <w:webHidden/>
              </w:rPr>
              <w:tab/>
            </w:r>
            <w:r w:rsidR="006331C9">
              <w:rPr>
                <w:webHidden/>
              </w:rPr>
              <w:fldChar w:fldCharType="begin"/>
            </w:r>
            <w:r w:rsidR="006331C9">
              <w:rPr>
                <w:webHidden/>
              </w:rPr>
              <w:instrText xml:space="preserve"> PAGEREF _Toc178776921 \h </w:instrText>
            </w:r>
            <w:r w:rsidR="006331C9">
              <w:rPr>
                <w:webHidden/>
              </w:rPr>
            </w:r>
            <w:r w:rsidR="006331C9">
              <w:rPr>
                <w:webHidden/>
              </w:rPr>
              <w:fldChar w:fldCharType="separate"/>
            </w:r>
            <w:r w:rsidR="00E256EC">
              <w:rPr>
                <w:webHidden/>
              </w:rPr>
              <w:t>12</w:t>
            </w:r>
            <w:r w:rsidR="006331C9">
              <w:rPr>
                <w:webHidden/>
              </w:rPr>
              <w:fldChar w:fldCharType="end"/>
            </w:r>
          </w:hyperlink>
        </w:p>
        <w:p w14:paraId="395DCB46" w14:textId="1CE243A1"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22" w:history="1">
            <w:r w:rsidR="006331C9" w:rsidRPr="00A97AD5">
              <w:rPr>
                <w:rStyle w:val="Hyperlink"/>
              </w:rPr>
              <w:t>5.3.</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Safety benefit</w:t>
            </w:r>
            <w:r w:rsidR="006331C9">
              <w:rPr>
                <w:webHidden/>
              </w:rPr>
              <w:tab/>
            </w:r>
            <w:r w:rsidR="006331C9">
              <w:rPr>
                <w:webHidden/>
              </w:rPr>
              <w:fldChar w:fldCharType="begin"/>
            </w:r>
            <w:r w:rsidR="006331C9">
              <w:rPr>
                <w:webHidden/>
              </w:rPr>
              <w:instrText xml:space="preserve"> PAGEREF _Toc178776922 \h </w:instrText>
            </w:r>
            <w:r w:rsidR="006331C9">
              <w:rPr>
                <w:webHidden/>
              </w:rPr>
            </w:r>
            <w:r w:rsidR="006331C9">
              <w:rPr>
                <w:webHidden/>
              </w:rPr>
              <w:fldChar w:fldCharType="separate"/>
            </w:r>
            <w:r w:rsidR="00E256EC">
              <w:rPr>
                <w:webHidden/>
              </w:rPr>
              <w:t>13</w:t>
            </w:r>
            <w:r w:rsidR="006331C9">
              <w:rPr>
                <w:webHidden/>
              </w:rPr>
              <w:fldChar w:fldCharType="end"/>
            </w:r>
          </w:hyperlink>
        </w:p>
        <w:p w14:paraId="5E4C1B10" w14:textId="25FF0C06"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23" w:history="1">
            <w:r w:rsidR="006331C9" w:rsidRPr="00A97AD5">
              <w:rPr>
                <w:rStyle w:val="Hyperlink"/>
              </w:rPr>
              <w:t>5.4.</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Impact</w:t>
            </w:r>
            <w:r w:rsidR="006331C9">
              <w:rPr>
                <w:webHidden/>
              </w:rPr>
              <w:tab/>
            </w:r>
            <w:r w:rsidR="006331C9">
              <w:rPr>
                <w:webHidden/>
              </w:rPr>
              <w:fldChar w:fldCharType="begin"/>
            </w:r>
            <w:r w:rsidR="006331C9">
              <w:rPr>
                <w:webHidden/>
              </w:rPr>
              <w:instrText xml:space="preserve"> PAGEREF _Toc178776923 \h </w:instrText>
            </w:r>
            <w:r w:rsidR="006331C9">
              <w:rPr>
                <w:webHidden/>
              </w:rPr>
            </w:r>
            <w:r w:rsidR="006331C9">
              <w:rPr>
                <w:webHidden/>
              </w:rPr>
              <w:fldChar w:fldCharType="separate"/>
            </w:r>
            <w:r w:rsidR="00E256EC">
              <w:rPr>
                <w:webHidden/>
              </w:rPr>
              <w:t>13</w:t>
            </w:r>
            <w:r w:rsidR="006331C9">
              <w:rPr>
                <w:webHidden/>
              </w:rPr>
              <w:fldChar w:fldCharType="end"/>
            </w:r>
          </w:hyperlink>
        </w:p>
        <w:p w14:paraId="28B71E77" w14:textId="0BFC9C45" w:rsidR="006331C9" w:rsidRDefault="00000000">
          <w:pPr>
            <w:pStyle w:val="TOC1"/>
            <w:tabs>
              <w:tab w:val="left" w:pos="720"/>
            </w:tabs>
            <w:rPr>
              <w:rFonts w:asciiTheme="minorHAnsi" w:eastAsiaTheme="minorEastAsia" w:hAnsiTheme="minorHAnsi" w:cstheme="minorBidi"/>
              <w:b w:val="0"/>
              <w:kern w:val="2"/>
              <w:sz w:val="22"/>
              <w:lang w:eastAsia="en-GB" w:bidi="ar-SA"/>
              <w14:ligatures w14:val="standardContextual"/>
            </w:rPr>
          </w:pPr>
          <w:hyperlink w:anchor="_Toc178776924" w:history="1">
            <w:r w:rsidR="006331C9" w:rsidRPr="00A97AD5">
              <w:rPr>
                <w:rStyle w:val="Hyperlink"/>
              </w:rPr>
              <w:t>6.</w:t>
            </w:r>
            <w:r w:rsidR="006331C9">
              <w:rPr>
                <w:rFonts w:asciiTheme="minorHAnsi" w:eastAsiaTheme="minorEastAsia" w:hAnsiTheme="minorHAnsi" w:cstheme="minorBidi"/>
                <w:b w:val="0"/>
                <w:kern w:val="2"/>
                <w:sz w:val="22"/>
                <w:lang w:eastAsia="en-GB" w:bidi="ar-SA"/>
                <w14:ligatures w14:val="standardContextual"/>
              </w:rPr>
              <w:tab/>
            </w:r>
            <w:r w:rsidR="006331C9" w:rsidRPr="00A97AD5">
              <w:rPr>
                <w:rStyle w:val="Hyperlink"/>
              </w:rPr>
              <w:t>Additional Heating, Ventilation, and  Air Conditioning</w:t>
            </w:r>
            <w:r w:rsidR="006331C9">
              <w:rPr>
                <w:webHidden/>
              </w:rPr>
              <w:tab/>
            </w:r>
            <w:r w:rsidR="006331C9">
              <w:rPr>
                <w:webHidden/>
              </w:rPr>
              <w:fldChar w:fldCharType="begin"/>
            </w:r>
            <w:r w:rsidR="006331C9">
              <w:rPr>
                <w:webHidden/>
              </w:rPr>
              <w:instrText xml:space="preserve"> PAGEREF _Toc178776924 \h </w:instrText>
            </w:r>
            <w:r w:rsidR="006331C9">
              <w:rPr>
                <w:webHidden/>
              </w:rPr>
            </w:r>
            <w:r w:rsidR="006331C9">
              <w:rPr>
                <w:webHidden/>
              </w:rPr>
              <w:fldChar w:fldCharType="separate"/>
            </w:r>
            <w:r w:rsidR="00E256EC">
              <w:rPr>
                <w:webHidden/>
              </w:rPr>
              <w:t>14</w:t>
            </w:r>
            <w:r w:rsidR="006331C9">
              <w:rPr>
                <w:webHidden/>
              </w:rPr>
              <w:fldChar w:fldCharType="end"/>
            </w:r>
          </w:hyperlink>
        </w:p>
        <w:p w14:paraId="1418730E" w14:textId="2DAF1F71"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25" w:history="1">
            <w:r w:rsidR="006331C9" w:rsidRPr="00A97AD5">
              <w:rPr>
                <w:rStyle w:val="Hyperlink"/>
              </w:rPr>
              <w:t>6.1.</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Overview</w:t>
            </w:r>
            <w:r w:rsidR="006331C9">
              <w:rPr>
                <w:webHidden/>
              </w:rPr>
              <w:tab/>
            </w:r>
            <w:r w:rsidR="006331C9">
              <w:rPr>
                <w:webHidden/>
              </w:rPr>
              <w:fldChar w:fldCharType="begin"/>
            </w:r>
            <w:r w:rsidR="006331C9">
              <w:rPr>
                <w:webHidden/>
              </w:rPr>
              <w:instrText xml:space="preserve"> PAGEREF _Toc178776925 \h </w:instrText>
            </w:r>
            <w:r w:rsidR="006331C9">
              <w:rPr>
                <w:webHidden/>
              </w:rPr>
            </w:r>
            <w:r w:rsidR="006331C9">
              <w:rPr>
                <w:webHidden/>
              </w:rPr>
              <w:fldChar w:fldCharType="separate"/>
            </w:r>
            <w:r w:rsidR="00E256EC">
              <w:rPr>
                <w:webHidden/>
              </w:rPr>
              <w:t>14</w:t>
            </w:r>
            <w:r w:rsidR="006331C9">
              <w:rPr>
                <w:webHidden/>
              </w:rPr>
              <w:fldChar w:fldCharType="end"/>
            </w:r>
          </w:hyperlink>
        </w:p>
        <w:p w14:paraId="09029FEE" w14:textId="271C1DA5"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26" w:history="1">
            <w:r w:rsidR="006331C9" w:rsidRPr="00A97AD5">
              <w:rPr>
                <w:rStyle w:val="Hyperlink"/>
              </w:rPr>
              <w:t>6.2.</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Differences in regulatory approach</w:t>
            </w:r>
            <w:r w:rsidR="006331C9">
              <w:rPr>
                <w:webHidden/>
              </w:rPr>
              <w:tab/>
            </w:r>
            <w:r w:rsidR="006331C9">
              <w:rPr>
                <w:webHidden/>
              </w:rPr>
              <w:fldChar w:fldCharType="begin"/>
            </w:r>
            <w:r w:rsidR="006331C9">
              <w:rPr>
                <w:webHidden/>
              </w:rPr>
              <w:instrText xml:space="preserve"> PAGEREF _Toc178776926 \h </w:instrText>
            </w:r>
            <w:r w:rsidR="006331C9">
              <w:rPr>
                <w:webHidden/>
              </w:rPr>
            </w:r>
            <w:r w:rsidR="006331C9">
              <w:rPr>
                <w:webHidden/>
              </w:rPr>
              <w:fldChar w:fldCharType="separate"/>
            </w:r>
            <w:r w:rsidR="00E256EC">
              <w:rPr>
                <w:webHidden/>
              </w:rPr>
              <w:t>15</w:t>
            </w:r>
            <w:r w:rsidR="006331C9">
              <w:rPr>
                <w:webHidden/>
              </w:rPr>
              <w:fldChar w:fldCharType="end"/>
            </w:r>
          </w:hyperlink>
        </w:p>
        <w:p w14:paraId="44BE17A5" w14:textId="215EE186"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27" w:history="1">
            <w:r w:rsidR="006331C9" w:rsidRPr="00A97AD5">
              <w:rPr>
                <w:rStyle w:val="Hyperlink"/>
              </w:rPr>
              <w:t>6.3.</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Safety benefit</w:t>
            </w:r>
            <w:r w:rsidR="006331C9">
              <w:rPr>
                <w:webHidden/>
              </w:rPr>
              <w:tab/>
            </w:r>
            <w:r w:rsidR="006331C9">
              <w:rPr>
                <w:webHidden/>
              </w:rPr>
              <w:fldChar w:fldCharType="begin"/>
            </w:r>
            <w:r w:rsidR="006331C9">
              <w:rPr>
                <w:webHidden/>
              </w:rPr>
              <w:instrText xml:space="preserve"> PAGEREF _Toc178776927 \h </w:instrText>
            </w:r>
            <w:r w:rsidR="006331C9">
              <w:rPr>
                <w:webHidden/>
              </w:rPr>
            </w:r>
            <w:r w:rsidR="006331C9">
              <w:rPr>
                <w:webHidden/>
              </w:rPr>
              <w:fldChar w:fldCharType="separate"/>
            </w:r>
            <w:r w:rsidR="00E256EC">
              <w:rPr>
                <w:webHidden/>
              </w:rPr>
              <w:t>15</w:t>
            </w:r>
            <w:r w:rsidR="006331C9">
              <w:rPr>
                <w:webHidden/>
              </w:rPr>
              <w:fldChar w:fldCharType="end"/>
            </w:r>
          </w:hyperlink>
        </w:p>
        <w:p w14:paraId="4B9DF8E5" w14:textId="774367C8"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28" w:history="1">
            <w:r w:rsidR="006331C9" w:rsidRPr="00A97AD5">
              <w:rPr>
                <w:rStyle w:val="Hyperlink"/>
              </w:rPr>
              <w:t>6.4.</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Impact</w:t>
            </w:r>
            <w:r w:rsidR="006331C9">
              <w:rPr>
                <w:webHidden/>
              </w:rPr>
              <w:tab/>
            </w:r>
            <w:r w:rsidR="006331C9">
              <w:rPr>
                <w:webHidden/>
              </w:rPr>
              <w:fldChar w:fldCharType="begin"/>
            </w:r>
            <w:r w:rsidR="006331C9">
              <w:rPr>
                <w:webHidden/>
              </w:rPr>
              <w:instrText xml:space="preserve"> PAGEREF _Toc178776928 \h </w:instrText>
            </w:r>
            <w:r w:rsidR="006331C9">
              <w:rPr>
                <w:webHidden/>
              </w:rPr>
            </w:r>
            <w:r w:rsidR="006331C9">
              <w:rPr>
                <w:webHidden/>
              </w:rPr>
              <w:fldChar w:fldCharType="separate"/>
            </w:r>
            <w:r w:rsidR="00E256EC">
              <w:rPr>
                <w:webHidden/>
              </w:rPr>
              <w:t>16</w:t>
            </w:r>
            <w:r w:rsidR="006331C9">
              <w:rPr>
                <w:webHidden/>
              </w:rPr>
              <w:fldChar w:fldCharType="end"/>
            </w:r>
          </w:hyperlink>
        </w:p>
        <w:p w14:paraId="06624EDF" w14:textId="16802F7D" w:rsidR="006331C9" w:rsidRDefault="00000000">
          <w:pPr>
            <w:pStyle w:val="TOC1"/>
            <w:tabs>
              <w:tab w:val="left" w:pos="720"/>
            </w:tabs>
            <w:rPr>
              <w:rFonts w:asciiTheme="minorHAnsi" w:eastAsiaTheme="minorEastAsia" w:hAnsiTheme="minorHAnsi" w:cstheme="minorBidi"/>
              <w:b w:val="0"/>
              <w:kern w:val="2"/>
              <w:sz w:val="22"/>
              <w:lang w:eastAsia="en-GB" w:bidi="ar-SA"/>
              <w14:ligatures w14:val="standardContextual"/>
            </w:rPr>
          </w:pPr>
          <w:hyperlink w:anchor="_Toc178776929" w:history="1">
            <w:r w:rsidR="006331C9" w:rsidRPr="00A97AD5">
              <w:rPr>
                <w:rStyle w:val="Hyperlink"/>
              </w:rPr>
              <w:t>7.</w:t>
            </w:r>
            <w:r w:rsidR="006331C9">
              <w:rPr>
                <w:rFonts w:asciiTheme="minorHAnsi" w:eastAsiaTheme="minorEastAsia" w:hAnsiTheme="minorHAnsi" w:cstheme="minorBidi"/>
                <w:b w:val="0"/>
                <w:kern w:val="2"/>
                <w:sz w:val="22"/>
                <w:lang w:eastAsia="en-GB" w:bidi="ar-SA"/>
                <w14:ligatures w14:val="standardContextual"/>
              </w:rPr>
              <w:tab/>
            </w:r>
            <w:r w:rsidR="006331C9" w:rsidRPr="00A97AD5">
              <w:rPr>
                <w:rStyle w:val="Hyperlink"/>
              </w:rPr>
              <w:t>Use of fibre-free insulation</w:t>
            </w:r>
            <w:r w:rsidR="006331C9">
              <w:rPr>
                <w:webHidden/>
              </w:rPr>
              <w:tab/>
            </w:r>
            <w:r w:rsidR="006331C9">
              <w:rPr>
                <w:webHidden/>
              </w:rPr>
              <w:fldChar w:fldCharType="begin"/>
            </w:r>
            <w:r w:rsidR="006331C9">
              <w:rPr>
                <w:webHidden/>
              </w:rPr>
              <w:instrText xml:space="preserve"> PAGEREF _Toc178776929 \h </w:instrText>
            </w:r>
            <w:r w:rsidR="006331C9">
              <w:rPr>
                <w:webHidden/>
              </w:rPr>
            </w:r>
            <w:r w:rsidR="006331C9">
              <w:rPr>
                <w:webHidden/>
              </w:rPr>
              <w:fldChar w:fldCharType="separate"/>
            </w:r>
            <w:r w:rsidR="00E256EC">
              <w:rPr>
                <w:webHidden/>
              </w:rPr>
              <w:t>17</w:t>
            </w:r>
            <w:r w:rsidR="006331C9">
              <w:rPr>
                <w:webHidden/>
              </w:rPr>
              <w:fldChar w:fldCharType="end"/>
            </w:r>
          </w:hyperlink>
        </w:p>
        <w:p w14:paraId="04788726" w14:textId="7E9BEF41"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30" w:history="1">
            <w:r w:rsidR="006331C9" w:rsidRPr="00A97AD5">
              <w:rPr>
                <w:rStyle w:val="Hyperlink"/>
              </w:rPr>
              <w:t>7.1.</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Overview</w:t>
            </w:r>
            <w:r w:rsidR="006331C9">
              <w:rPr>
                <w:webHidden/>
              </w:rPr>
              <w:tab/>
            </w:r>
            <w:r w:rsidR="006331C9">
              <w:rPr>
                <w:webHidden/>
              </w:rPr>
              <w:fldChar w:fldCharType="begin"/>
            </w:r>
            <w:r w:rsidR="006331C9">
              <w:rPr>
                <w:webHidden/>
              </w:rPr>
              <w:instrText xml:space="preserve"> PAGEREF _Toc178776930 \h </w:instrText>
            </w:r>
            <w:r w:rsidR="006331C9">
              <w:rPr>
                <w:webHidden/>
              </w:rPr>
            </w:r>
            <w:r w:rsidR="006331C9">
              <w:rPr>
                <w:webHidden/>
              </w:rPr>
              <w:fldChar w:fldCharType="separate"/>
            </w:r>
            <w:r w:rsidR="00E256EC">
              <w:rPr>
                <w:webHidden/>
              </w:rPr>
              <w:t>17</w:t>
            </w:r>
            <w:r w:rsidR="006331C9">
              <w:rPr>
                <w:webHidden/>
              </w:rPr>
              <w:fldChar w:fldCharType="end"/>
            </w:r>
          </w:hyperlink>
        </w:p>
        <w:p w14:paraId="1EE570E2" w14:textId="2A058331"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31" w:history="1">
            <w:r w:rsidR="006331C9" w:rsidRPr="00A97AD5">
              <w:rPr>
                <w:rStyle w:val="Hyperlink"/>
              </w:rPr>
              <w:t>7.2.</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Differences in regulatory approaches</w:t>
            </w:r>
            <w:r w:rsidR="006331C9">
              <w:rPr>
                <w:webHidden/>
              </w:rPr>
              <w:tab/>
            </w:r>
            <w:r w:rsidR="006331C9">
              <w:rPr>
                <w:webHidden/>
              </w:rPr>
              <w:fldChar w:fldCharType="begin"/>
            </w:r>
            <w:r w:rsidR="006331C9">
              <w:rPr>
                <w:webHidden/>
              </w:rPr>
              <w:instrText xml:space="preserve"> PAGEREF _Toc178776931 \h </w:instrText>
            </w:r>
            <w:r w:rsidR="006331C9">
              <w:rPr>
                <w:webHidden/>
              </w:rPr>
            </w:r>
            <w:r w:rsidR="006331C9">
              <w:rPr>
                <w:webHidden/>
              </w:rPr>
              <w:fldChar w:fldCharType="separate"/>
            </w:r>
            <w:r w:rsidR="00E256EC">
              <w:rPr>
                <w:webHidden/>
              </w:rPr>
              <w:t>17</w:t>
            </w:r>
            <w:r w:rsidR="006331C9">
              <w:rPr>
                <w:webHidden/>
              </w:rPr>
              <w:fldChar w:fldCharType="end"/>
            </w:r>
          </w:hyperlink>
        </w:p>
        <w:p w14:paraId="63284ACB" w14:textId="3E25293E"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32" w:history="1">
            <w:r w:rsidR="006331C9" w:rsidRPr="00A97AD5">
              <w:rPr>
                <w:rStyle w:val="Hyperlink"/>
              </w:rPr>
              <w:t>7.3.</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Safety benefit</w:t>
            </w:r>
            <w:r w:rsidR="006331C9">
              <w:rPr>
                <w:webHidden/>
              </w:rPr>
              <w:tab/>
            </w:r>
            <w:r w:rsidR="006331C9">
              <w:rPr>
                <w:webHidden/>
              </w:rPr>
              <w:fldChar w:fldCharType="begin"/>
            </w:r>
            <w:r w:rsidR="006331C9">
              <w:rPr>
                <w:webHidden/>
              </w:rPr>
              <w:instrText xml:space="preserve"> PAGEREF _Toc178776932 \h </w:instrText>
            </w:r>
            <w:r w:rsidR="006331C9">
              <w:rPr>
                <w:webHidden/>
              </w:rPr>
            </w:r>
            <w:r w:rsidR="006331C9">
              <w:rPr>
                <w:webHidden/>
              </w:rPr>
              <w:fldChar w:fldCharType="separate"/>
            </w:r>
            <w:r w:rsidR="00E256EC">
              <w:rPr>
                <w:webHidden/>
              </w:rPr>
              <w:t>18</w:t>
            </w:r>
            <w:r w:rsidR="006331C9">
              <w:rPr>
                <w:webHidden/>
              </w:rPr>
              <w:fldChar w:fldCharType="end"/>
            </w:r>
          </w:hyperlink>
        </w:p>
        <w:p w14:paraId="1BCA2C88" w14:textId="0AF8FD18"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33" w:history="1">
            <w:r w:rsidR="006331C9" w:rsidRPr="00A97AD5">
              <w:rPr>
                <w:rStyle w:val="Hyperlink"/>
              </w:rPr>
              <w:t>7.4.</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Impact</w:t>
            </w:r>
            <w:r w:rsidR="006331C9">
              <w:rPr>
                <w:webHidden/>
              </w:rPr>
              <w:tab/>
            </w:r>
            <w:r w:rsidR="006331C9">
              <w:rPr>
                <w:webHidden/>
              </w:rPr>
              <w:fldChar w:fldCharType="begin"/>
            </w:r>
            <w:r w:rsidR="006331C9">
              <w:rPr>
                <w:webHidden/>
              </w:rPr>
              <w:instrText xml:space="preserve"> PAGEREF _Toc178776933 \h </w:instrText>
            </w:r>
            <w:r w:rsidR="006331C9">
              <w:rPr>
                <w:webHidden/>
              </w:rPr>
            </w:r>
            <w:r w:rsidR="006331C9">
              <w:rPr>
                <w:webHidden/>
              </w:rPr>
              <w:fldChar w:fldCharType="separate"/>
            </w:r>
            <w:r w:rsidR="00E256EC">
              <w:rPr>
                <w:webHidden/>
              </w:rPr>
              <w:t>18</w:t>
            </w:r>
            <w:r w:rsidR="006331C9">
              <w:rPr>
                <w:webHidden/>
              </w:rPr>
              <w:fldChar w:fldCharType="end"/>
            </w:r>
          </w:hyperlink>
        </w:p>
        <w:p w14:paraId="361B2EA1" w14:textId="0D563EF0" w:rsidR="006331C9" w:rsidRDefault="00000000">
          <w:pPr>
            <w:pStyle w:val="TOC1"/>
            <w:tabs>
              <w:tab w:val="left" w:pos="720"/>
            </w:tabs>
            <w:rPr>
              <w:rFonts w:asciiTheme="minorHAnsi" w:eastAsiaTheme="minorEastAsia" w:hAnsiTheme="minorHAnsi" w:cstheme="minorBidi"/>
              <w:b w:val="0"/>
              <w:kern w:val="2"/>
              <w:sz w:val="22"/>
              <w:lang w:eastAsia="en-GB" w:bidi="ar-SA"/>
              <w14:ligatures w14:val="standardContextual"/>
            </w:rPr>
          </w:pPr>
          <w:hyperlink w:anchor="_Toc178776934" w:history="1">
            <w:r w:rsidR="006331C9" w:rsidRPr="00A97AD5">
              <w:rPr>
                <w:rStyle w:val="Hyperlink"/>
              </w:rPr>
              <w:t>8.</w:t>
            </w:r>
            <w:r w:rsidR="006331C9">
              <w:rPr>
                <w:rFonts w:asciiTheme="minorHAnsi" w:eastAsiaTheme="minorEastAsia" w:hAnsiTheme="minorHAnsi" w:cstheme="minorBidi"/>
                <w:b w:val="0"/>
                <w:kern w:val="2"/>
                <w:sz w:val="22"/>
                <w:lang w:eastAsia="en-GB" w:bidi="ar-SA"/>
                <w14:ligatures w14:val="standardContextual"/>
              </w:rPr>
              <w:tab/>
            </w:r>
            <w:r w:rsidR="006331C9" w:rsidRPr="00A97AD5">
              <w:rPr>
                <w:rStyle w:val="Hyperlink"/>
              </w:rPr>
              <w:t>Greater use of concrete and steel</w:t>
            </w:r>
            <w:r w:rsidR="006331C9">
              <w:rPr>
                <w:webHidden/>
              </w:rPr>
              <w:tab/>
            </w:r>
            <w:r w:rsidR="006331C9">
              <w:rPr>
                <w:webHidden/>
              </w:rPr>
              <w:fldChar w:fldCharType="begin"/>
            </w:r>
            <w:r w:rsidR="006331C9">
              <w:rPr>
                <w:webHidden/>
              </w:rPr>
              <w:instrText xml:space="preserve"> PAGEREF _Toc178776934 \h </w:instrText>
            </w:r>
            <w:r w:rsidR="006331C9">
              <w:rPr>
                <w:webHidden/>
              </w:rPr>
            </w:r>
            <w:r w:rsidR="006331C9">
              <w:rPr>
                <w:webHidden/>
              </w:rPr>
              <w:fldChar w:fldCharType="separate"/>
            </w:r>
            <w:r w:rsidR="00E256EC">
              <w:rPr>
                <w:webHidden/>
              </w:rPr>
              <w:t>19</w:t>
            </w:r>
            <w:r w:rsidR="006331C9">
              <w:rPr>
                <w:webHidden/>
              </w:rPr>
              <w:fldChar w:fldCharType="end"/>
            </w:r>
          </w:hyperlink>
        </w:p>
        <w:p w14:paraId="4BD8AC6E" w14:textId="19CF2F7A"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35" w:history="1">
            <w:r w:rsidR="006331C9" w:rsidRPr="00A97AD5">
              <w:rPr>
                <w:rStyle w:val="Hyperlink"/>
              </w:rPr>
              <w:t>8.1.</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Overview</w:t>
            </w:r>
            <w:r w:rsidR="006331C9">
              <w:rPr>
                <w:webHidden/>
              </w:rPr>
              <w:tab/>
            </w:r>
            <w:r w:rsidR="006331C9">
              <w:rPr>
                <w:webHidden/>
              </w:rPr>
              <w:fldChar w:fldCharType="begin"/>
            </w:r>
            <w:r w:rsidR="006331C9">
              <w:rPr>
                <w:webHidden/>
              </w:rPr>
              <w:instrText xml:space="preserve"> PAGEREF _Toc178776935 \h </w:instrText>
            </w:r>
            <w:r w:rsidR="006331C9">
              <w:rPr>
                <w:webHidden/>
              </w:rPr>
            </w:r>
            <w:r w:rsidR="006331C9">
              <w:rPr>
                <w:webHidden/>
              </w:rPr>
              <w:fldChar w:fldCharType="separate"/>
            </w:r>
            <w:r w:rsidR="00E256EC">
              <w:rPr>
                <w:webHidden/>
              </w:rPr>
              <w:t>19</w:t>
            </w:r>
            <w:r w:rsidR="006331C9">
              <w:rPr>
                <w:webHidden/>
              </w:rPr>
              <w:fldChar w:fldCharType="end"/>
            </w:r>
          </w:hyperlink>
        </w:p>
        <w:p w14:paraId="525BDEE9" w14:textId="5CB96F7D"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36" w:history="1">
            <w:r w:rsidR="006331C9" w:rsidRPr="00A97AD5">
              <w:rPr>
                <w:rStyle w:val="Hyperlink"/>
              </w:rPr>
              <w:t>8.2.</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Differences in regulatory approach</w:t>
            </w:r>
            <w:r w:rsidR="006331C9">
              <w:rPr>
                <w:webHidden/>
              </w:rPr>
              <w:tab/>
            </w:r>
            <w:r w:rsidR="006331C9">
              <w:rPr>
                <w:webHidden/>
              </w:rPr>
              <w:fldChar w:fldCharType="begin"/>
            </w:r>
            <w:r w:rsidR="006331C9">
              <w:rPr>
                <w:webHidden/>
              </w:rPr>
              <w:instrText xml:space="preserve"> PAGEREF _Toc178776936 \h </w:instrText>
            </w:r>
            <w:r w:rsidR="006331C9">
              <w:rPr>
                <w:webHidden/>
              </w:rPr>
            </w:r>
            <w:r w:rsidR="006331C9">
              <w:rPr>
                <w:webHidden/>
              </w:rPr>
              <w:fldChar w:fldCharType="separate"/>
            </w:r>
            <w:r w:rsidR="00E256EC">
              <w:rPr>
                <w:webHidden/>
              </w:rPr>
              <w:t>19</w:t>
            </w:r>
            <w:r w:rsidR="006331C9">
              <w:rPr>
                <w:webHidden/>
              </w:rPr>
              <w:fldChar w:fldCharType="end"/>
            </w:r>
          </w:hyperlink>
        </w:p>
        <w:p w14:paraId="29838084" w14:textId="302C57E4"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37" w:history="1">
            <w:r w:rsidR="006331C9" w:rsidRPr="00A97AD5">
              <w:rPr>
                <w:rStyle w:val="Hyperlink"/>
              </w:rPr>
              <w:t>8.3.</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Safety benefit</w:t>
            </w:r>
            <w:r w:rsidR="006331C9">
              <w:rPr>
                <w:webHidden/>
              </w:rPr>
              <w:tab/>
            </w:r>
            <w:r w:rsidR="006331C9">
              <w:rPr>
                <w:webHidden/>
              </w:rPr>
              <w:fldChar w:fldCharType="begin"/>
            </w:r>
            <w:r w:rsidR="006331C9">
              <w:rPr>
                <w:webHidden/>
              </w:rPr>
              <w:instrText xml:space="preserve"> PAGEREF _Toc178776937 \h </w:instrText>
            </w:r>
            <w:r w:rsidR="006331C9">
              <w:rPr>
                <w:webHidden/>
              </w:rPr>
            </w:r>
            <w:r w:rsidR="006331C9">
              <w:rPr>
                <w:webHidden/>
              </w:rPr>
              <w:fldChar w:fldCharType="separate"/>
            </w:r>
            <w:r w:rsidR="00E256EC">
              <w:rPr>
                <w:webHidden/>
              </w:rPr>
              <w:t>20</w:t>
            </w:r>
            <w:r w:rsidR="006331C9">
              <w:rPr>
                <w:webHidden/>
              </w:rPr>
              <w:fldChar w:fldCharType="end"/>
            </w:r>
          </w:hyperlink>
        </w:p>
        <w:p w14:paraId="34E602B3" w14:textId="6BA7EE45"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38" w:history="1">
            <w:r w:rsidR="006331C9" w:rsidRPr="00A97AD5">
              <w:rPr>
                <w:rStyle w:val="Hyperlink"/>
              </w:rPr>
              <w:t>8.4.</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Impact</w:t>
            </w:r>
            <w:r w:rsidR="006331C9">
              <w:rPr>
                <w:webHidden/>
              </w:rPr>
              <w:tab/>
            </w:r>
            <w:r w:rsidR="006331C9">
              <w:rPr>
                <w:webHidden/>
              </w:rPr>
              <w:fldChar w:fldCharType="begin"/>
            </w:r>
            <w:r w:rsidR="006331C9">
              <w:rPr>
                <w:webHidden/>
              </w:rPr>
              <w:instrText xml:space="preserve"> PAGEREF _Toc178776938 \h </w:instrText>
            </w:r>
            <w:r w:rsidR="006331C9">
              <w:rPr>
                <w:webHidden/>
              </w:rPr>
            </w:r>
            <w:r w:rsidR="006331C9">
              <w:rPr>
                <w:webHidden/>
              </w:rPr>
              <w:fldChar w:fldCharType="separate"/>
            </w:r>
            <w:r w:rsidR="00E256EC">
              <w:rPr>
                <w:webHidden/>
              </w:rPr>
              <w:t>20</w:t>
            </w:r>
            <w:r w:rsidR="006331C9">
              <w:rPr>
                <w:webHidden/>
              </w:rPr>
              <w:fldChar w:fldCharType="end"/>
            </w:r>
          </w:hyperlink>
        </w:p>
        <w:p w14:paraId="77025016" w14:textId="782939FE" w:rsidR="006331C9" w:rsidRDefault="00000000">
          <w:pPr>
            <w:pStyle w:val="TOC1"/>
            <w:tabs>
              <w:tab w:val="left" w:pos="720"/>
            </w:tabs>
            <w:rPr>
              <w:rFonts w:asciiTheme="minorHAnsi" w:eastAsiaTheme="minorEastAsia" w:hAnsiTheme="minorHAnsi" w:cstheme="minorBidi"/>
              <w:b w:val="0"/>
              <w:kern w:val="2"/>
              <w:sz w:val="22"/>
              <w:lang w:eastAsia="en-GB" w:bidi="ar-SA"/>
              <w14:ligatures w14:val="standardContextual"/>
            </w:rPr>
          </w:pPr>
          <w:hyperlink w:anchor="_Toc178776939" w:history="1">
            <w:r w:rsidR="006331C9" w:rsidRPr="00A97AD5">
              <w:rPr>
                <w:rStyle w:val="Hyperlink"/>
              </w:rPr>
              <w:t>9.</w:t>
            </w:r>
            <w:r w:rsidR="006331C9">
              <w:rPr>
                <w:rFonts w:asciiTheme="minorHAnsi" w:eastAsiaTheme="minorEastAsia" w:hAnsiTheme="minorHAnsi" w:cstheme="minorBidi"/>
                <w:b w:val="0"/>
                <w:kern w:val="2"/>
                <w:sz w:val="22"/>
                <w:lang w:eastAsia="en-GB" w:bidi="ar-SA"/>
                <w14:ligatures w14:val="standardContextual"/>
              </w:rPr>
              <w:tab/>
            </w:r>
            <w:r w:rsidR="006331C9" w:rsidRPr="00A97AD5">
              <w:rPr>
                <w:rStyle w:val="Hyperlink"/>
              </w:rPr>
              <w:t>Other Design Changes</w:t>
            </w:r>
            <w:r w:rsidR="006331C9">
              <w:rPr>
                <w:webHidden/>
              </w:rPr>
              <w:tab/>
            </w:r>
            <w:r w:rsidR="006331C9">
              <w:rPr>
                <w:webHidden/>
              </w:rPr>
              <w:fldChar w:fldCharType="begin"/>
            </w:r>
            <w:r w:rsidR="006331C9">
              <w:rPr>
                <w:webHidden/>
              </w:rPr>
              <w:instrText xml:space="preserve"> PAGEREF _Toc178776939 \h </w:instrText>
            </w:r>
            <w:r w:rsidR="006331C9">
              <w:rPr>
                <w:webHidden/>
              </w:rPr>
            </w:r>
            <w:r w:rsidR="006331C9">
              <w:rPr>
                <w:webHidden/>
              </w:rPr>
              <w:fldChar w:fldCharType="separate"/>
            </w:r>
            <w:r w:rsidR="00E256EC">
              <w:rPr>
                <w:webHidden/>
              </w:rPr>
              <w:t>21</w:t>
            </w:r>
            <w:r w:rsidR="006331C9">
              <w:rPr>
                <w:webHidden/>
              </w:rPr>
              <w:fldChar w:fldCharType="end"/>
            </w:r>
          </w:hyperlink>
        </w:p>
        <w:p w14:paraId="2EC74BA3" w14:textId="5DDDDDE5"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40" w:history="1">
            <w:r w:rsidR="006331C9" w:rsidRPr="00A97AD5">
              <w:rPr>
                <w:rStyle w:val="Hyperlink"/>
              </w:rPr>
              <w:t>9.1.</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Fuel route - overview</w:t>
            </w:r>
            <w:r w:rsidR="006331C9">
              <w:rPr>
                <w:webHidden/>
              </w:rPr>
              <w:tab/>
            </w:r>
            <w:r w:rsidR="006331C9">
              <w:rPr>
                <w:webHidden/>
              </w:rPr>
              <w:fldChar w:fldCharType="begin"/>
            </w:r>
            <w:r w:rsidR="006331C9">
              <w:rPr>
                <w:webHidden/>
              </w:rPr>
              <w:instrText xml:space="preserve"> PAGEREF _Toc178776940 \h </w:instrText>
            </w:r>
            <w:r w:rsidR="006331C9">
              <w:rPr>
                <w:webHidden/>
              </w:rPr>
            </w:r>
            <w:r w:rsidR="006331C9">
              <w:rPr>
                <w:webHidden/>
              </w:rPr>
              <w:fldChar w:fldCharType="separate"/>
            </w:r>
            <w:r w:rsidR="00E256EC">
              <w:rPr>
                <w:webHidden/>
              </w:rPr>
              <w:t>21</w:t>
            </w:r>
            <w:r w:rsidR="006331C9">
              <w:rPr>
                <w:webHidden/>
              </w:rPr>
              <w:fldChar w:fldCharType="end"/>
            </w:r>
          </w:hyperlink>
        </w:p>
        <w:p w14:paraId="2EAD7891" w14:textId="5D83CD5D"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41" w:history="1">
            <w:r w:rsidR="006331C9" w:rsidRPr="00A97AD5">
              <w:rPr>
                <w:rStyle w:val="Hyperlink"/>
              </w:rPr>
              <w:t>9.2.</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Fuel route - differences in regulatory approaches</w:t>
            </w:r>
            <w:r w:rsidR="006331C9">
              <w:rPr>
                <w:webHidden/>
              </w:rPr>
              <w:tab/>
            </w:r>
            <w:r w:rsidR="006331C9">
              <w:rPr>
                <w:webHidden/>
              </w:rPr>
              <w:fldChar w:fldCharType="begin"/>
            </w:r>
            <w:r w:rsidR="006331C9">
              <w:rPr>
                <w:webHidden/>
              </w:rPr>
              <w:instrText xml:space="preserve"> PAGEREF _Toc178776941 \h </w:instrText>
            </w:r>
            <w:r w:rsidR="006331C9">
              <w:rPr>
                <w:webHidden/>
              </w:rPr>
            </w:r>
            <w:r w:rsidR="006331C9">
              <w:rPr>
                <w:webHidden/>
              </w:rPr>
              <w:fldChar w:fldCharType="separate"/>
            </w:r>
            <w:r w:rsidR="00E256EC">
              <w:rPr>
                <w:webHidden/>
              </w:rPr>
              <w:t>22</w:t>
            </w:r>
            <w:r w:rsidR="006331C9">
              <w:rPr>
                <w:webHidden/>
              </w:rPr>
              <w:fldChar w:fldCharType="end"/>
            </w:r>
          </w:hyperlink>
        </w:p>
        <w:p w14:paraId="4FF73009" w14:textId="1B542842"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42" w:history="1">
            <w:r w:rsidR="006331C9" w:rsidRPr="00A97AD5">
              <w:rPr>
                <w:rStyle w:val="Hyperlink"/>
              </w:rPr>
              <w:t>9.3.</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Fuel route - safety benefit</w:t>
            </w:r>
            <w:r w:rsidR="006331C9">
              <w:rPr>
                <w:webHidden/>
              </w:rPr>
              <w:tab/>
            </w:r>
            <w:r w:rsidR="006331C9">
              <w:rPr>
                <w:webHidden/>
              </w:rPr>
              <w:fldChar w:fldCharType="begin"/>
            </w:r>
            <w:r w:rsidR="006331C9">
              <w:rPr>
                <w:webHidden/>
              </w:rPr>
              <w:instrText xml:space="preserve"> PAGEREF _Toc178776942 \h </w:instrText>
            </w:r>
            <w:r w:rsidR="006331C9">
              <w:rPr>
                <w:webHidden/>
              </w:rPr>
            </w:r>
            <w:r w:rsidR="006331C9">
              <w:rPr>
                <w:webHidden/>
              </w:rPr>
              <w:fldChar w:fldCharType="separate"/>
            </w:r>
            <w:r w:rsidR="00E256EC">
              <w:rPr>
                <w:webHidden/>
              </w:rPr>
              <w:t>22</w:t>
            </w:r>
            <w:r w:rsidR="006331C9">
              <w:rPr>
                <w:webHidden/>
              </w:rPr>
              <w:fldChar w:fldCharType="end"/>
            </w:r>
          </w:hyperlink>
        </w:p>
        <w:p w14:paraId="58FAAF8C" w14:textId="3B8394E0"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43" w:history="1">
            <w:r w:rsidR="006331C9" w:rsidRPr="00A97AD5">
              <w:rPr>
                <w:rStyle w:val="Hyperlink"/>
              </w:rPr>
              <w:t>9.4.</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Fuel route - impact</w:t>
            </w:r>
            <w:r w:rsidR="006331C9">
              <w:rPr>
                <w:webHidden/>
              </w:rPr>
              <w:tab/>
            </w:r>
            <w:r w:rsidR="006331C9">
              <w:rPr>
                <w:webHidden/>
              </w:rPr>
              <w:fldChar w:fldCharType="begin"/>
            </w:r>
            <w:r w:rsidR="006331C9">
              <w:rPr>
                <w:webHidden/>
              </w:rPr>
              <w:instrText xml:space="preserve"> PAGEREF _Toc178776943 \h </w:instrText>
            </w:r>
            <w:r w:rsidR="006331C9">
              <w:rPr>
                <w:webHidden/>
              </w:rPr>
            </w:r>
            <w:r w:rsidR="006331C9">
              <w:rPr>
                <w:webHidden/>
              </w:rPr>
              <w:fldChar w:fldCharType="separate"/>
            </w:r>
            <w:r w:rsidR="00E256EC">
              <w:rPr>
                <w:webHidden/>
              </w:rPr>
              <w:t>22</w:t>
            </w:r>
            <w:r w:rsidR="006331C9">
              <w:rPr>
                <w:webHidden/>
              </w:rPr>
              <w:fldChar w:fldCharType="end"/>
            </w:r>
          </w:hyperlink>
        </w:p>
        <w:p w14:paraId="242D6561" w14:textId="25D22BE9"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44" w:history="1">
            <w:r w:rsidR="006331C9" w:rsidRPr="00A97AD5">
              <w:rPr>
                <w:rStyle w:val="Hyperlink"/>
              </w:rPr>
              <w:t>9.5.</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UK standards on fire safety - overview</w:t>
            </w:r>
            <w:r w:rsidR="006331C9">
              <w:rPr>
                <w:webHidden/>
              </w:rPr>
              <w:tab/>
            </w:r>
            <w:r w:rsidR="006331C9">
              <w:rPr>
                <w:webHidden/>
              </w:rPr>
              <w:fldChar w:fldCharType="begin"/>
            </w:r>
            <w:r w:rsidR="006331C9">
              <w:rPr>
                <w:webHidden/>
              </w:rPr>
              <w:instrText xml:space="preserve"> PAGEREF _Toc178776944 \h </w:instrText>
            </w:r>
            <w:r w:rsidR="006331C9">
              <w:rPr>
                <w:webHidden/>
              </w:rPr>
            </w:r>
            <w:r w:rsidR="006331C9">
              <w:rPr>
                <w:webHidden/>
              </w:rPr>
              <w:fldChar w:fldCharType="separate"/>
            </w:r>
            <w:r w:rsidR="00E256EC">
              <w:rPr>
                <w:webHidden/>
              </w:rPr>
              <w:t>23</w:t>
            </w:r>
            <w:r w:rsidR="006331C9">
              <w:rPr>
                <w:webHidden/>
              </w:rPr>
              <w:fldChar w:fldCharType="end"/>
            </w:r>
          </w:hyperlink>
        </w:p>
        <w:p w14:paraId="7C96F3B4" w14:textId="7F0D2EFD"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45" w:history="1">
            <w:r w:rsidR="006331C9" w:rsidRPr="00A97AD5">
              <w:rPr>
                <w:rStyle w:val="Hyperlink"/>
              </w:rPr>
              <w:t>9.6.</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UK standards on fire safety - differences in regulatory approaches</w:t>
            </w:r>
            <w:r w:rsidR="006331C9">
              <w:rPr>
                <w:webHidden/>
              </w:rPr>
              <w:tab/>
            </w:r>
            <w:r w:rsidR="006331C9">
              <w:rPr>
                <w:webHidden/>
              </w:rPr>
              <w:fldChar w:fldCharType="begin"/>
            </w:r>
            <w:r w:rsidR="006331C9">
              <w:rPr>
                <w:webHidden/>
              </w:rPr>
              <w:instrText xml:space="preserve"> PAGEREF _Toc178776945 \h </w:instrText>
            </w:r>
            <w:r w:rsidR="006331C9">
              <w:rPr>
                <w:webHidden/>
              </w:rPr>
            </w:r>
            <w:r w:rsidR="006331C9">
              <w:rPr>
                <w:webHidden/>
              </w:rPr>
              <w:fldChar w:fldCharType="separate"/>
            </w:r>
            <w:r w:rsidR="00E256EC">
              <w:rPr>
                <w:webHidden/>
              </w:rPr>
              <w:t>23</w:t>
            </w:r>
            <w:r w:rsidR="006331C9">
              <w:rPr>
                <w:webHidden/>
              </w:rPr>
              <w:fldChar w:fldCharType="end"/>
            </w:r>
          </w:hyperlink>
        </w:p>
        <w:p w14:paraId="46104CCE" w14:textId="591FAFC4"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46" w:history="1">
            <w:r w:rsidR="006331C9" w:rsidRPr="00A97AD5">
              <w:rPr>
                <w:rStyle w:val="Hyperlink"/>
              </w:rPr>
              <w:t>9.7.</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UK standards on fire safety - safety benefit</w:t>
            </w:r>
            <w:r w:rsidR="006331C9">
              <w:rPr>
                <w:webHidden/>
              </w:rPr>
              <w:tab/>
            </w:r>
            <w:r w:rsidR="006331C9">
              <w:rPr>
                <w:webHidden/>
              </w:rPr>
              <w:fldChar w:fldCharType="begin"/>
            </w:r>
            <w:r w:rsidR="006331C9">
              <w:rPr>
                <w:webHidden/>
              </w:rPr>
              <w:instrText xml:space="preserve"> PAGEREF _Toc178776946 \h </w:instrText>
            </w:r>
            <w:r w:rsidR="006331C9">
              <w:rPr>
                <w:webHidden/>
              </w:rPr>
            </w:r>
            <w:r w:rsidR="006331C9">
              <w:rPr>
                <w:webHidden/>
              </w:rPr>
              <w:fldChar w:fldCharType="separate"/>
            </w:r>
            <w:r w:rsidR="00E256EC">
              <w:rPr>
                <w:webHidden/>
              </w:rPr>
              <w:t>23</w:t>
            </w:r>
            <w:r w:rsidR="006331C9">
              <w:rPr>
                <w:webHidden/>
              </w:rPr>
              <w:fldChar w:fldCharType="end"/>
            </w:r>
          </w:hyperlink>
        </w:p>
        <w:p w14:paraId="7A5F63F5" w14:textId="306C8B73" w:rsidR="006331C9"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8776947" w:history="1">
            <w:r w:rsidR="006331C9" w:rsidRPr="00A97AD5">
              <w:rPr>
                <w:rStyle w:val="Hyperlink"/>
              </w:rPr>
              <w:t>9.8.</w:t>
            </w:r>
            <w:r w:rsidR="006331C9">
              <w:rPr>
                <w:rFonts w:asciiTheme="minorHAnsi" w:eastAsiaTheme="minorEastAsia" w:hAnsiTheme="minorHAnsi" w:cstheme="minorBidi"/>
                <w:kern w:val="2"/>
                <w:sz w:val="22"/>
                <w:lang w:eastAsia="en-GB" w:bidi="ar-SA"/>
                <w14:ligatures w14:val="standardContextual"/>
              </w:rPr>
              <w:tab/>
            </w:r>
            <w:r w:rsidR="006331C9" w:rsidRPr="00A97AD5">
              <w:rPr>
                <w:rStyle w:val="Hyperlink"/>
              </w:rPr>
              <w:t>UK standards on fire safety - impact</w:t>
            </w:r>
            <w:r w:rsidR="006331C9">
              <w:rPr>
                <w:webHidden/>
              </w:rPr>
              <w:tab/>
            </w:r>
            <w:r w:rsidR="006331C9">
              <w:rPr>
                <w:webHidden/>
              </w:rPr>
              <w:fldChar w:fldCharType="begin"/>
            </w:r>
            <w:r w:rsidR="006331C9">
              <w:rPr>
                <w:webHidden/>
              </w:rPr>
              <w:instrText xml:space="preserve"> PAGEREF _Toc178776947 \h </w:instrText>
            </w:r>
            <w:r w:rsidR="006331C9">
              <w:rPr>
                <w:webHidden/>
              </w:rPr>
            </w:r>
            <w:r w:rsidR="006331C9">
              <w:rPr>
                <w:webHidden/>
              </w:rPr>
              <w:fldChar w:fldCharType="separate"/>
            </w:r>
            <w:r w:rsidR="00E256EC">
              <w:rPr>
                <w:webHidden/>
              </w:rPr>
              <w:t>23</w:t>
            </w:r>
            <w:r w:rsidR="006331C9">
              <w:rPr>
                <w:webHidden/>
              </w:rPr>
              <w:fldChar w:fldCharType="end"/>
            </w:r>
          </w:hyperlink>
        </w:p>
        <w:p w14:paraId="388AA823" w14:textId="469E3EE0" w:rsidR="006331C9" w:rsidRDefault="00000000">
          <w:pPr>
            <w:pStyle w:val="TOC1"/>
            <w:tabs>
              <w:tab w:val="left" w:pos="720"/>
            </w:tabs>
            <w:rPr>
              <w:rFonts w:asciiTheme="minorHAnsi" w:eastAsiaTheme="minorEastAsia" w:hAnsiTheme="minorHAnsi" w:cstheme="minorBidi"/>
              <w:b w:val="0"/>
              <w:kern w:val="2"/>
              <w:sz w:val="22"/>
              <w:lang w:eastAsia="en-GB" w:bidi="ar-SA"/>
              <w14:ligatures w14:val="standardContextual"/>
            </w:rPr>
          </w:pPr>
          <w:hyperlink w:anchor="_Toc178776948" w:history="1">
            <w:r w:rsidR="006331C9" w:rsidRPr="00A97AD5">
              <w:rPr>
                <w:rStyle w:val="Hyperlink"/>
              </w:rPr>
              <w:t>10.</w:t>
            </w:r>
            <w:r w:rsidR="006331C9">
              <w:rPr>
                <w:rFonts w:asciiTheme="minorHAnsi" w:eastAsiaTheme="minorEastAsia" w:hAnsiTheme="minorHAnsi" w:cstheme="minorBidi"/>
                <w:b w:val="0"/>
                <w:kern w:val="2"/>
                <w:sz w:val="22"/>
                <w:lang w:eastAsia="en-GB" w:bidi="ar-SA"/>
                <w14:ligatures w14:val="standardContextual"/>
              </w:rPr>
              <w:tab/>
            </w:r>
            <w:r w:rsidR="006331C9" w:rsidRPr="00A97AD5">
              <w:rPr>
                <w:rStyle w:val="Hyperlink"/>
              </w:rPr>
              <w:t>Conclusions</w:t>
            </w:r>
            <w:r w:rsidR="006331C9">
              <w:rPr>
                <w:webHidden/>
              </w:rPr>
              <w:tab/>
            </w:r>
            <w:r w:rsidR="006331C9">
              <w:rPr>
                <w:webHidden/>
              </w:rPr>
              <w:fldChar w:fldCharType="begin"/>
            </w:r>
            <w:r w:rsidR="006331C9">
              <w:rPr>
                <w:webHidden/>
              </w:rPr>
              <w:instrText xml:space="preserve"> PAGEREF _Toc178776948 \h </w:instrText>
            </w:r>
            <w:r w:rsidR="006331C9">
              <w:rPr>
                <w:webHidden/>
              </w:rPr>
            </w:r>
            <w:r w:rsidR="006331C9">
              <w:rPr>
                <w:webHidden/>
              </w:rPr>
              <w:fldChar w:fldCharType="separate"/>
            </w:r>
            <w:r w:rsidR="00E256EC">
              <w:rPr>
                <w:webHidden/>
              </w:rPr>
              <w:t>24</w:t>
            </w:r>
            <w:r w:rsidR="006331C9">
              <w:rPr>
                <w:webHidden/>
              </w:rPr>
              <w:fldChar w:fldCharType="end"/>
            </w:r>
          </w:hyperlink>
        </w:p>
        <w:p w14:paraId="3A61238D" w14:textId="67543717" w:rsidR="006331C9" w:rsidRDefault="00000000">
          <w:pPr>
            <w:pStyle w:val="TOC1"/>
            <w:tabs>
              <w:tab w:val="left" w:pos="720"/>
            </w:tabs>
            <w:rPr>
              <w:rFonts w:asciiTheme="minorHAnsi" w:eastAsiaTheme="minorEastAsia" w:hAnsiTheme="minorHAnsi" w:cstheme="minorBidi"/>
              <w:b w:val="0"/>
              <w:kern w:val="2"/>
              <w:sz w:val="22"/>
              <w:lang w:eastAsia="en-GB" w:bidi="ar-SA"/>
              <w14:ligatures w14:val="standardContextual"/>
            </w:rPr>
          </w:pPr>
          <w:hyperlink w:anchor="_Toc178776949" w:history="1">
            <w:r w:rsidR="006331C9" w:rsidRPr="00A97AD5">
              <w:rPr>
                <w:rStyle w:val="Hyperlink"/>
              </w:rPr>
              <w:t>11.</w:t>
            </w:r>
            <w:r w:rsidR="006331C9">
              <w:rPr>
                <w:rFonts w:asciiTheme="minorHAnsi" w:eastAsiaTheme="minorEastAsia" w:hAnsiTheme="minorHAnsi" w:cstheme="minorBidi"/>
                <w:b w:val="0"/>
                <w:kern w:val="2"/>
                <w:sz w:val="22"/>
                <w:lang w:eastAsia="en-GB" w:bidi="ar-SA"/>
                <w14:ligatures w14:val="standardContextual"/>
              </w:rPr>
              <w:tab/>
            </w:r>
            <w:r w:rsidR="006331C9" w:rsidRPr="00A97AD5">
              <w:rPr>
                <w:rStyle w:val="Hyperlink"/>
              </w:rPr>
              <w:t>References</w:t>
            </w:r>
            <w:r w:rsidR="006331C9">
              <w:rPr>
                <w:webHidden/>
              </w:rPr>
              <w:tab/>
            </w:r>
            <w:r w:rsidR="006331C9">
              <w:rPr>
                <w:webHidden/>
              </w:rPr>
              <w:fldChar w:fldCharType="begin"/>
            </w:r>
            <w:r w:rsidR="006331C9">
              <w:rPr>
                <w:webHidden/>
              </w:rPr>
              <w:instrText xml:space="preserve"> PAGEREF _Toc178776949 \h </w:instrText>
            </w:r>
            <w:r w:rsidR="006331C9">
              <w:rPr>
                <w:webHidden/>
              </w:rPr>
            </w:r>
            <w:r w:rsidR="006331C9">
              <w:rPr>
                <w:webHidden/>
              </w:rPr>
              <w:fldChar w:fldCharType="separate"/>
            </w:r>
            <w:r w:rsidR="00E256EC">
              <w:rPr>
                <w:webHidden/>
              </w:rPr>
              <w:t>25</w:t>
            </w:r>
            <w:r w:rsidR="006331C9">
              <w:rPr>
                <w:webHidden/>
              </w:rPr>
              <w:fldChar w:fldCharType="end"/>
            </w:r>
          </w:hyperlink>
        </w:p>
        <w:p w14:paraId="38185373" w14:textId="3B9DB416" w:rsidR="09CB7B2D" w:rsidRDefault="09CB7B2D" w:rsidP="09CB7B2D">
          <w:pPr>
            <w:pStyle w:val="TOC1"/>
            <w:tabs>
              <w:tab w:val="clear" w:pos="9752"/>
              <w:tab w:val="left" w:pos="480"/>
              <w:tab w:val="right" w:leader="dot" w:pos="9750"/>
            </w:tabs>
            <w:rPr>
              <w:rStyle w:val="Hyperlink"/>
            </w:rPr>
          </w:pPr>
          <w:r>
            <w:fldChar w:fldCharType="end"/>
          </w:r>
        </w:p>
      </w:sdtContent>
    </w:sdt>
    <w:p w14:paraId="2A0F6E81" w14:textId="21936C31" w:rsidR="007944BA" w:rsidRDefault="007944BA" w:rsidP="007944BA"/>
    <w:p w14:paraId="1FA0A728" w14:textId="77777777" w:rsidR="007944BA" w:rsidRDefault="007944BA" w:rsidP="00A97C89">
      <w:pPr>
        <w:pStyle w:val="Heading1"/>
        <w:sectPr w:rsidR="007944BA" w:rsidSect="00DB5B77">
          <w:headerReference w:type="default" r:id="rId17"/>
          <w:footerReference w:type="default" r:id="rId18"/>
          <w:pgSz w:w="11906" w:h="16838" w:code="9"/>
          <w:pgMar w:top="993" w:right="1440" w:bottom="993" w:left="1440" w:header="284" w:footer="315" w:gutter="0"/>
          <w:pgNumType w:start="1"/>
          <w:cols w:space="312"/>
          <w:docGrid w:linePitch="360"/>
        </w:sectPr>
      </w:pPr>
    </w:p>
    <w:p w14:paraId="45C0B9DF" w14:textId="1CE315CD" w:rsidR="00140E1C" w:rsidRDefault="00054E0F" w:rsidP="00A97C89">
      <w:pPr>
        <w:pStyle w:val="Heading1"/>
      </w:pPr>
      <w:bookmarkStart w:id="5" w:name="_Toc178776907"/>
      <w:bookmarkStart w:id="6" w:name="_Toc177747055"/>
      <w:bookmarkStart w:id="7" w:name="_Toc654693381"/>
      <w:bookmarkEnd w:id="1"/>
      <w:r>
        <w:lastRenderedPageBreak/>
        <w:t xml:space="preserve">NNB </w:t>
      </w:r>
      <w:proofErr w:type="spellStart"/>
      <w:r>
        <w:t>GenCo</w:t>
      </w:r>
      <w:proofErr w:type="spellEnd"/>
      <w:r>
        <w:t xml:space="preserve"> </w:t>
      </w:r>
      <w:r w:rsidR="00AB0FD4">
        <w:t>S</w:t>
      </w:r>
      <w:r w:rsidR="00220A37">
        <w:t>tatement</w:t>
      </w:r>
      <w:bookmarkEnd w:id="5"/>
      <w:r w:rsidR="00220A37">
        <w:t xml:space="preserve"> </w:t>
      </w:r>
      <w:bookmarkEnd w:id="6"/>
      <w:bookmarkEnd w:id="7"/>
    </w:p>
    <w:p w14:paraId="69FBA659" w14:textId="3B63D236" w:rsidR="004E59B0" w:rsidRDefault="00CD153E" w:rsidP="009B7718">
      <w:pPr>
        <w:pStyle w:val="Paragraph"/>
      </w:pPr>
      <w:r>
        <w:t xml:space="preserve">In January 2024, NNB </w:t>
      </w:r>
      <w:proofErr w:type="spellStart"/>
      <w:r w:rsidR="00557CC3">
        <w:t>GenCo</w:t>
      </w:r>
      <w:proofErr w:type="spellEnd"/>
      <w:r>
        <w:t xml:space="preserve"> announced cost and schedule increases to the </w:t>
      </w:r>
      <w:r w:rsidR="00625717">
        <w:t>Hinkley Point C (</w:t>
      </w:r>
      <w:r>
        <w:t>HPC</w:t>
      </w:r>
      <w:r w:rsidR="00625717">
        <w:t>)</w:t>
      </w:r>
      <w:r>
        <w:t xml:space="preserve"> project. To accompany this announcement, a stakeholder newsletter was published titled “January 2024 – Hinkley Point C”</w:t>
      </w:r>
      <w:r w:rsidR="004153E2">
        <w:t>,</w:t>
      </w:r>
      <w:r>
        <w:t xml:space="preserve"> which stated</w:t>
      </w:r>
      <w:r w:rsidR="009E1C25">
        <w:t>:</w:t>
      </w:r>
    </w:p>
    <w:p w14:paraId="488E3797" w14:textId="77777777" w:rsidR="004E59B0" w:rsidRDefault="00CD153E" w:rsidP="009B7718">
      <w:pPr>
        <w:pStyle w:val="Paragraph"/>
      </w:pPr>
      <w:r>
        <w:t>“</w:t>
      </w:r>
      <w:r w:rsidRPr="00AB2118">
        <w:rPr>
          <w:i/>
          <w:iCs/>
        </w:rPr>
        <w:t>The design has been substantially adapted to meet British regulations with 7,000 design changes, adding 35% more steel and 25% more concrete – all designs must go through this process</w:t>
      </w:r>
      <w:r>
        <w:t>.”</w:t>
      </w:r>
    </w:p>
    <w:p w14:paraId="0DA78D09" w14:textId="7D1E6891" w:rsidR="00CD153E" w:rsidRDefault="003911D7" w:rsidP="009B7718">
      <w:pPr>
        <w:pStyle w:val="Paragraph"/>
      </w:pPr>
      <w:r>
        <w:t>This</w:t>
      </w:r>
      <w:r w:rsidR="00EE46CA">
        <w:t xml:space="preserve"> statement</w:t>
      </w:r>
      <w:r>
        <w:t xml:space="preserve"> was included within the </w:t>
      </w:r>
      <w:r w:rsidR="00EE46CA">
        <w:t xml:space="preserve">public </w:t>
      </w:r>
      <w:r w:rsidR="00AC5247">
        <w:t>project</w:t>
      </w:r>
      <w:r w:rsidR="004A4F3E">
        <w:t xml:space="preserve"> update</w:t>
      </w:r>
      <w:r w:rsidR="00AC5247">
        <w:t xml:space="preserve"> video </w:t>
      </w:r>
      <w:r w:rsidR="00AA4A4C">
        <w:t xml:space="preserve">published </w:t>
      </w:r>
      <w:r w:rsidR="00682DD3">
        <w:t xml:space="preserve">on the HPC website </w:t>
      </w:r>
      <w:sdt>
        <w:sdtPr>
          <w:id w:val="-1636792540"/>
          <w:citation/>
        </w:sdtPr>
        <w:sdtContent>
          <w:r w:rsidR="00AC5247">
            <w:fldChar w:fldCharType="begin"/>
          </w:r>
          <w:r w:rsidR="00AC5247">
            <w:instrText xml:space="preserve"> CITATION EDFProjectupdate \l 2057 </w:instrText>
          </w:r>
          <w:r w:rsidR="00AC5247">
            <w:fldChar w:fldCharType="separate"/>
          </w:r>
          <w:r w:rsidR="00D239CE" w:rsidRPr="00D239CE">
            <w:rPr>
              <w:noProof/>
            </w:rPr>
            <w:t>[1]</w:t>
          </w:r>
          <w:r w:rsidR="00AC5247">
            <w:fldChar w:fldCharType="end"/>
          </w:r>
        </w:sdtContent>
      </w:sdt>
      <w:r w:rsidR="00682DD3">
        <w:t>.</w:t>
      </w:r>
      <w:r w:rsidR="004A4F3E">
        <w:t xml:space="preserve"> </w:t>
      </w:r>
      <w:r w:rsidR="00CD153E">
        <w:t>The figures were subsequently quoted in the media</w:t>
      </w:r>
      <w:r w:rsidR="00E81196">
        <w:t xml:space="preserve"> </w:t>
      </w:r>
      <w:r w:rsidR="00CD153E">
        <w:t xml:space="preserve">and continue to be repeated by journalists and others. </w:t>
      </w:r>
    </w:p>
    <w:p w14:paraId="3DE42F38" w14:textId="65CD6D06" w:rsidR="00054E0F" w:rsidRDefault="00054E0F" w:rsidP="00054E0F">
      <w:pPr>
        <w:pStyle w:val="Heading1"/>
      </w:pPr>
      <w:bookmarkStart w:id="8" w:name="_Toc178776908"/>
      <w:r>
        <w:t>Review Findings</w:t>
      </w:r>
      <w:bookmarkEnd w:id="8"/>
      <w:r>
        <w:t xml:space="preserve"> </w:t>
      </w:r>
    </w:p>
    <w:p w14:paraId="6FDA50C2" w14:textId="18D2E3BF" w:rsidR="00220A37" w:rsidRDefault="000151FD" w:rsidP="00220A37">
      <w:pPr>
        <w:pStyle w:val="Paragraph"/>
      </w:pPr>
      <w:r>
        <w:t>The</w:t>
      </w:r>
      <w:r w:rsidR="00220A37">
        <w:t xml:space="preserve"> broad findings are:</w:t>
      </w:r>
    </w:p>
    <w:p w14:paraId="799D1D95" w14:textId="6D77DB05" w:rsidR="00054E0F" w:rsidRDefault="00220A37" w:rsidP="002C25D7">
      <w:pPr>
        <w:pStyle w:val="Bulletlist1"/>
        <w:numPr>
          <w:ilvl w:val="0"/>
          <w:numId w:val="12"/>
        </w:numPr>
        <w:ind w:left="851" w:hanging="425"/>
      </w:pPr>
      <w:r>
        <w:t xml:space="preserve">Many changes </w:t>
      </w:r>
      <w:r w:rsidR="0008258B">
        <w:t xml:space="preserve">resulted from </w:t>
      </w:r>
      <w:r>
        <w:t>learning from other EPR projects, and site</w:t>
      </w:r>
      <w:r w:rsidR="00E709D7">
        <w:t>-</w:t>
      </w:r>
      <w:r>
        <w:t>specific factors unique to H</w:t>
      </w:r>
      <w:r w:rsidR="00620CE0">
        <w:t>P</w:t>
      </w:r>
      <w:r>
        <w:t xml:space="preserve">C. </w:t>
      </w:r>
    </w:p>
    <w:p w14:paraId="14F17AFB" w14:textId="7B974749" w:rsidR="00054E0F" w:rsidRDefault="003020D6" w:rsidP="002C25D7">
      <w:pPr>
        <w:pStyle w:val="Bulletlist1"/>
        <w:numPr>
          <w:ilvl w:val="0"/>
          <w:numId w:val="12"/>
        </w:numPr>
        <w:ind w:left="851" w:hanging="425"/>
      </w:pPr>
      <w:r>
        <w:t>A number of</w:t>
      </w:r>
      <w:r w:rsidR="00054E0F">
        <w:t xml:space="preserve"> design changes </w:t>
      </w:r>
      <w:r w:rsidR="0089364C">
        <w:t>were</w:t>
      </w:r>
      <w:r w:rsidR="00054E0F">
        <w:t xml:space="preserve"> driven by factors outside of ONR’s influence, relating to aspects where the Environment Agency and the Health and Safety Executive are</w:t>
      </w:r>
      <w:r w:rsidR="005F284F">
        <w:t>/were</w:t>
      </w:r>
      <w:r w:rsidR="00054E0F">
        <w:t xml:space="preserve"> the regulatory authorities.  </w:t>
      </w:r>
    </w:p>
    <w:p w14:paraId="327D8648" w14:textId="2A1A3758" w:rsidR="00CD153E" w:rsidRDefault="00907EB8" w:rsidP="002C25D7">
      <w:pPr>
        <w:pStyle w:val="Bulletlist1"/>
        <w:numPr>
          <w:ilvl w:val="0"/>
          <w:numId w:val="12"/>
        </w:numPr>
        <w:ind w:left="851" w:hanging="425"/>
      </w:pPr>
      <w:r>
        <w:t xml:space="preserve">ONR has been unable to identify the detail of the 7,000 changes </w:t>
      </w:r>
      <w:r w:rsidR="00037A8E">
        <w:t>identified by NNB</w:t>
      </w:r>
      <w:r w:rsidR="009B6954">
        <w:t xml:space="preserve"> GenCo</w:t>
      </w:r>
      <w:r w:rsidR="00037A8E">
        <w:t>. F</w:t>
      </w:r>
      <w:r w:rsidR="0044088F">
        <w:t>rom the revi</w:t>
      </w:r>
      <w:r w:rsidR="00037A8E">
        <w:t>e</w:t>
      </w:r>
      <w:r w:rsidR="0044088F">
        <w:t>w</w:t>
      </w:r>
      <w:r w:rsidR="00AD431F">
        <w:t>,</w:t>
      </w:r>
      <w:r w:rsidR="0044088F">
        <w:t xml:space="preserve"> we believe th</w:t>
      </w:r>
      <w:r w:rsidR="00037A8E">
        <w:t>e number incl</w:t>
      </w:r>
      <w:r w:rsidR="00D13921">
        <w:t>udes</w:t>
      </w:r>
      <w:r w:rsidR="00037A8E">
        <w:t xml:space="preserve"> </w:t>
      </w:r>
      <w:r w:rsidR="00CD153E">
        <w:t xml:space="preserve">approximately 5,000 that occurred during </w:t>
      </w:r>
      <w:r w:rsidR="00234B24">
        <w:t xml:space="preserve">the </w:t>
      </w:r>
      <w:r w:rsidR="00CD153E">
        <w:t xml:space="preserve">basic design </w:t>
      </w:r>
      <w:r w:rsidR="00C417BA">
        <w:t>phase</w:t>
      </w:r>
      <w:r w:rsidR="00CD153E">
        <w:t xml:space="preserve"> </w:t>
      </w:r>
      <w:r w:rsidR="008B43BA">
        <w:t>(reference configuration</w:t>
      </w:r>
      <w:r w:rsidR="006F36A2">
        <w:t xml:space="preserve"> [RC]</w:t>
      </w:r>
      <w:r w:rsidR="008B43BA">
        <w:t xml:space="preserve">) </w:t>
      </w:r>
      <w:r w:rsidR="00CD153E">
        <w:t>RC1 in the period 2014-2018</w:t>
      </w:r>
      <w:r w:rsidR="008B43BA">
        <w:t>,</w:t>
      </w:r>
      <w:r w:rsidR="00CD153E">
        <w:t xml:space="preserve"> and a further 2,000 that were initially specified within the RC2 detailed design stage in 2019. </w:t>
      </w:r>
    </w:p>
    <w:p w14:paraId="28CA11AA" w14:textId="3FA67339" w:rsidR="00844623" w:rsidRDefault="00220A37" w:rsidP="002C25D7">
      <w:pPr>
        <w:pStyle w:val="Bulletlist1"/>
        <w:numPr>
          <w:ilvl w:val="0"/>
          <w:numId w:val="12"/>
        </w:numPr>
        <w:ind w:left="851" w:hanging="425"/>
      </w:pPr>
      <w:r>
        <w:t xml:space="preserve">A breakdown of the approximately 5,000 design changes that occurred during the basic design phase RC1 </w:t>
      </w:r>
      <w:r w:rsidR="00E93558">
        <w:t>is not</w:t>
      </w:r>
      <w:r>
        <w:t xml:space="preserve"> available</w:t>
      </w:r>
      <w:r w:rsidR="5AF29A38">
        <w:t xml:space="preserve">. Based on more detailed information provided by NNB </w:t>
      </w:r>
      <w:r w:rsidR="00557CC3">
        <w:t>GenCo</w:t>
      </w:r>
      <w:r w:rsidR="5AF29A38">
        <w:t xml:space="preserve"> in relation to the detailed design phase RC2, </w:t>
      </w:r>
      <w:r>
        <w:t xml:space="preserve">it is expected that those </w:t>
      </w:r>
      <w:r w:rsidR="6AE2F457">
        <w:t xml:space="preserve">changes </w:t>
      </w:r>
      <w:r>
        <w:t>that are nuclear safety</w:t>
      </w:r>
      <w:r w:rsidR="00BA4693">
        <w:t xml:space="preserve"> </w:t>
      </w:r>
      <w:r>
        <w:t>significant</w:t>
      </w:r>
      <w:r w:rsidR="004F7642">
        <w:t>, and related to ONR’s regulation,</w:t>
      </w:r>
      <w:r>
        <w:t xml:space="preserve"> </w:t>
      </w:r>
      <w:r w:rsidR="2306629A">
        <w:t>represent</w:t>
      </w:r>
      <w:r>
        <w:t xml:space="preserve"> a small percentage of this total. </w:t>
      </w:r>
    </w:p>
    <w:p w14:paraId="679EC173" w14:textId="102057F8" w:rsidR="009351DA" w:rsidRDefault="054D76DB" w:rsidP="002C25D7">
      <w:pPr>
        <w:pStyle w:val="Bulletlist1"/>
        <w:numPr>
          <w:ilvl w:val="0"/>
          <w:numId w:val="12"/>
        </w:numPr>
        <w:ind w:left="851" w:hanging="425"/>
      </w:pPr>
      <w:r>
        <w:t xml:space="preserve">NNB </w:t>
      </w:r>
      <w:r w:rsidR="00557CC3">
        <w:t>GenCo</w:t>
      </w:r>
      <w:r>
        <w:t xml:space="preserve"> </w:t>
      </w:r>
      <w:r w:rsidR="00020B49">
        <w:t xml:space="preserve">categorises design changes into </w:t>
      </w:r>
      <w:r>
        <w:t>one of three types. Type 1 changes are sig</w:t>
      </w:r>
      <w:r w:rsidR="1B77D050">
        <w:t xml:space="preserve">nificant impact, Type 2 changes </w:t>
      </w:r>
      <w:r w:rsidR="2AE6CA25">
        <w:t>are medium impact</w:t>
      </w:r>
      <w:r w:rsidR="327DF048">
        <w:t>,</w:t>
      </w:r>
      <w:r w:rsidR="2AE6CA25">
        <w:t xml:space="preserve"> </w:t>
      </w:r>
      <w:r w:rsidR="4211F4C2">
        <w:t xml:space="preserve">with </w:t>
      </w:r>
      <w:r w:rsidR="1B77D050">
        <w:t xml:space="preserve">no safety </w:t>
      </w:r>
      <w:r w:rsidR="4211F4C2">
        <w:t xml:space="preserve">purpose but medium cost </w:t>
      </w:r>
      <w:r w:rsidR="1B77D050">
        <w:t xml:space="preserve">impact and Type 3 changes are </w:t>
      </w:r>
      <w:r w:rsidR="1893E122">
        <w:t>small impact (</w:t>
      </w:r>
      <w:r w:rsidR="1B77D050">
        <w:t>typically documentation changes</w:t>
      </w:r>
      <w:r w:rsidR="482BE0E0">
        <w:t>)</w:t>
      </w:r>
      <w:r w:rsidR="1B77D050">
        <w:t xml:space="preserve">. </w:t>
      </w:r>
      <w:r w:rsidR="505F2C37">
        <w:t>Type 1 changes have a potential important safety purpose or significant cost or schedule impact</w:t>
      </w:r>
      <w:r w:rsidR="760A3C75">
        <w:t xml:space="preserve">. </w:t>
      </w:r>
    </w:p>
    <w:p w14:paraId="14953620" w14:textId="4C9E152A" w:rsidR="00220A37" w:rsidRDefault="001A4792" w:rsidP="002C25D7">
      <w:pPr>
        <w:pStyle w:val="Bulletlist1"/>
        <w:numPr>
          <w:ilvl w:val="0"/>
          <w:numId w:val="12"/>
        </w:numPr>
        <w:ind w:left="851" w:hanging="425"/>
      </w:pPr>
      <w:r>
        <w:t>B</w:t>
      </w:r>
      <w:r w:rsidR="4CD2A1A0">
        <w:t xml:space="preserve">ased on information provided by NNB </w:t>
      </w:r>
      <w:r w:rsidR="00557CC3">
        <w:t>GenCo</w:t>
      </w:r>
      <w:r w:rsidR="00220A37">
        <w:t>, only 7% of the modifications during the detailed design phase RC2 were Type 1 – significant impact, and only a proportion of these will have been related to nuclear safety</w:t>
      </w:r>
      <w:r w:rsidR="7F5B4F07">
        <w:t xml:space="preserve">, as this </w:t>
      </w:r>
      <w:r w:rsidR="7F5B4F07">
        <w:lastRenderedPageBreak/>
        <w:t xml:space="preserve">category also covers high </w:t>
      </w:r>
      <w:r w:rsidR="069324F2">
        <w:t xml:space="preserve">cost and </w:t>
      </w:r>
      <w:r w:rsidR="7F5B4F07">
        <w:t>schedule impact</w:t>
      </w:r>
      <w:r w:rsidR="227BC4D8">
        <w:t>, which are not necessarily linked to nuclear safety</w:t>
      </w:r>
      <w:r w:rsidR="00220A37">
        <w:t xml:space="preserve">. </w:t>
      </w:r>
    </w:p>
    <w:p w14:paraId="6A26FF33" w14:textId="5FD7B6AC" w:rsidR="00220A37" w:rsidRDefault="00220A37" w:rsidP="002C25D7">
      <w:pPr>
        <w:pStyle w:val="Bulletlist1"/>
        <w:numPr>
          <w:ilvl w:val="0"/>
          <w:numId w:val="12"/>
        </w:numPr>
        <w:ind w:left="851" w:hanging="425"/>
      </w:pPr>
      <w:r>
        <w:t xml:space="preserve">During the GDA, and prior to site licensing, </w:t>
      </w:r>
      <w:r w:rsidR="4CBEAF54">
        <w:t xml:space="preserve">a total of 82 </w:t>
      </w:r>
      <w:r w:rsidR="30DF7FE6">
        <w:t>design</w:t>
      </w:r>
      <w:r>
        <w:t xml:space="preserve"> changes were proposed by EDF and AREVA</w:t>
      </w:r>
      <w:r w:rsidR="00510AFC">
        <w:t>,</w:t>
      </w:r>
      <w:r w:rsidR="1C57C50B">
        <w:t xml:space="preserve"> and further details are given below</w:t>
      </w:r>
      <w:r w:rsidR="30DF7FE6">
        <w:t>.</w:t>
      </w:r>
      <w:r>
        <w:t xml:space="preserve"> </w:t>
      </w:r>
      <w:r w:rsidR="78A77EC2">
        <w:t>A full list of GDA design changes is given in Table 2 of</w:t>
      </w:r>
      <w:r w:rsidR="00795723">
        <w:t xml:space="preserve"> the assessment report for close out of </w:t>
      </w:r>
      <w:r w:rsidR="00795723" w:rsidRPr="00795723">
        <w:t>cross-cutting GDA Issue GI-UKEPR-CC-02</w:t>
      </w:r>
      <w:r w:rsidR="78A77EC2">
        <w:t xml:space="preserve"> </w:t>
      </w:r>
      <w:sdt>
        <w:sdtPr>
          <w:id w:val="489061165"/>
          <w:citation/>
        </w:sdtPr>
        <w:sdtContent>
          <w:r w:rsidR="00845FAA">
            <w:fldChar w:fldCharType="begin"/>
          </w:r>
          <w:r w:rsidR="00845FAA">
            <w:instrText xml:space="preserve"> CITATION 201332202 \l 2057 </w:instrText>
          </w:r>
          <w:r w:rsidR="00845FAA">
            <w:fldChar w:fldCharType="separate"/>
          </w:r>
          <w:r w:rsidR="00D239CE" w:rsidRPr="00D239CE">
            <w:t>[2]</w:t>
          </w:r>
          <w:r w:rsidR="00845FAA">
            <w:fldChar w:fldCharType="end"/>
          </w:r>
        </w:sdtContent>
      </w:sdt>
      <w:r w:rsidR="00795723">
        <w:t>.</w:t>
      </w:r>
    </w:p>
    <w:p w14:paraId="3B4A256B" w14:textId="0545CC6B" w:rsidR="00CD153E" w:rsidRDefault="00CD153E" w:rsidP="002C25D7">
      <w:pPr>
        <w:pStyle w:val="Bulletlist1"/>
        <w:numPr>
          <w:ilvl w:val="0"/>
          <w:numId w:val="12"/>
        </w:numPr>
        <w:ind w:left="851" w:hanging="425"/>
      </w:pPr>
      <w:r>
        <w:t xml:space="preserve">At the end of Step 4 of GDA, 28 design changes were agreed </w:t>
      </w:r>
      <w:r w:rsidR="00A30FDB">
        <w:t>by ONR</w:t>
      </w:r>
      <w:r w:rsidR="006721DF">
        <w:t xml:space="preserve"> </w:t>
      </w:r>
      <w:r>
        <w:t>for inclusion in the GDA reference design. These design changes arose from proposals from EDF and AREVA to improve the UK EPR reactor design, either from experience gained on other EPR projects or from regulatory challenges.</w:t>
      </w:r>
      <w:r w:rsidR="00601E82">
        <w:t xml:space="preserve"> </w:t>
      </w:r>
      <w:r>
        <w:t xml:space="preserve"> </w:t>
      </w:r>
    </w:p>
    <w:p w14:paraId="268A51C4" w14:textId="0E6718DB" w:rsidR="00CD153E" w:rsidRDefault="00CD153E" w:rsidP="002C25D7">
      <w:pPr>
        <w:pStyle w:val="Bulletlist1"/>
        <w:numPr>
          <w:ilvl w:val="0"/>
          <w:numId w:val="12"/>
        </w:numPr>
        <w:ind w:left="851" w:hanging="425"/>
      </w:pPr>
      <w:r>
        <w:t>During the GDA close-out phase</w:t>
      </w:r>
      <w:r w:rsidR="0054260E">
        <w:t>,</w:t>
      </w:r>
      <w:r>
        <w:t xml:space="preserve"> a further 54 design changes were proposed by EDF and AREVA within their responses to the GDA Issues and accepted by the Regulators</w:t>
      </w:r>
      <w:r w:rsidR="00336EBC">
        <w:t xml:space="preserve"> (ONR and E</w:t>
      </w:r>
      <w:r w:rsidR="006340BB">
        <w:t xml:space="preserve">nvironment </w:t>
      </w:r>
      <w:r w:rsidR="00336EBC">
        <w:t>A</w:t>
      </w:r>
      <w:r w:rsidR="006340BB">
        <w:t>gency</w:t>
      </w:r>
      <w:r w:rsidR="00336EBC">
        <w:t>)</w:t>
      </w:r>
      <w:r>
        <w:t xml:space="preserve">. </w:t>
      </w:r>
      <w:r w:rsidR="00220A37">
        <w:t xml:space="preserve">In ONR’s opinion, these related mainly to the following areas: </w:t>
      </w:r>
    </w:p>
    <w:p w14:paraId="236F8227" w14:textId="4D8FD813" w:rsidR="00CD153E" w:rsidRPr="008F4D85" w:rsidRDefault="00220A37" w:rsidP="00847237">
      <w:pPr>
        <w:pStyle w:val="Bulletlist2"/>
        <w:numPr>
          <w:ilvl w:val="1"/>
          <w:numId w:val="40"/>
        </w:numPr>
      </w:pPr>
      <w:r w:rsidRPr="008F4D85">
        <w:t xml:space="preserve">Instrumentation </w:t>
      </w:r>
      <w:r w:rsidR="00502DF7">
        <w:t>and</w:t>
      </w:r>
      <w:r w:rsidRPr="008F4D85">
        <w:t xml:space="preserve"> </w:t>
      </w:r>
      <w:r w:rsidR="00502DF7">
        <w:t>c</w:t>
      </w:r>
      <w:r w:rsidRPr="008F4D85">
        <w:t>ontrol</w:t>
      </w:r>
      <w:r w:rsidR="00BE1A8F">
        <w:t xml:space="preserve"> improvements</w:t>
      </w:r>
      <w:r w:rsidR="00502DF7">
        <w:t>.</w:t>
      </w:r>
      <w:r w:rsidR="00CD153E" w:rsidRPr="008F4D85">
        <w:t xml:space="preserve"> </w:t>
      </w:r>
    </w:p>
    <w:p w14:paraId="07E0E39E" w14:textId="49515F5D" w:rsidR="00CD153E" w:rsidRPr="008F4D85" w:rsidRDefault="00CD153E" w:rsidP="00847237">
      <w:pPr>
        <w:pStyle w:val="Bulletlist2"/>
        <w:numPr>
          <w:ilvl w:val="1"/>
          <w:numId w:val="40"/>
        </w:numPr>
      </w:pPr>
      <w:r w:rsidRPr="008F4D85">
        <w:t xml:space="preserve">Fault </w:t>
      </w:r>
      <w:r w:rsidR="00502DF7">
        <w:t>s</w:t>
      </w:r>
      <w:r w:rsidRPr="008F4D85">
        <w:t>tudies</w:t>
      </w:r>
      <w:r w:rsidR="00502DF7">
        <w:t>.</w:t>
      </w:r>
    </w:p>
    <w:p w14:paraId="5988E8E2" w14:textId="0052A75A" w:rsidR="00220A37" w:rsidRPr="008F4D85" w:rsidRDefault="00220A37" w:rsidP="00847237">
      <w:pPr>
        <w:pStyle w:val="Bulletlist2"/>
        <w:numPr>
          <w:ilvl w:val="1"/>
          <w:numId w:val="40"/>
        </w:numPr>
      </w:pPr>
      <w:r w:rsidRPr="008F4D85">
        <w:t xml:space="preserve">Categorisation and </w:t>
      </w:r>
      <w:r w:rsidR="00502DF7">
        <w:t>c</w:t>
      </w:r>
      <w:r w:rsidRPr="008F4D85">
        <w:t>lassification</w:t>
      </w:r>
      <w:r w:rsidR="00502DF7">
        <w:t>.</w:t>
      </w:r>
    </w:p>
    <w:p w14:paraId="745B00B0" w14:textId="0942EA97" w:rsidR="00220A37" w:rsidRPr="008F4D85" w:rsidRDefault="00220A37" w:rsidP="00847237">
      <w:pPr>
        <w:pStyle w:val="Bulletlist2"/>
        <w:numPr>
          <w:ilvl w:val="1"/>
          <w:numId w:val="40"/>
        </w:numPr>
      </w:pPr>
      <w:r w:rsidRPr="008F4D85">
        <w:t xml:space="preserve">Structural </w:t>
      </w:r>
      <w:r w:rsidR="00502DF7">
        <w:t>i</w:t>
      </w:r>
      <w:r w:rsidRPr="008F4D85">
        <w:t>ntegrity</w:t>
      </w:r>
      <w:r w:rsidR="007B57B8">
        <w:t>.</w:t>
      </w:r>
    </w:p>
    <w:p w14:paraId="623650ED" w14:textId="300B91F7" w:rsidR="00CD153E" w:rsidRDefault="00CD153E" w:rsidP="00847237">
      <w:pPr>
        <w:pStyle w:val="Bulletlist2"/>
        <w:numPr>
          <w:ilvl w:val="1"/>
          <w:numId w:val="40"/>
        </w:numPr>
      </w:pPr>
      <w:r w:rsidRPr="008F4D85">
        <w:t>Fukushima</w:t>
      </w:r>
      <w:r w:rsidR="00030BF6">
        <w:t xml:space="preserve"> learning</w:t>
      </w:r>
      <w:r w:rsidR="00502DF7">
        <w:t>.</w:t>
      </w:r>
    </w:p>
    <w:p w14:paraId="16C0FB34" w14:textId="76E561AF" w:rsidR="00F401FA" w:rsidRDefault="00875BD1" w:rsidP="00220A37">
      <w:pPr>
        <w:pStyle w:val="Paragraph"/>
      </w:pPr>
      <w:r>
        <w:t>ONR believes that the modifications reviewed were proportionate</w:t>
      </w:r>
      <w:r w:rsidR="00842CAE">
        <w:t xml:space="preserve"> and alig</w:t>
      </w:r>
      <w:r w:rsidR="00617629">
        <w:t>ned</w:t>
      </w:r>
      <w:r w:rsidR="00842CAE">
        <w:t xml:space="preserve"> with international standards</w:t>
      </w:r>
      <w:r w:rsidR="00FA4216">
        <w:t xml:space="preserve">. </w:t>
      </w:r>
      <w:r w:rsidR="002B7F74">
        <w:t>Furthermore,</w:t>
      </w:r>
      <w:r w:rsidR="00FA4216">
        <w:t xml:space="preserve"> </w:t>
      </w:r>
      <w:r>
        <w:t xml:space="preserve">ONR’s approach was broadly consistent with that of other international regulators, who in </w:t>
      </w:r>
      <w:r w:rsidR="00065B32">
        <w:t>some</w:t>
      </w:r>
      <w:r>
        <w:t xml:space="preserve"> instances required similar design improvements.</w:t>
      </w:r>
      <w:r w:rsidR="00181B96">
        <w:t xml:space="preserve"> </w:t>
      </w:r>
      <w:r w:rsidR="003E5884">
        <w:t>However, w</w:t>
      </w:r>
      <w:r w:rsidR="000D3C04" w:rsidRPr="00F401FA">
        <w:t xml:space="preserve">e </w:t>
      </w:r>
      <w:r w:rsidR="003E5884">
        <w:t>accept</w:t>
      </w:r>
      <w:r w:rsidR="000D3C04" w:rsidRPr="00F401FA">
        <w:t xml:space="preserve"> the level of effort required to implement these changes has proven to be higher than </w:t>
      </w:r>
      <w:r w:rsidR="003E5884">
        <w:t>EDF and AREVA</w:t>
      </w:r>
      <w:r w:rsidR="000D3C04" w:rsidRPr="00F401FA">
        <w:t xml:space="preserve"> estimated at the time of GDA</w:t>
      </w:r>
      <w:r w:rsidR="000D3C04">
        <w:t>.</w:t>
      </w:r>
    </w:p>
    <w:p w14:paraId="58CB9100" w14:textId="646FBD09" w:rsidR="00220A37" w:rsidRDefault="00220A37" w:rsidP="00220A37">
      <w:pPr>
        <w:pStyle w:val="Paragraph"/>
      </w:pPr>
      <w:r>
        <w:t xml:space="preserve">In 2024, ONR asked NNB </w:t>
      </w:r>
      <w:proofErr w:type="spellStart"/>
      <w:r w:rsidR="00557CC3">
        <w:t>GenCo</w:t>
      </w:r>
      <w:proofErr w:type="spellEnd"/>
      <w:r>
        <w:t xml:space="preserve"> to identify the key groups of changes they consider are a result of ONR’s regulation. In response, NNB </w:t>
      </w:r>
      <w:proofErr w:type="spellStart"/>
      <w:r w:rsidR="00557CC3">
        <w:t>GenCo</w:t>
      </w:r>
      <w:proofErr w:type="spellEnd"/>
      <w:r>
        <w:t xml:space="preserve"> identified</w:t>
      </w:r>
      <w:r w:rsidR="00406A2E">
        <w:t>:</w:t>
      </w:r>
    </w:p>
    <w:p w14:paraId="1486A556" w14:textId="33F355BD" w:rsidR="00220A37" w:rsidRPr="008F4D85" w:rsidRDefault="00220A37" w:rsidP="00C470C4">
      <w:pPr>
        <w:pStyle w:val="Bulletlist1"/>
        <w:numPr>
          <w:ilvl w:val="0"/>
          <w:numId w:val="12"/>
        </w:numPr>
        <w:ind w:left="851" w:hanging="425"/>
      </w:pPr>
      <w:r w:rsidRPr="008F4D85">
        <w:t xml:space="preserve">Claimable </w:t>
      </w:r>
      <w:r w:rsidR="0076309B" w:rsidRPr="008F4D85">
        <w:t>software reliability</w:t>
      </w:r>
      <w:r w:rsidR="00406A2E">
        <w:t>.</w:t>
      </w:r>
      <w:r w:rsidR="0076309B">
        <w:t xml:space="preserve"> </w:t>
      </w:r>
    </w:p>
    <w:p w14:paraId="0C81A325" w14:textId="6D695BD4" w:rsidR="00220A37" w:rsidRPr="008F4D85" w:rsidRDefault="00220A37" w:rsidP="00C470C4">
      <w:pPr>
        <w:pStyle w:val="Bulletlist1"/>
        <w:numPr>
          <w:ilvl w:val="0"/>
          <w:numId w:val="12"/>
        </w:numPr>
        <w:ind w:left="851" w:hanging="425"/>
      </w:pPr>
      <w:r w:rsidRPr="008F4D85">
        <w:t xml:space="preserve">Categorisation and </w:t>
      </w:r>
      <w:r w:rsidR="0076309B">
        <w:t>c</w:t>
      </w:r>
      <w:r w:rsidRPr="008F4D85">
        <w:t xml:space="preserve">lassification of </w:t>
      </w:r>
      <w:r w:rsidR="0076309B" w:rsidRPr="008F4D85">
        <w:t>safety systems</w:t>
      </w:r>
      <w:r w:rsidR="00406A2E">
        <w:t>.</w:t>
      </w:r>
    </w:p>
    <w:p w14:paraId="645C802E" w14:textId="4933688D" w:rsidR="00220A37" w:rsidRPr="008F4D85" w:rsidRDefault="002B6792" w:rsidP="00C470C4">
      <w:pPr>
        <w:pStyle w:val="Bulletlist1"/>
        <w:numPr>
          <w:ilvl w:val="0"/>
          <w:numId w:val="12"/>
        </w:numPr>
        <w:ind w:left="851" w:hanging="425"/>
      </w:pPr>
      <w:r>
        <w:t>Heating, ventilation and air condit</w:t>
      </w:r>
      <w:r w:rsidR="00EB1256">
        <w:t>i</w:t>
      </w:r>
      <w:r>
        <w:t xml:space="preserve">oning </w:t>
      </w:r>
      <w:r w:rsidR="0076309B">
        <w:t>(</w:t>
      </w:r>
      <w:r w:rsidR="0076309B" w:rsidRPr="008F4D85">
        <w:t>HVAC</w:t>
      </w:r>
      <w:r w:rsidR="0076309B">
        <w:t>) sy</w:t>
      </w:r>
      <w:r w:rsidR="00F95BA6">
        <w:t>s</w:t>
      </w:r>
      <w:r w:rsidR="0076309B">
        <w:t xml:space="preserve">tem </w:t>
      </w:r>
      <w:r w:rsidR="00220A37" w:rsidRPr="008F4D85">
        <w:t>modifications</w:t>
      </w:r>
      <w:r w:rsidR="00406A2E">
        <w:t>.</w:t>
      </w:r>
    </w:p>
    <w:p w14:paraId="4BAE5853" w14:textId="0750E917" w:rsidR="00220A37" w:rsidRPr="008F4D85" w:rsidRDefault="00220A37" w:rsidP="00C470C4">
      <w:pPr>
        <w:pStyle w:val="Bulletlist1"/>
        <w:numPr>
          <w:ilvl w:val="0"/>
          <w:numId w:val="12"/>
        </w:numPr>
        <w:ind w:left="851" w:hanging="425"/>
      </w:pPr>
      <w:r w:rsidRPr="008F4D85">
        <w:t>High integrity components (HIC) requirements</w:t>
      </w:r>
      <w:r w:rsidR="00406A2E">
        <w:t>.</w:t>
      </w:r>
    </w:p>
    <w:p w14:paraId="7A7F4C67" w14:textId="5FD9B0C1" w:rsidR="00220A37" w:rsidRPr="008F4D85" w:rsidRDefault="00220A37" w:rsidP="00C470C4">
      <w:pPr>
        <w:pStyle w:val="Bulletlist1"/>
        <w:numPr>
          <w:ilvl w:val="0"/>
          <w:numId w:val="12"/>
        </w:numPr>
        <w:ind w:left="851" w:hanging="425"/>
      </w:pPr>
      <w:r w:rsidRPr="008F4D85">
        <w:t>Insulation material inside the containment building</w:t>
      </w:r>
      <w:r w:rsidR="0076309B">
        <w:t>; and,</w:t>
      </w:r>
    </w:p>
    <w:p w14:paraId="00A30CF9" w14:textId="17B37F8A" w:rsidR="00220A37" w:rsidRPr="008F4D85" w:rsidRDefault="00220A37" w:rsidP="00C470C4">
      <w:pPr>
        <w:pStyle w:val="Bulletlist1"/>
        <w:numPr>
          <w:ilvl w:val="0"/>
          <w:numId w:val="12"/>
        </w:numPr>
        <w:ind w:left="851" w:hanging="425"/>
      </w:pPr>
      <w:r w:rsidRPr="008F4D85">
        <w:t xml:space="preserve">Concrete </w:t>
      </w:r>
      <w:r w:rsidR="0076309B">
        <w:t>v</w:t>
      </w:r>
      <w:r w:rsidRPr="008F4D85">
        <w:t>olumes.</w:t>
      </w:r>
    </w:p>
    <w:p w14:paraId="0A35622F" w14:textId="4D715392" w:rsidR="00CD153E" w:rsidRDefault="00CD153E" w:rsidP="000E435B">
      <w:pPr>
        <w:pStyle w:val="Paragraph"/>
      </w:pPr>
      <w:r>
        <w:lastRenderedPageBreak/>
        <w:t xml:space="preserve">The changes identified are familiar </w:t>
      </w:r>
      <w:r w:rsidR="00337DD2">
        <w:t>to ONR and relate to</w:t>
      </w:r>
      <w:r>
        <w:t xml:space="preserve"> GDA (2008-2012), except for those specifically concerned with concrete volumes. </w:t>
      </w:r>
    </w:p>
    <w:p w14:paraId="3D04619E" w14:textId="76A22D09" w:rsidR="00220A37" w:rsidRDefault="00220A37" w:rsidP="00220A37">
      <w:pPr>
        <w:pStyle w:val="Paragraph"/>
      </w:pPr>
      <w:r>
        <w:t xml:space="preserve">The changes are considered in more detail in the subsequent sections of this report. ‘Claimable software reliability’ has been referred to in this report as </w:t>
      </w:r>
      <w:r w:rsidR="009832BE">
        <w:t>‘</w:t>
      </w:r>
      <w:r>
        <w:t>control and instrumentation architecture.</w:t>
      </w:r>
      <w:r w:rsidR="009832BE">
        <w:t>’</w:t>
      </w:r>
      <w:r>
        <w:t xml:space="preserve"> </w:t>
      </w:r>
    </w:p>
    <w:p w14:paraId="411FC666" w14:textId="1E540504" w:rsidR="00875101" w:rsidRDefault="00875101" w:rsidP="00875101">
      <w:pPr>
        <w:pStyle w:val="Bulletlist1"/>
      </w:pPr>
      <w:r>
        <w:t xml:space="preserve">ONR has also been unable to establish whether the changes </w:t>
      </w:r>
      <w:r w:rsidR="009832BE">
        <w:t xml:space="preserve">to </w:t>
      </w:r>
      <w:r>
        <w:t xml:space="preserve">HPC, compared to those of the reference plant (Flamanville 3, design freeze 2008) </w:t>
      </w:r>
      <w:r w:rsidR="001D7A37">
        <w:t>have been</w:t>
      </w:r>
      <w:r>
        <w:t xml:space="preserve"> compared on a truly like-for like basis. To carry out such a comparison would involve screening out of site-specific issues, resolving differences in sample cohort and identifying elective change.</w:t>
      </w:r>
    </w:p>
    <w:p w14:paraId="60CE9E93" w14:textId="0E57D384" w:rsidR="00C13BBC" w:rsidRDefault="00606408" w:rsidP="00A97C89">
      <w:pPr>
        <w:pStyle w:val="Heading1"/>
      </w:pPr>
      <w:bookmarkStart w:id="9" w:name="_Toc871024238"/>
      <w:bookmarkStart w:id="10" w:name="_Toc178776909"/>
      <w:r>
        <w:t xml:space="preserve">High </w:t>
      </w:r>
      <w:r w:rsidR="002C5EBF">
        <w:t>I</w:t>
      </w:r>
      <w:r>
        <w:t xml:space="preserve">ntegrity </w:t>
      </w:r>
      <w:r w:rsidR="002C5EBF">
        <w:t>C</w:t>
      </w:r>
      <w:r>
        <w:t>omponents (HIC)</w:t>
      </w:r>
      <w:bookmarkEnd w:id="9"/>
      <w:bookmarkEnd w:id="10"/>
    </w:p>
    <w:p w14:paraId="4A9F2992" w14:textId="016DD4B0" w:rsidR="00AA6825" w:rsidRPr="008A07C5" w:rsidRDefault="005F0B28" w:rsidP="008A07C5">
      <w:pPr>
        <w:pStyle w:val="Heading2"/>
      </w:pPr>
      <w:bookmarkStart w:id="11" w:name="_Toc178776910"/>
      <w:r w:rsidRPr="008A07C5">
        <w:t>Overview</w:t>
      </w:r>
      <w:bookmarkEnd w:id="11"/>
    </w:p>
    <w:p w14:paraId="570A9589" w14:textId="64EB5165" w:rsidR="00AA6825" w:rsidRPr="00533914" w:rsidRDefault="00AA6825" w:rsidP="00AA6825">
      <w:r w:rsidRPr="00533914">
        <w:t xml:space="preserve">The consequences of failure of certain components, for example the Reactor Pressure Vessel (RPV), cannot be mitigated and will lead to a large release of radiation to the environment. NNB </w:t>
      </w:r>
      <w:proofErr w:type="spellStart"/>
      <w:r w:rsidRPr="00533914">
        <w:t>GenCo</w:t>
      </w:r>
      <w:proofErr w:type="spellEnd"/>
      <w:r w:rsidRPr="00533914">
        <w:t xml:space="preserve"> designate</w:t>
      </w:r>
      <w:r w:rsidR="00AF7370">
        <w:t>s</w:t>
      </w:r>
      <w:r w:rsidRPr="00533914">
        <w:t xml:space="preserve"> these as ‘</w:t>
      </w:r>
      <w:r w:rsidR="006F4B2C">
        <w:t>h</w:t>
      </w:r>
      <w:r w:rsidRPr="00533914">
        <w:t xml:space="preserve">igh </w:t>
      </w:r>
      <w:r w:rsidR="006F4B2C">
        <w:t>i</w:t>
      </w:r>
      <w:r w:rsidRPr="00533914">
        <w:t xml:space="preserve">ntegrity </w:t>
      </w:r>
      <w:r w:rsidR="006F4B2C">
        <w:t>c</w:t>
      </w:r>
      <w:r w:rsidRPr="00533914">
        <w:t>omponents (HICs)’</w:t>
      </w:r>
      <w:r w:rsidR="006F4B2C">
        <w:t xml:space="preserve"> and</w:t>
      </w:r>
      <w:r w:rsidRPr="00533914">
        <w:t xml:space="preserve"> they are referred to in ONR’s Safety Assessment Principles (SAPs) as ‘</w:t>
      </w:r>
      <w:r w:rsidR="006F4B2C">
        <w:t>h</w:t>
      </w:r>
      <w:r w:rsidRPr="00533914">
        <w:t xml:space="preserve">ighest </w:t>
      </w:r>
      <w:r w:rsidR="006F4B2C">
        <w:t>r</w:t>
      </w:r>
      <w:r w:rsidRPr="00533914">
        <w:t xml:space="preserve">eliability </w:t>
      </w:r>
      <w:r w:rsidR="006F4B2C">
        <w:t>c</w:t>
      </w:r>
      <w:r w:rsidRPr="00533914">
        <w:t xml:space="preserve">omponents’. </w:t>
      </w:r>
      <w:r w:rsidR="00160BA5">
        <w:t>A</w:t>
      </w:r>
      <w:r w:rsidRPr="00533914">
        <w:t>lign</w:t>
      </w:r>
      <w:r w:rsidR="00160BA5">
        <w:t>ed</w:t>
      </w:r>
      <w:r w:rsidRPr="00533914">
        <w:t xml:space="preserve"> with its principle of being risk-informed, ONR </w:t>
      </w:r>
      <w:r w:rsidR="006B5FDD">
        <w:t xml:space="preserve">gives </w:t>
      </w:r>
      <w:r w:rsidR="00401C16">
        <w:t>increased attention to</w:t>
      </w:r>
      <w:r w:rsidR="006B5FDD" w:rsidRPr="00533914">
        <w:t xml:space="preserve"> </w:t>
      </w:r>
      <w:r w:rsidRPr="00533914">
        <w:t>these components.</w:t>
      </w:r>
    </w:p>
    <w:p w14:paraId="4C179E42" w14:textId="6AA11B78" w:rsidR="00AA6825" w:rsidRPr="00533914" w:rsidRDefault="00AA6825" w:rsidP="00AA6825">
      <w:r w:rsidRPr="00533914">
        <w:t>The concept of highest reliability stems from the UK study group on the integrity of pressure vessels</w:t>
      </w:r>
      <w:r w:rsidR="007D5E94">
        <w:t xml:space="preserve"> </w:t>
      </w:r>
      <w:sdt>
        <w:sdtPr>
          <w:id w:val="702220241"/>
          <w:citation/>
        </w:sdtPr>
        <w:sdtContent>
          <w:r w:rsidR="003E0727">
            <w:fldChar w:fldCharType="begin"/>
          </w:r>
          <w:r w:rsidR="003E0727">
            <w:instrText xml:space="preserve"> CITATION UKAEA1982 \l 2057 </w:instrText>
          </w:r>
          <w:r w:rsidR="003E0727">
            <w:fldChar w:fldCharType="separate"/>
          </w:r>
          <w:r w:rsidR="00D239CE" w:rsidRPr="00D239CE">
            <w:rPr>
              <w:noProof/>
            </w:rPr>
            <w:t>[3]</w:t>
          </w:r>
          <w:r w:rsidR="003E0727">
            <w:fldChar w:fldCharType="end"/>
          </w:r>
        </w:sdtContent>
      </w:sdt>
      <w:r w:rsidR="00580FAA">
        <w:t xml:space="preserve"> and the </w:t>
      </w:r>
      <w:r w:rsidRPr="00533914">
        <w:t xml:space="preserve">concept is translated into the ONR SAPs at paragraph 286. </w:t>
      </w:r>
      <w:r w:rsidR="00ED361E">
        <w:t>It</w:t>
      </w:r>
      <w:r w:rsidRPr="00533914">
        <w:t xml:space="preserve"> has been reviewed and discussed at length </w:t>
      </w:r>
      <w:r w:rsidR="00ED361E">
        <w:t>across</w:t>
      </w:r>
      <w:r w:rsidRPr="00533914">
        <w:t xml:space="preserve"> UK industry and academia (for example, </w:t>
      </w:r>
      <w:r w:rsidR="00AF7370">
        <w:t xml:space="preserve">the </w:t>
      </w:r>
      <w:r w:rsidRPr="00533914">
        <w:t xml:space="preserve">Technical </w:t>
      </w:r>
      <w:r w:rsidR="00AF7370">
        <w:t>A</w:t>
      </w:r>
      <w:r w:rsidRPr="00533914">
        <w:t xml:space="preserve">dvisory </w:t>
      </w:r>
      <w:r w:rsidR="00AF7370">
        <w:t>G</w:t>
      </w:r>
      <w:r w:rsidRPr="00533914">
        <w:t xml:space="preserve">roup on </w:t>
      </w:r>
      <w:r w:rsidR="00AF7370">
        <w:t>S</w:t>
      </w:r>
      <w:r w:rsidRPr="00533914">
        <w:t xml:space="preserve">tructural </w:t>
      </w:r>
      <w:r w:rsidR="00AF7370">
        <w:t>I</w:t>
      </w:r>
      <w:r w:rsidRPr="00533914">
        <w:t>ntegrity (TAGSI)</w:t>
      </w:r>
      <w:r w:rsidR="003E0727">
        <w:t xml:space="preserve"> </w:t>
      </w:r>
      <w:sdt>
        <w:sdtPr>
          <w:id w:val="65546690"/>
          <w:citation/>
        </w:sdtPr>
        <w:sdtContent>
          <w:r w:rsidR="003E0727">
            <w:fldChar w:fldCharType="begin"/>
          </w:r>
          <w:r w:rsidR="003E0727">
            <w:instrText xml:space="preserve"> CITATION TAGSI \l 2057 </w:instrText>
          </w:r>
          <w:r w:rsidR="003E0727">
            <w:fldChar w:fldCharType="separate"/>
          </w:r>
          <w:r w:rsidR="00D239CE" w:rsidRPr="00D239CE">
            <w:rPr>
              <w:noProof/>
            </w:rPr>
            <w:t>[4]</w:t>
          </w:r>
          <w:r w:rsidR="003E0727">
            <w:fldChar w:fldCharType="end"/>
          </w:r>
        </w:sdtContent>
      </w:sdt>
      <w:r w:rsidRPr="00533914">
        <w:t xml:space="preserve">), </w:t>
      </w:r>
      <w:r>
        <w:t>and</w:t>
      </w:r>
      <w:r w:rsidRPr="00533914">
        <w:t xml:space="preserve"> the principles have gained wide recognition. The core principles of highest reliability are:</w:t>
      </w:r>
    </w:p>
    <w:p w14:paraId="411F1C9F" w14:textId="77777777" w:rsidR="00AA6825" w:rsidRPr="00533914" w:rsidRDefault="00AA6825" w:rsidP="00B27CD3">
      <w:pPr>
        <w:pStyle w:val="Bulletlist1"/>
        <w:numPr>
          <w:ilvl w:val="0"/>
          <w:numId w:val="43"/>
        </w:numPr>
        <w:ind w:left="850" w:hanging="425"/>
      </w:pPr>
      <w:r w:rsidRPr="00533914">
        <w:t>The need for highest reliability claims should be engineered out, where possible.</w:t>
      </w:r>
    </w:p>
    <w:p w14:paraId="6199E703" w14:textId="77777777" w:rsidR="00AA6825" w:rsidRPr="00533914" w:rsidRDefault="00AA6825" w:rsidP="00B27CD3">
      <w:pPr>
        <w:pStyle w:val="Bulletlist1"/>
        <w:numPr>
          <w:ilvl w:val="0"/>
          <w:numId w:val="43"/>
        </w:numPr>
        <w:ind w:left="850" w:hanging="425"/>
      </w:pPr>
      <w:r w:rsidRPr="00533914">
        <w:t>Where highest reliability claims are made, the component should be</w:t>
      </w:r>
      <w:r>
        <w:t xml:space="preserve"> </w:t>
      </w:r>
      <w:r w:rsidRPr="00533914">
        <w:t xml:space="preserve">demonstrably: </w:t>
      </w:r>
    </w:p>
    <w:p w14:paraId="68404377" w14:textId="5CBA0A2D" w:rsidR="00AA6825" w:rsidRPr="00533914" w:rsidRDefault="006F3532" w:rsidP="009A3020">
      <w:pPr>
        <w:pStyle w:val="Bulletlist2"/>
        <w:numPr>
          <w:ilvl w:val="1"/>
          <w:numId w:val="41"/>
        </w:numPr>
        <w:ind w:left="1491" w:hanging="357"/>
      </w:pPr>
      <w:r>
        <w:t>W</w:t>
      </w:r>
      <w:r w:rsidR="00AA6825" w:rsidRPr="00533914">
        <w:t>ell made, with known physical characteristics</w:t>
      </w:r>
      <w:r w:rsidR="00ED361E">
        <w:t>.</w:t>
      </w:r>
      <w:r w:rsidR="00AA6825" w:rsidRPr="00533914">
        <w:t xml:space="preserve"> </w:t>
      </w:r>
    </w:p>
    <w:p w14:paraId="04692338" w14:textId="7A59A857" w:rsidR="00AA6825" w:rsidRPr="00533914" w:rsidRDefault="006F3532" w:rsidP="009A3020">
      <w:pPr>
        <w:pStyle w:val="Bulletlist2"/>
        <w:numPr>
          <w:ilvl w:val="1"/>
          <w:numId w:val="41"/>
        </w:numPr>
        <w:ind w:left="1491" w:hanging="357"/>
      </w:pPr>
      <w:r>
        <w:t>D</w:t>
      </w:r>
      <w:r w:rsidR="00AA6825" w:rsidRPr="00533914">
        <w:t>efect tolerant</w:t>
      </w:r>
      <w:r w:rsidR="009E298C">
        <w:t>.</w:t>
      </w:r>
    </w:p>
    <w:p w14:paraId="5078DFE7" w14:textId="50220C58" w:rsidR="00AA6825" w:rsidRPr="00533914" w:rsidRDefault="006F3532" w:rsidP="009A3020">
      <w:pPr>
        <w:pStyle w:val="Bulletlist2"/>
        <w:numPr>
          <w:ilvl w:val="1"/>
          <w:numId w:val="41"/>
        </w:numPr>
        <w:ind w:left="1491" w:hanging="357"/>
      </w:pPr>
      <w:r>
        <w:t>M</w:t>
      </w:r>
      <w:r w:rsidR="00AA6825" w:rsidRPr="00533914">
        <w:t>onitored by qualified inspections.</w:t>
      </w:r>
    </w:p>
    <w:p w14:paraId="48328279" w14:textId="6E2820E3" w:rsidR="00AA6825" w:rsidRDefault="00AA6825" w:rsidP="0095093D">
      <w:pPr>
        <w:pStyle w:val="Paragraph"/>
      </w:pPr>
      <w:r w:rsidRPr="00533914">
        <w:t xml:space="preserve">Highest reliability </w:t>
      </w:r>
      <w:r w:rsidRPr="000D05B4">
        <w:t>expectations have been made consistently and clearly since before the GDA of the EPR</w:t>
      </w:r>
      <w:r w:rsidR="006F3532">
        <w:t>,</w:t>
      </w:r>
      <w:r w:rsidRPr="000D05B4">
        <w:t xml:space="preserve"> and ONR’s appro</w:t>
      </w:r>
      <w:r w:rsidRPr="00A34D62">
        <w:t>ach is consistent with IAEA guidance in this area</w:t>
      </w:r>
      <w:sdt>
        <w:sdtPr>
          <w:id w:val="-1286798157"/>
          <w:citation/>
        </w:sdtPr>
        <w:sdtContent>
          <w:r w:rsidR="0095093D">
            <w:fldChar w:fldCharType="begin"/>
          </w:r>
          <w:r w:rsidR="0095093D">
            <w:instrText xml:space="preserve"> CITATION SSG88 \l 2057 </w:instrText>
          </w:r>
          <w:r w:rsidR="0095093D">
            <w:fldChar w:fldCharType="separate"/>
          </w:r>
          <w:r w:rsidR="00D239CE">
            <w:rPr>
              <w:noProof/>
            </w:rPr>
            <w:t xml:space="preserve"> </w:t>
          </w:r>
          <w:r w:rsidR="00D239CE" w:rsidRPr="00D239CE">
            <w:rPr>
              <w:noProof/>
            </w:rPr>
            <w:t>[5]</w:t>
          </w:r>
          <w:r w:rsidR="0095093D">
            <w:fldChar w:fldCharType="end"/>
          </w:r>
        </w:sdtContent>
      </w:sdt>
      <w:r w:rsidRPr="00533914">
        <w:t xml:space="preserve">. </w:t>
      </w:r>
    </w:p>
    <w:p w14:paraId="54C448D4" w14:textId="23F41A8F" w:rsidR="00AA6825" w:rsidRDefault="00AA6825" w:rsidP="00AA6825">
      <w:r>
        <w:lastRenderedPageBreak/>
        <w:t>The structural design of nuclear plant items is undertaken using a ‘design code’. These provide the baseline of structural integrity. Each regulator then requires additional analysis to convert the code into national legislation, and this is different between regulators, despite significant effort</w:t>
      </w:r>
      <w:r w:rsidR="001E452A">
        <w:t>s</w:t>
      </w:r>
      <w:r>
        <w:t xml:space="preserve"> to harmonise. </w:t>
      </w:r>
      <w:r w:rsidRPr="00147A94">
        <w:t xml:space="preserve">For example, the French </w:t>
      </w:r>
      <w:r>
        <w:t xml:space="preserve">nuclear safety </w:t>
      </w:r>
      <w:r w:rsidRPr="00147A94">
        <w:t>regulator, ASN</w:t>
      </w:r>
      <w:r w:rsidR="001E452A">
        <w:t>,</w:t>
      </w:r>
      <w:r w:rsidRPr="00147A94">
        <w:t xml:space="preserve"> applie</w:t>
      </w:r>
      <w:r>
        <w:t>s</w:t>
      </w:r>
      <w:r w:rsidRPr="00147A94">
        <w:t xml:space="preserve"> additional expectations in terms of materials homogeneity in the </w:t>
      </w:r>
      <w:r>
        <w:t>RPV</w:t>
      </w:r>
      <w:r w:rsidRPr="00147A94">
        <w:t xml:space="preserve"> domes, which are covered by the fracture toughness testing performed in the UK.  </w:t>
      </w:r>
    </w:p>
    <w:p w14:paraId="48AB7646" w14:textId="040A10B8" w:rsidR="00AA6825" w:rsidRPr="00533914" w:rsidRDefault="00AA6825" w:rsidP="00902AD1">
      <w:r>
        <w:t>The additional requirements above code, to meet the requirement for HIC in the UK</w:t>
      </w:r>
      <w:r w:rsidR="001E452A">
        <w:t>,</w:t>
      </w:r>
      <w:r>
        <w:t xml:space="preserve"> resulted in </w:t>
      </w:r>
      <w:r w:rsidR="00837D1C">
        <w:t>EDF and AREVA</w:t>
      </w:r>
      <w:r>
        <w:t xml:space="preserve"> undertaking</w:t>
      </w:r>
      <w:r w:rsidR="00902AD1">
        <w:t xml:space="preserve"> </w:t>
      </w:r>
      <w:r w:rsidRPr="00533914">
        <w:t>additional testing and analysis.  Specifically:</w:t>
      </w:r>
    </w:p>
    <w:p w14:paraId="74E53C16" w14:textId="5468D353" w:rsidR="00AA6825" w:rsidRPr="00533914" w:rsidRDefault="00AA6825" w:rsidP="00C470C4">
      <w:pPr>
        <w:pStyle w:val="Bulletlist1"/>
        <w:numPr>
          <w:ilvl w:val="0"/>
          <w:numId w:val="12"/>
        </w:numPr>
        <w:ind w:left="851" w:hanging="425"/>
      </w:pPr>
      <w:r w:rsidRPr="00533914">
        <w:t>Fracture toughness testing</w:t>
      </w:r>
      <w:r w:rsidR="00CE7BA1">
        <w:t>.</w:t>
      </w:r>
    </w:p>
    <w:p w14:paraId="193EFDF9" w14:textId="5F6E921A" w:rsidR="00AA6825" w:rsidRPr="00533914" w:rsidRDefault="00AA6825" w:rsidP="00C470C4">
      <w:pPr>
        <w:pStyle w:val="Bulletlist1"/>
        <w:numPr>
          <w:ilvl w:val="0"/>
          <w:numId w:val="12"/>
        </w:numPr>
        <w:ind w:left="851" w:hanging="425"/>
      </w:pPr>
      <w:r w:rsidRPr="00533914">
        <w:t>Defect tolerance analysis</w:t>
      </w:r>
      <w:r w:rsidR="00CE7BA1">
        <w:t>.</w:t>
      </w:r>
    </w:p>
    <w:p w14:paraId="20A1F52D" w14:textId="77777777" w:rsidR="00AA6825" w:rsidRPr="00533914" w:rsidRDefault="00AA6825" w:rsidP="00C470C4">
      <w:pPr>
        <w:pStyle w:val="Bulletlist1"/>
        <w:numPr>
          <w:ilvl w:val="0"/>
          <w:numId w:val="12"/>
        </w:numPr>
        <w:ind w:left="851" w:hanging="425"/>
      </w:pPr>
      <w:r w:rsidRPr="00533914">
        <w:t>Qualification of inspections techniques.</w:t>
      </w:r>
    </w:p>
    <w:p w14:paraId="62390A92" w14:textId="39984CE5" w:rsidR="00AA6825" w:rsidRPr="00533914" w:rsidRDefault="002348E1" w:rsidP="005E5CA2">
      <w:pPr>
        <w:pStyle w:val="Heading2"/>
      </w:pPr>
      <w:bookmarkStart w:id="12" w:name="_Toc79153603"/>
      <w:bookmarkStart w:id="13" w:name="_Toc178776911"/>
      <w:bookmarkStart w:id="14" w:name="_Hlk177991868"/>
      <w:r>
        <w:t>Difference</w:t>
      </w:r>
      <w:r w:rsidR="007C7106">
        <w:t>s</w:t>
      </w:r>
      <w:r>
        <w:t xml:space="preserve"> in </w:t>
      </w:r>
      <w:r w:rsidR="00EF2978">
        <w:t xml:space="preserve">regulatory </w:t>
      </w:r>
      <w:r>
        <w:t>approach</w:t>
      </w:r>
      <w:bookmarkEnd w:id="12"/>
      <w:r w:rsidR="00EF2978">
        <w:t>es</w:t>
      </w:r>
      <w:bookmarkEnd w:id="13"/>
    </w:p>
    <w:bookmarkEnd w:id="14"/>
    <w:p w14:paraId="41577FCB" w14:textId="75813067" w:rsidR="00AA6825" w:rsidRDefault="00AA6825" w:rsidP="00AA6825">
      <w:r>
        <w:t>Primarily</w:t>
      </w:r>
      <w:r w:rsidR="00001631">
        <w:t>,</w:t>
      </w:r>
      <w:r>
        <w:t xml:space="preserve"> the difference arises in converting design code into national requirements to satisfy the legislation of that country. The concept of </w:t>
      </w:r>
      <w:r w:rsidR="00AC6985">
        <w:t>h</w:t>
      </w:r>
      <w:r>
        <w:t xml:space="preserve">ighest </w:t>
      </w:r>
      <w:r w:rsidR="00AC6985">
        <w:t>r</w:t>
      </w:r>
      <w:r>
        <w:t>eliability is UK</w:t>
      </w:r>
      <w:r w:rsidR="00946C6B">
        <w:t>-</w:t>
      </w:r>
      <w:r>
        <w:t>specific, although aligned with IAEA requirements</w:t>
      </w:r>
      <w:r w:rsidR="00AC6985">
        <w:t>, and w</w:t>
      </w:r>
      <w:r>
        <w:t xml:space="preserve">ork </w:t>
      </w:r>
      <w:r w:rsidR="00AC3009">
        <w:t xml:space="preserve">undertaken </w:t>
      </w:r>
      <w:r>
        <w:t xml:space="preserve">through forums such as the NEA’s Multinational Design Evaluation Programme </w:t>
      </w:r>
      <w:r w:rsidR="00001631">
        <w:t xml:space="preserve">(MDEP) </w:t>
      </w:r>
      <w:r>
        <w:t>aims to bring regulatory requirements closer together. Although additional testing was required for the UK, there are other aspects of the French and USA (and other regulators) approach that are not required for the UK, and vice versa. There is no universally</w:t>
      </w:r>
      <w:r w:rsidR="00D8677A">
        <w:t>-</w:t>
      </w:r>
      <w:r>
        <w:t xml:space="preserve">agreed/accepted approach, although work is </w:t>
      </w:r>
      <w:r w:rsidR="00001631">
        <w:t>ongoing</w:t>
      </w:r>
      <w:r>
        <w:t xml:space="preserve"> in this area.</w:t>
      </w:r>
    </w:p>
    <w:p w14:paraId="100A5796" w14:textId="4781D547" w:rsidR="00AA6825" w:rsidRPr="00533914" w:rsidRDefault="00AA6825" w:rsidP="005E5CA2">
      <w:pPr>
        <w:pStyle w:val="Heading2"/>
      </w:pPr>
      <w:bookmarkStart w:id="15" w:name="_Toc175813158"/>
      <w:bookmarkStart w:id="16" w:name="_Toc325488516"/>
      <w:bookmarkStart w:id="17" w:name="_Toc178776912"/>
      <w:r w:rsidRPr="00533914">
        <w:t>Safety</w:t>
      </w:r>
      <w:r w:rsidR="002348E1">
        <w:t xml:space="preserve"> benefit</w:t>
      </w:r>
      <w:bookmarkEnd w:id="15"/>
      <w:bookmarkEnd w:id="16"/>
      <w:bookmarkEnd w:id="17"/>
    </w:p>
    <w:p w14:paraId="77CED27B" w14:textId="02F6611C" w:rsidR="00AA6825" w:rsidRPr="00533914" w:rsidRDefault="00AA6825" w:rsidP="00AA6825">
      <w:r w:rsidRPr="00533914">
        <w:t xml:space="preserve">The application of </w:t>
      </w:r>
      <w:r w:rsidR="00001631">
        <w:t xml:space="preserve">the </w:t>
      </w:r>
      <w:r w:rsidRPr="00533914">
        <w:t>UK</w:t>
      </w:r>
      <w:r w:rsidR="00001631">
        <w:t>’s</w:t>
      </w:r>
      <w:r w:rsidRPr="00533914">
        <w:t xml:space="preserve"> highest reliability expectations means that the most safety significant components are identified explicitly and that the attention of both the </w:t>
      </w:r>
      <w:proofErr w:type="spellStart"/>
      <w:r w:rsidRPr="00533914">
        <w:t>dutyholder</w:t>
      </w:r>
      <w:proofErr w:type="spellEnd"/>
      <w:r w:rsidRPr="00533914">
        <w:t xml:space="preserve"> and the regulator are targeted on them. The approach provides direct evidence that where the hazards posed by the nuclear plant are highest, then the risks are understood, managed and reduced so far as is reasonably practicable.  This has driven demonstrable improvements in safety compared with code compliance</w:t>
      </w:r>
      <w:r>
        <w:t>.</w:t>
      </w:r>
      <w:r w:rsidRPr="00533914">
        <w:t xml:space="preserve"> These include:</w:t>
      </w:r>
    </w:p>
    <w:p w14:paraId="546DB357" w14:textId="782AD13B" w:rsidR="00AA6825" w:rsidRPr="00533914" w:rsidRDefault="00AA6825" w:rsidP="001750E1">
      <w:pPr>
        <w:pStyle w:val="NumList1"/>
        <w:ind w:left="850" w:hanging="425"/>
      </w:pPr>
      <w:r w:rsidRPr="00533914">
        <w:t>Ensuring that components enter service as defect</w:t>
      </w:r>
      <w:r w:rsidR="006573A4">
        <w:t>-</w:t>
      </w:r>
      <w:r w:rsidRPr="00533914">
        <w:t>free as possible through appropriate in-manufacture examination, and that materials are as resistant to degradation as they can be</w:t>
      </w:r>
      <w:r w:rsidR="001C3536">
        <w:t>.</w:t>
      </w:r>
    </w:p>
    <w:p w14:paraId="0F85F7C9" w14:textId="468DEC19" w:rsidR="00AA6825" w:rsidRPr="00533914" w:rsidRDefault="00AA6825" w:rsidP="001750E1">
      <w:pPr>
        <w:pStyle w:val="NumList1"/>
        <w:ind w:left="850" w:hanging="425"/>
      </w:pPr>
      <w:r w:rsidRPr="00533914">
        <w:t>Ensuring that in-service inspections use more capable techniques that can be demonstrated to detect any defects of concern</w:t>
      </w:r>
      <w:r w:rsidR="001C3536">
        <w:t>.</w:t>
      </w:r>
    </w:p>
    <w:p w14:paraId="217F9211" w14:textId="294929AA" w:rsidR="00AA6825" w:rsidRPr="00533914" w:rsidRDefault="00AA6825" w:rsidP="008C6FB9">
      <w:pPr>
        <w:pStyle w:val="NumList1"/>
        <w:ind w:left="850" w:hanging="425"/>
      </w:pPr>
      <w:r w:rsidRPr="00533914">
        <w:t>Properly characteris</w:t>
      </w:r>
      <w:r w:rsidR="004707BF">
        <w:t>ing</w:t>
      </w:r>
      <w:r w:rsidRPr="00533914">
        <w:t xml:space="preserve"> the materials</w:t>
      </w:r>
      <w:r w:rsidR="0074700E">
        <w:t>’</w:t>
      </w:r>
      <w:r w:rsidRPr="00533914">
        <w:t xml:space="preserve"> properties for forgings and welds in terms of resistance to fracture</w:t>
      </w:r>
      <w:r w:rsidR="001C3536">
        <w:t>.</w:t>
      </w:r>
    </w:p>
    <w:p w14:paraId="21F9A3EC" w14:textId="3B6B07B8" w:rsidR="00AA6825" w:rsidRDefault="00AA6825" w:rsidP="008C6FB9">
      <w:pPr>
        <w:pStyle w:val="NumList1"/>
        <w:ind w:left="850" w:hanging="425"/>
      </w:pPr>
      <w:r w:rsidRPr="00533914">
        <w:lastRenderedPageBreak/>
        <w:t>Demonstrat</w:t>
      </w:r>
      <w:r w:rsidR="00676E16">
        <w:t xml:space="preserve">ing </w:t>
      </w:r>
      <w:r w:rsidRPr="00533914">
        <w:t>that highest reliability components are tolerant of defects</w:t>
      </w:r>
      <w:r w:rsidR="00676E16">
        <w:t>.</w:t>
      </w:r>
    </w:p>
    <w:p w14:paraId="76866440" w14:textId="05900AF0" w:rsidR="00B05E99" w:rsidRPr="00533914" w:rsidRDefault="00B05E99" w:rsidP="008C6FB9">
      <w:pPr>
        <w:pStyle w:val="NumList1"/>
        <w:ind w:left="850" w:hanging="425"/>
      </w:pPr>
      <w:r w:rsidRPr="00B05E99">
        <w:t>Use of standards for objective based qualification, specifically the European Network for Inspection Qualification (ENIQ) methodology, which in turn increases confidence in the ability to reliably detect defects of a certain size</w:t>
      </w:r>
      <w:r w:rsidR="00515411">
        <w:t>.</w:t>
      </w:r>
    </w:p>
    <w:p w14:paraId="01125374" w14:textId="095A2981" w:rsidR="00AA6825" w:rsidRPr="00533914" w:rsidRDefault="00AA6825" w:rsidP="008C6FB9">
      <w:pPr>
        <w:pStyle w:val="NumList1"/>
        <w:ind w:left="850" w:hanging="425"/>
      </w:pPr>
      <w:r w:rsidRPr="00533914">
        <w:t xml:space="preserve">Properly consider </w:t>
      </w:r>
      <w:r w:rsidR="0074700E">
        <w:t xml:space="preserve">the </w:t>
      </w:r>
      <w:r w:rsidRPr="00533914">
        <w:t>design for inspectability.</w:t>
      </w:r>
    </w:p>
    <w:p w14:paraId="380B28E0" w14:textId="2D7F8DF9" w:rsidR="00AA6825" w:rsidRPr="00533914" w:rsidRDefault="00254646" w:rsidP="005E5CA2">
      <w:pPr>
        <w:pStyle w:val="Heading2"/>
      </w:pPr>
      <w:bookmarkStart w:id="18" w:name="_Toc67214777"/>
      <w:bookmarkStart w:id="19" w:name="_Toc178776913"/>
      <w:r>
        <w:t>I</w:t>
      </w:r>
      <w:r w:rsidR="00AA6825" w:rsidRPr="00533914">
        <w:t>mpact</w:t>
      </w:r>
      <w:bookmarkEnd w:id="18"/>
      <w:bookmarkEnd w:id="19"/>
    </w:p>
    <w:p w14:paraId="1F2BDE89" w14:textId="25C1D8AA" w:rsidR="00AA6825" w:rsidRPr="00533914" w:rsidRDefault="00AA6825" w:rsidP="00AA6825">
      <w:r w:rsidRPr="00533914">
        <w:t>ONR’s regulatory expectations during GDA led directly to design changes. As an example, a short length of straight pipe was added to the primary coolant circuit meaning that the UK EPR has fewer welds that are not fully inspectable. It is ONR’s understanding that this modification will be taken forward in future deployments of the EPR.</w:t>
      </w:r>
      <w:r>
        <w:t xml:space="preserve"> Furthermore, the additional testing and analysis will have resulted in increased cost.</w:t>
      </w:r>
    </w:p>
    <w:p w14:paraId="441A7BC9" w14:textId="5F217FCE" w:rsidR="00AA6825" w:rsidRPr="00533914" w:rsidRDefault="00AA6825" w:rsidP="00AA6825">
      <w:pPr>
        <w:rPr>
          <w:noProof/>
        </w:rPr>
      </w:pPr>
      <w:r w:rsidRPr="00533914">
        <w:rPr>
          <w:noProof/>
        </w:rPr>
        <w:t>For highest reliability components, almost all countries expect some additional requirements beyond code compliance that are aligned to nuclear safety risk. ONR’s expectations are in accordance with the UK</w:t>
      </w:r>
      <w:r w:rsidR="00210609">
        <w:rPr>
          <w:noProof/>
        </w:rPr>
        <w:t>’s legal requirement to</w:t>
      </w:r>
      <w:r w:rsidRPr="00533914">
        <w:rPr>
          <w:noProof/>
        </w:rPr>
        <w:t xml:space="preserve"> reduc</w:t>
      </w:r>
      <w:r w:rsidR="00210609">
        <w:rPr>
          <w:noProof/>
        </w:rPr>
        <w:t>e</w:t>
      </w:r>
      <w:r w:rsidRPr="00533914">
        <w:rPr>
          <w:noProof/>
        </w:rPr>
        <w:t xml:space="preserve"> risks </w:t>
      </w:r>
      <w:r w:rsidR="001F4DE8" w:rsidRPr="00533914">
        <w:rPr>
          <w:noProof/>
        </w:rPr>
        <w:t>so far as is reasonably practicable</w:t>
      </w:r>
      <w:r w:rsidRPr="00533914">
        <w:rPr>
          <w:noProof/>
        </w:rPr>
        <w:t>. Highest reliability is how these expectations are embodied for structural integrity in the UK, and ONR engages nationally and internationally to explain, review</w:t>
      </w:r>
      <w:r w:rsidR="00142EF3">
        <w:rPr>
          <w:noProof/>
        </w:rPr>
        <w:t>, learn</w:t>
      </w:r>
      <w:r w:rsidRPr="00533914">
        <w:rPr>
          <w:noProof/>
        </w:rPr>
        <w:t xml:space="preserve"> and modernise the UK approach.</w:t>
      </w:r>
    </w:p>
    <w:p w14:paraId="470BADA1" w14:textId="66D1F489" w:rsidR="00AA6825" w:rsidRPr="00533914" w:rsidRDefault="00AA6825" w:rsidP="00AA6825">
      <w:pPr>
        <w:rPr>
          <w:noProof/>
        </w:rPr>
      </w:pPr>
      <w:r w:rsidRPr="00533914">
        <w:rPr>
          <w:noProof/>
        </w:rPr>
        <w:t>ONR’s expectations for HIC components are</w:t>
      </w:r>
      <w:r w:rsidR="002465C7">
        <w:rPr>
          <w:noProof/>
        </w:rPr>
        <w:t xml:space="preserve"> appropriately</w:t>
      </w:r>
      <w:r w:rsidRPr="00533914">
        <w:rPr>
          <w:noProof/>
        </w:rPr>
        <w:t xml:space="preserve"> </w:t>
      </w:r>
      <w:r w:rsidR="00DF67BE">
        <w:rPr>
          <w:noProof/>
        </w:rPr>
        <w:t>demanding</w:t>
      </w:r>
      <w:r w:rsidRPr="00533914">
        <w:rPr>
          <w:noProof/>
        </w:rPr>
        <w:t xml:space="preserve"> but fully-aligned with </w:t>
      </w:r>
      <w:r w:rsidR="00192148">
        <w:rPr>
          <w:noProof/>
        </w:rPr>
        <w:t>its</w:t>
      </w:r>
      <w:r w:rsidRPr="00533914">
        <w:rPr>
          <w:noProof/>
        </w:rPr>
        <w:t xml:space="preserve"> principles of proportionality and targeting of risk. These have driven improvements in nuclear safety that have been adopted globally.</w:t>
      </w:r>
    </w:p>
    <w:p w14:paraId="2610CAA3" w14:textId="48D3AC96" w:rsidR="00AA6825" w:rsidRPr="00533914" w:rsidRDefault="00AA6825" w:rsidP="00AA6825">
      <w:pPr>
        <w:rPr>
          <w:noProof/>
        </w:rPr>
      </w:pPr>
      <w:r w:rsidRPr="00533914">
        <w:rPr>
          <w:noProof/>
        </w:rPr>
        <w:t>Expectations for highest reliability have been clear, proportionate and consistent  before, during and after the GDA of the EPR</w:t>
      </w:r>
      <w:r w:rsidR="00D4454E">
        <w:rPr>
          <w:noProof/>
        </w:rPr>
        <w:t xml:space="preserve">, </w:t>
      </w:r>
      <w:r w:rsidR="00BC78AD">
        <w:rPr>
          <w:noProof/>
        </w:rPr>
        <w:t xml:space="preserve">and </w:t>
      </w:r>
      <w:r w:rsidR="00D4454E">
        <w:rPr>
          <w:noProof/>
        </w:rPr>
        <w:t xml:space="preserve">align with international </w:t>
      </w:r>
      <w:r w:rsidR="00BC78AD">
        <w:rPr>
          <w:noProof/>
        </w:rPr>
        <w:t>requirements.</w:t>
      </w:r>
    </w:p>
    <w:p w14:paraId="05F68492" w14:textId="58420134" w:rsidR="009D6034" w:rsidRDefault="00C57964" w:rsidP="00A97C89">
      <w:pPr>
        <w:pStyle w:val="Heading1"/>
      </w:pPr>
      <w:bookmarkStart w:id="20" w:name="_Toc309163867"/>
      <w:bookmarkStart w:id="21" w:name="_Toc2076531772"/>
      <w:bookmarkStart w:id="22" w:name="_Toc277045700"/>
      <w:bookmarkStart w:id="23" w:name="_Toc487324571"/>
      <w:bookmarkStart w:id="24" w:name="_Ref177731253"/>
      <w:bookmarkStart w:id="25" w:name="_Toc357404448"/>
      <w:bookmarkStart w:id="26" w:name="_Toc178776914"/>
      <w:r>
        <w:t>C</w:t>
      </w:r>
      <w:bookmarkEnd w:id="20"/>
      <w:bookmarkEnd w:id="21"/>
      <w:bookmarkEnd w:id="22"/>
      <w:bookmarkEnd w:id="23"/>
      <w:r>
        <w:t>ategorisation and Classification</w:t>
      </w:r>
      <w:bookmarkEnd w:id="24"/>
      <w:bookmarkEnd w:id="25"/>
      <w:bookmarkEnd w:id="26"/>
    </w:p>
    <w:p w14:paraId="3E78202D" w14:textId="4D988C12" w:rsidR="00A3343C" w:rsidRDefault="00C5032E" w:rsidP="00EA236F">
      <w:pPr>
        <w:pStyle w:val="Heading2"/>
      </w:pPr>
      <w:bookmarkStart w:id="27" w:name="_Toc178776915"/>
      <w:bookmarkStart w:id="28" w:name="_Hlk175732215"/>
      <w:r>
        <w:t>Overview</w:t>
      </w:r>
      <w:bookmarkEnd w:id="27"/>
    </w:p>
    <w:p w14:paraId="217745C0" w14:textId="77777777" w:rsidR="00732B5D" w:rsidRDefault="00732B5D" w:rsidP="003F26B9">
      <w:r>
        <w:t xml:space="preserve">There is a fundamental expectation, embodied in both UK and international regulatory guidance, that power reactors should be designed to assure the delivery of three fundamental safety functions: </w:t>
      </w:r>
    </w:p>
    <w:p w14:paraId="77BBA3B3" w14:textId="3D52326E" w:rsidR="00732B5D" w:rsidRDefault="001F4DE8" w:rsidP="008075D2">
      <w:pPr>
        <w:pStyle w:val="Bulletlist1"/>
        <w:numPr>
          <w:ilvl w:val="0"/>
          <w:numId w:val="44"/>
        </w:numPr>
        <w:ind w:left="850" w:hanging="425"/>
      </w:pPr>
      <w:r>
        <w:t>C</w:t>
      </w:r>
      <w:r w:rsidR="00732B5D">
        <w:t>ontrol of reactivity</w:t>
      </w:r>
      <w:r w:rsidR="00C5032E">
        <w:t>.</w:t>
      </w:r>
    </w:p>
    <w:p w14:paraId="7483F8C5" w14:textId="182B1C14" w:rsidR="005A157A" w:rsidRDefault="001F4DE8" w:rsidP="008075D2">
      <w:pPr>
        <w:pStyle w:val="Bulletlist1"/>
        <w:numPr>
          <w:ilvl w:val="0"/>
          <w:numId w:val="44"/>
        </w:numPr>
        <w:ind w:left="850" w:hanging="425"/>
      </w:pPr>
      <w:r>
        <w:t>R</w:t>
      </w:r>
      <w:r w:rsidR="005A157A">
        <w:t>emoval of heat from the core</w:t>
      </w:r>
      <w:r w:rsidR="00C5032E">
        <w:t>.</w:t>
      </w:r>
    </w:p>
    <w:p w14:paraId="05EB8964" w14:textId="1251D914" w:rsidR="005A157A" w:rsidRDefault="001F4DE8" w:rsidP="008075D2">
      <w:pPr>
        <w:pStyle w:val="Bulletlist1"/>
        <w:numPr>
          <w:ilvl w:val="0"/>
          <w:numId w:val="44"/>
        </w:numPr>
        <w:ind w:left="850" w:hanging="425"/>
      </w:pPr>
      <w:r>
        <w:t>C</w:t>
      </w:r>
      <w:r w:rsidR="005A157A">
        <w:t>onfinement of radioactive material.</w:t>
      </w:r>
    </w:p>
    <w:p w14:paraId="74ED54F7" w14:textId="77777777" w:rsidR="008075D2" w:rsidRDefault="008075D2" w:rsidP="005A157A"/>
    <w:p w14:paraId="3802837E" w14:textId="60749E64" w:rsidR="005A157A" w:rsidRDefault="005A157A" w:rsidP="005A157A">
      <w:r>
        <w:lastRenderedPageBreak/>
        <w:t>These fundamental safety functions can be broken down into more specific sub-functions through a top-down analysis of functional requirements. The process is usually continued to a point where safety functions can be associated with structures, systems and components (SSCs) delivering those functions within a reactor design. The identification and categorisation of these safety functions</w:t>
      </w:r>
      <w:r w:rsidR="001F4DE8">
        <w:t>,</w:t>
      </w:r>
      <w:r>
        <w:t xml:space="preserve"> and the classification of SSCs delivering the functions</w:t>
      </w:r>
      <w:r w:rsidR="001F4DE8">
        <w:t>,</w:t>
      </w:r>
      <w:r>
        <w:t xml:space="preserve"> plays an important role in assuring that adequate levels of fault tolerance are provided.</w:t>
      </w:r>
    </w:p>
    <w:p w14:paraId="5036D01C" w14:textId="1F9F0BC1" w:rsidR="00247B2F" w:rsidRDefault="005A157A" w:rsidP="00247B2F">
      <w:r>
        <w:t xml:space="preserve">ONR SAPs state that safety functions should be identified and </w:t>
      </w:r>
      <w:r w:rsidRPr="00FB7C62">
        <w:rPr>
          <w:u w:val="single"/>
        </w:rPr>
        <w:t>categorised</w:t>
      </w:r>
      <w:r>
        <w:t xml:space="preserve"> based on their safety significance, (ECS.1) and that SSCs delivering those functions should be identified and </w:t>
      </w:r>
      <w:r w:rsidRPr="00FB7C62">
        <w:rPr>
          <w:u w:val="single"/>
        </w:rPr>
        <w:t xml:space="preserve">classified </w:t>
      </w:r>
      <w:r>
        <w:t>based on the safety significance of the functions they deliver (ECS.2). The classification assigned to a particular SSC should then determine the codes and standards by which it is designed, manufactured, constructed, installed, commissioned, quality</w:t>
      </w:r>
      <w:r w:rsidR="00DF5DF3">
        <w:t>-</w:t>
      </w:r>
      <w:r>
        <w:t xml:space="preserve">assured, maintained, tested and inspected (ECS.3). Overall, the UK approach is graded such that the most demanding standards are applied to those SSCs delivering safety functions having the highest safety significance, whilst </w:t>
      </w:r>
      <w:r w:rsidR="00C247CE">
        <w:t xml:space="preserve">other </w:t>
      </w:r>
      <w:r>
        <w:t>appropriate standards are applied to those SSCs having a lesser safety significance.</w:t>
      </w:r>
      <w:r w:rsidR="00247B2F" w:rsidRPr="00247B2F">
        <w:t xml:space="preserve"> </w:t>
      </w:r>
    </w:p>
    <w:p w14:paraId="6A6624E1" w14:textId="1EC60B65" w:rsidR="00355247" w:rsidRDefault="00247B2F" w:rsidP="00355247">
      <w:r>
        <w:t xml:space="preserve">During Step 3 of the EPR GDA, ONR </w:t>
      </w:r>
      <w:r w:rsidR="00BC1301">
        <w:t xml:space="preserve">confirmed </w:t>
      </w:r>
      <w:r>
        <w:t xml:space="preserve">that aspects of the methodology for categorisation and classification proposed by EDF and AREVA were not </w:t>
      </w:r>
      <w:r w:rsidR="00F23B4A">
        <w:t>fully</w:t>
      </w:r>
      <w:r w:rsidR="009A1908">
        <w:t>-</w:t>
      </w:r>
      <w:r>
        <w:t>aligned with UK expectations,</w:t>
      </w:r>
      <w:r w:rsidRPr="1C058A3B">
        <w:rPr>
          <w:rFonts w:asciiTheme="minorHAnsi" w:eastAsiaTheme="minorEastAsia" w:hAnsiTheme="minorHAnsi" w:cstheme="minorBidi"/>
        </w:rPr>
        <w:t xml:space="preserve"> </w:t>
      </w:r>
      <w:r w:rsidRPr="0B0AA423">
        <w:rPr>
          <w:rFonts w:asciiTheme="minorHAnsi" w:eastAsiaTheme="minorEastAsia" w:hAnsiTheme="minorHAnsi" w:cstheme="minorBidi"/>
          <w:color w:val="242424"/>
        </w:rPr>
        <w:t xml:space="preserve">which </w:t>
      </w:r>
      <w:r w:rsidR="00ED48F1">
        <w:rPr>
          <w:rFonts w:asciiTheme="minorHAnsi" w:eastAsiaTheme="minorEastAsia" w:hAnsiTheme="minorHAnsi" w:cstheme="minorBidi"/>
          <w:color w:val="242424"/>
        </w:rPr>
        <w:t>are</w:t>
      </w:r>
      <w:r w:rsidRPr="0B0AA423">
        <w:rPr>
          <w:rFonts w:asciiTheme="minorHAnsi" w:eastAsiaTheme="minorEastAsia" w:hAnsiTheme="minorHAnsi" w:cstheme="minorBidi"/>
          <w:color w:val="242424"/>
        </w:rPr>
        <w:t xml:space="preserve"> consistent with IAEA standards SSG-30</w:t>
      </w:r>
      <w:r>
        <w:t xml:space="preserve"> (see RO-UKEPR-43 </w:t>
      </w:r>
      <w:sdt>
        <w:sdtPr>
          <w:id w:val="-1955791194"/>
          <w:citation/>
        </w:sdtPr>
        <w:sdtContent>
          <w:r>
            <w:fldChar w:fldCharType="begin"/>
          </w:r>
          <w:r>
            <w:instrText xml:space="preserve"> CITATION ROUKEPR43 \l 2057 </w:instrText>
          </w:r>
          <w:r>
            <w:fldChar w:fldCharType="separate"/>
          </w:r>
          <w:r w:rsidRPr="00D239CE">
            <w:rPr>
              <w:noProof/>
            </w:rPr>
            <w:t>[6]</w:t>
          </w:r>
          <w:r>
            <w:fldChar w:fldCharType="end"/>
          </w:r>
        </w:sdtContent>
      </w:sdt>
      <w:r>
        <w:t>).</w:t>
      </w:r>
      <w:r w:rsidR="00452C17" w:rsidRPr="00452C17">
        <w:t xml:space="preserve"> </w:t>
      </w:r>
      <w:r w:rsidR="00452C17">
        <w:t>The shortfalls included that functional categorisation should be distinct from but strongly linked to the SSC classification, and that methodologies should be applied consistently to all SSCs</w:t>
      </w:r>
      <w:r w:rsidR="0041450D">
        <w:t>.</w:t>
      </w:r>
      <w:r w:rsidR="004C0C08" w:rsidRPr="004C0C08">
        <w:t xml:space="preserve"> </w:t>
      </w:r>
      <w:r w:rsidR="00532A9B">
        <w:t>Furthermore,</w:t>
      </w:r>
      <w:r w:rsidR="004C0C08">
        <w:t xml:space="preserve"> some systems were under</w:t>
      </w:r>
      <w:r w:rsidR="00FB5FA8">
        <w:t>-</w:t>
      </w:r>
      <w:r w:rsidR="004C0C08">
        <w:t>classified, potentially affecting their reliability</w:t>
      </w:r>
      <w:r w:rsidR="00532A9B">
        <w:t>.</w:t>
      </w:r>
      <w:r w:rsidR="00355247" w:rsidRPr="00355247">
        <w:t xml:space="preserve"> </w:t>
      </w:r>
    </w:p>
    <w:p w14:paraId="2A2A863E" w14:textId="619A4D45" w:rsidR="00355247" w:rsidRDefault="00355247" w:rsidP="00355247">
      <w:r>
        <w:t>EDF and AREVA revised their methodology which led to some design changes</w:t>
      </w:r>
      <w:r w:rsidR="000B1911">
        <w:t>,</w:t>
      </w:r>
      <w:r>
        <w:t xml:space="preserve"> although most SSCs remained the same. </w:t>
      </w:r>
      <w:r w:rsidR="00056B8C">
        <w:t xml:space="preserve">The </w:t>
      </w:r>
      <w:r w:rsidR="00F23B4A" w:rsidRPr="00F23B4A">
        <w:t xml:space="preserve">design changes </w:t>
      </w:r>
      <w:r w:rsidR="00056B8C">
        <w:t xml:space="preserve">were </w:t>
      </w:r>
      <w:r w:rsidR="00F23B4A" w:rsidRPr="00F23B4A">
        <w:t>in the following areas</w:t>
      </w:r>
      <w:r>
        <w:t>:</w:t>
      </w:r>
    </w:p>
    <w:p w14:paraId="3C6CCADF" w14:textId="285734D2" w:rsidR="00355247" w:rsidRDefault="00355247" w:rsidP="00956551">
      <w:pPr>
        <w:pStyle w:val="Bulletlist1"/>
        <w:numPr>
          <w:ilvl w:val="0"/>
          <w:numId w:val="45"/>
        </w:numPr>
        <w:ind w:left="850" w:hanging="425"/>
      </w:pPr>
      <w:r>
        <w:t>Requirements for pressurised mechanical components</w:t>
      </w:r>
      <w:r w:rsidR="009B09B5">
        <w:t>.</w:t>
      </w:r>
    </w:p>
    <w:p w14:paraId="34AF9864" w14:textId="77777777" w:rsidR="00355247" w:rsidRDefault="00355247" w:rsidP="00956551">
      <w:pPr>
        <w:pStyle w:val="Bulletlist1"/>
        <w:numPr>
          <w:ilvl w:val="0"/>
          <w:numId w:val="45"/>
        </w:numPr>
        <w:ind w:left="850" w:hanging="425"/>
      </w:pPr>
      <w:r>
        <w:t>Classification of diverse lines of protection.</w:t>
      </w:r>
    </w:p>
    <w:p w14:paraId="4F7603D4" w14:textId="77777777" w:rsidR="00355247" w:rsidRDefault="00355247" w:rsidP="00956551">
      <w:pPr>
        <w:pStyle w:val="Bulletlist1"/>
        <w:numPr>
          <w:ilvl w:val="0"/>
          <w:numId w:val="45"/>
        </w:numPr>
        <w:ind w:left="850" w:hanging="425"/>
      </w:pPr>
      <w:r>
        <w:t>Classification of C&amp;I.</w:t>
      </w:r>
    </w:p>
    <w:p w14:paraId="7D7DAB23" w14:textId="77777777" w:rsidR="00355247" w:rsidRDefault="00355247" w:rsidP="00956551">
      <w:pPr>
        <w:pStyle w:val="Bulletlist1"/>
        <w:numPr>
          <w:ilvl w:val="0"/>
          <w:numId w:val="45"/>
        </w:numPr>
        <w:ind w:left="850" w:hanging="425"/>
      </w:pPr>
      <w:r>
        <w:t>Classification of spent fuel pool cooling system.</w:t>
      </w:r>
    </w:p>
    <w:p w14:paraId="591B56B9" w14:textId="77777777" w:rsidR="00355247" w:rsidRDefault="00355247" w:rsidP="00956551">
      <w:pPr>
        <w:pStyle w:val="Bulletlist1"/>
        <w:numPr>
          <w:ilvl w:val="0"/>
          <w:numId w:val="45"/>
        </w:numPr>
        <w:ind w:left="850" w:hanging="425"/>
      </w:pPr>
      <w:r>
        <w:t>Classification of electrical SSCs.</w:t>
      </w:r>
    </w:p>
    <w:p w14:paraId="08DADE89" w14:textId="217E39EB" w:rsidR="00355247" w:rsidRDefault="00355247" w:rsidP="00355247">
      <w:pPr>
        <w:pStyle w:val="Bulletlist2"/>
      </w:pPr>
      <w:r>
        <w:t>The revised method</w:t>
      </w:r>
      <w:r w:rsidR="00F23B4A">
        <w:t>ology was applied beyond these areas</w:t>
      </w:r>
      <w:r>
        <w:t xml:space="preserve">, for example </w:t>
      </w:r>
      <w:r w:rsidR="00F23B4A">
        <w:t xml:space="preserve">to </w:t>
      </w:r>
      <w:r>
        <w:t xml:space="preserve">duty systems, civil structures and hazards, </w:t>
      </w:r>
      <w:r w:rsidR="00F23B4A">
        <w:t>but with the result that</w:t>
      </w:r>
      <w:r>
        <w:t xml:space="preserve"> no design changes were identified.</w:t>
      </w:r>
    </w:p>
    <w:p w14:paraId="2DCCF47A" w14:textId="77777777" w:rsidR="006343C7" w:rsidRDefault="006343C7" w:rsidP="00355247">
      <w:pPr>
        <w:pStyle w:val="Bulletlist2"/>
      </w:pPr>
    </w:p>
    <w:p w14:paraId="7304669E" w14:textId="77777777" w:rsidR="007C7106" w:rsidRPr="00533914" w:rsidRDefault="007C7106" w:rsidP="007C7106">
      <w:pPr>
        <w:pStyle w:val="Heading2"/>
      </w:pPr>
      <w:bookmarkStart w:id="29" w:name="_Toc178776916"/>
      <w:r>
        <w:lastRenderedPageBreak/>
        <w:t>Differences in regulatory approaches</w:t>
      </w:r>
      <w:bookmarkEnd w:id="29"/>
    </w:p>
    <w:p w14:paraId="6A16FB54" w14:textId="7864C5AE" w:rsidR="00F23B4A" w:rsidRDefault="00F23B4A" w:rsidP="00876AEE">
      <w:r>
        <w:t xml:space="preserve">Most regulators </w:t>
      </w:r>
      <w:r w:rsidR="0036188A">
        <w:t>expect</w:t>
      </w:r>
      <w:r>
        <w:t xml:space="preserve"> a three-tier approach to categorisation and classification</w:t>
      </w:r>
      <w:r w:rsidR="00E17195">
        <w:t>, and</w:t>
      </w:r>
      <w:r w:rsidR="009C135D">
        <w:t xml:space="preserve"> </w:t>
      </w:r>
      <w:r>
        <w:t xml:space="preserve">the UK and France are consistent in this respect. However, in some countries the approach is driven by consideration of front-line safety systems associated the operation of the reactor core at power.  </w:t>
      </w:r>
    </w:p>
    <w:p w14:paraId="428A9A3C" w14:textId="2EAFE846" w:rsidR="0063175E" w:rsidRDefault="00F23B4A" w:rsidP="00876AEE">
      <w:r w:rsidRPr="003A4D72">
        <w:t>In the UK, with our non-prescriptive</w:t>
      </w:r>
      <w:r w:rsidR="000B2431" w:rsidRPr="003A4D72">
        <w:t>,</w:t>
      </w:r>
      <w:r w:rsidRPr="003A4D72">
        <w:t xml:space="preserve"> goal</w:t>
      </w:r>
      <w:r w:rsidR="00F41BE2">
        <w:t>-</w:t>
      </w:r>
      <w:r w:rsidRPr="003A4D72">
        <w:t xml:space="preserve">orientated regulatory approach that is not just focused </w:t>
      </w:r>
      <w:r w:rsidR="000B2431" w:rsidRPr="003A4D72">
        <w:t xml:space="preserve">on </w:t>
      </w:r>
      <w:r w:rsidRPr="003A4D72">
        <w:t xml:space="preserve">power reactors, we expect consideration to be given to support systems </w:t>
      </w:r>
      <w:r w:rsidR="000B2431" w:rsidRPr="003A4D72">
        <w:t>that</w:t>
      </w:r>
      <w:r w:rsidRPr="003A4D72">
        <w:t xml:space="preserve"> ensure front line safety systems can operate</w:t>
      </w:r>
      <w:r w:rsidR="006B44CB" w:rsidRPr="003A4D72">
        <w:t>,</w:t>
      </w:r>
      <w:r w:rsidRPr="003A4D72">
        <w:t xml:space="preserve"> and to systems that ensure safety away from the reactor but where a significant radiological hazard still needs to be managed (for example the spent fuel pool).</w:t>
      </w:r>
      <w:bookmarkStart w:id="30" w:name="_Toc177747065"/>
      <w:bookmarkStart w:id="31" w:name="_Toc1245741163"/>
    </w:p>
    <w:p w14:paraId="3369D89B" w14:textId="5A6B8870" w:rsidR="005B43E8" w:rsidRDefault="005B43E8" w:rsidP="005B43E8">
      <w:pPr>
        <w:pStyle w:val="Heading2"/>
      </w:pPr>
      <w:bookmarkStart w:id="32" w:name="_Toc178776917"/>
      <w:r w:rsidRPr="0063175E">
        <w:t>Safety benefit</w:t>
      </w:r>
      <w:bookmarkEnd w:id="32"/>
    </w:p>
    <w:p w14:paraId="63D3DDE5" w14:textId="639D8104" w:rsidR="005B43E8" w:rsidRPr="0076537E" w:rsidRDefault="005B43E8" w:rsidP="00876AEE">
      <w:r w:rsidRPr="0076537E">
        <w:t>Implementation by EDF and AREVA of its revised approach significantly improved the robustness of the UK EPR design in areas such as spent fuel pond cooling, the make</w:t>
      </w:r>
      <w:r w:rsidRPr="00D970FF">
        <w:rPr>
          <w:rFonts w:ascii="Cambria Math" w:hAnsi="Cambria Math" w:cs="Cambria Math"/>
        </w:rPr>
        <w:t>‐</w:t>
      </w:r>
      <w:r w:rsidRPr="0076537E">
        <w:t xml:space="preserve">up water plant and the ultimate diesel generators. In some cases, this has led to the provision of equipment of a higher reliability than that initially proposed. This has a lasting benefit, not just during design and procurement phases, but also throughout the operational life of the EPR, for example during maintenance activities or when systems need to be replaced over time.  </w:t>
      </w:r>
    </w:p>
    <w:p w14:paraId="1C909586" w14:textId="34B37050" w:rsidR="005B43E8" w:rsidRDefault="005B43E8" w:rsidP="0063175E">
      <w:pPr>
        <w:pStyle w:val="Heading2"/>
      </w:pPr>
      <w:bookmarkStart w:id="33" w:name="_Toc178776918"/>
      <w:r>
        <w:t>Impact</w:t>
      </w:r>
      <w:bookmarkEnd w:id="33"/>
    </w:p>
    <w:bookmarkEnd w:id="30"/>
    <w:bookmarkEnd w:id="31"/>
    <w:p w14:paraId="1CD55D60" w14:textId="23A8DF5D" w:rsidR="00683CA7" w:rsidRPr="00683CA7" w:rsidRDefault="00635785" w:rsidP="00B649B4">
      <w:r w:rsidRPr="00635785">
        <w:t xml:space="preserve">The design changes were proposed by the </w:t>
      </w:r>
      <w:r w:rsidR="00AE487D">
        <w:t>EDF and AREVA</w:t>
      </w:r>
      <w:r w:rsidR="003C5C44" w:rsidRPr="00635785">
        <w:t xml:space="preserve"> </w:t>
      </w:r>
      <w:r w:rsidRPr="00635785">
        <w:t xml:space="preserve">and agreed by ONR prior to the issue of the </w:t>
      </w:r>
      <w:r w:rsidR="008A6130">
        <w:t xml:space="preserve">GDA </w:t>
      </w:r>
      <w:r w:rsidR="005A72C2">
        <w:t>Design Acceptance Confirmation (</w:t>
      </w:r>
      <w:r w:rsidRPr="00635785">
        <w:t>DAC</w:t>
      </w:r>
      <w:r w:rsidR="005A72C2">
        <w:t>)</w:t>
      </w:r>
      <w:r w:rsidRPr="00635785">
        <w:t xml:space="preserve">. </w:t>
      </w:r>
      <w:r w:rsidR="00B115B6" w:rsidRPr="00B115B6">
        <w:t>The changes adopted were not prescribed by ONR but came from the systematic application of the categorisation and classification methodology proposed by EDF and AREVA, to address the regulatory challenges raised by ONR on the adequacy of the original methodology. The design and requirements of most EPR systems were unchanged by the revised approach.</w:t>
      </w:r>
    </w:p>
    <w:p w14:paraId="370BDC0F" w14:textId="57A0B02B" w:rsidR="00A5100A" w:rsidRDefault="00F71F21" w:rsidP="007D0930">
      <w:pPr>
        <w:pStyle w:val="Heading1"/>
        <w:ind w:right="-330"/>
      </w:pPr>
      <w:bookmarkStart w:id="34" w:name="_Ref177731239"/>
      <w:bookmarkStart w:id="35" w:name="_Toc114094932"/>
      <w:bookmarkStart w:id="36" w:name="_Toc178776919"/>
      <w:bookmarkEnd w:id="28"/>
      <w:r w:rsidRPr="00F71F21">
        <w:t xml:space="preserve">Control </w:t>
      </w:r>
      <w:r w:rsidR="002C5EBF">
        <w:t>and</w:t>
      </w:r>
      <w:r w:rsidRPr="00F71F21">
        <w:t xml:space="preserve"> Instrumentation </w:t>
      </w:r>
      <w:r w:rsidR="002C5EBF">
        <w:t>A</w:t>
      </w:r>
      <w:r w:rsidRPr="00F71F21">
        <w:t>rchitecture</w:t>
      </w:r>
      <w:bookmarkEnd w:id="34"/>
      <w:bookmarkEnd w:id="35"/>
      <w:bookmarkEnd w:id="36"/>
    </w:p>
    <w:p w14:paraId="4893F184" w14:textId="2E99FCC4" w:rsidR="00F71F21" w:rsidRDefault="00AB6F89" w:rsidP="00EA236F">
      <w:pPr>
        <w:pStyle w:val="Heading2"/>
      </w:pPr>
      <w:bookmarkStart w:id="37" w:name="_Toc178776920"/>
      <w:bookmarkStart w:id="38" w:name="_Hlk175732326"/>
      <w:r>
        <w:t>Overview</w:t>
      </w:r>
      <w:bookmarkEnd w:id="37"/>
    </w:p>
    <w:p w14:paraId="359D74B3" w14:textId="17F90776" w:rsidR="00A556FB" w:rsidRDefault="00A556FB" w:rsidP="00EA236F">
      <w:pPr>
        <w:pStyle w:val="Heading3"/>
      </w:pPr>
      <w:r w:rsidRPr="00A556FB">
        <w:t>Control &amp; Instrumentation and safety functions</w:t>
      </w:r>
    </w:p>
    <w:p w14:paraId="29EF38AD" w14:textId="45EB5B8C" w:rsidR="00CA554C" w:rsidRDefault="00CA554C" w:rsidP="00CA554C">
      <w:r>
        <w:t>The control and instrumentation (C&amp;I) systems of a nuclear power plant allow the operators to monitor and control the plant from the control room.</w:t>
      </w:r>
      <w:r w:rsidR="00F636D2">
        <w:t xml:space="preserve"> </w:t>
      </w:r>
      <w:r>
        <w:t>The</w:t>
      </w:r>
      <w:r w:rsidR="00F636D2">
        <w:t>y</w:t>
      </w:r>
      <w:r>
        <w:t xml:space="preserve"> also perform automatic safety functions </w:t>
      </w:r>
      <w:r w:rsidR="00AE343C">
        <w:t>that</w:t>
      </w:r>
      <w:r>
        <w:t xml:space="preserve"> step in if the plant conditions go beyond normal limits. These include the automatic reactor trip (scram) which rapidly shuts down the reactor.</w:t>
      </w:r>
    </w:p>
    <w:p w14:paraId="595E0822" w14:textId="3EC88048" w:rsidR="00CA554C" w:rsidRDefault="00CA554C" w:rsidP="00CA554C">
      <w:r>
        <w:lastRenderedPageBreak/>
        <w:t xml:space="preserve">If something goes wrong with the plant, these C&amp;I safety functions are a barrier that stops the chain of events before there are significant consequences for the plant, environment, </w:t>
      </w:r>
      <w:r w:rsidR="00A7240F">
        <w:t>workers</w:t>
      </w:r>
      <w:r>
        <w:t xml:space="preserve"> or public.</w:t>
      </w:r>
    </w:p>
    <w:p w14:paraId="52ECE303" w14:textId="3A31F8A3" w:rsidR="00CA554C" w:rsidRDefault="00CA554C" w:rsidP="00CA554C">
      <w:r>
        <w:t>These safety functions are essential to the safety of the power station. Designers, operators, and regulators like ONR need to be confident that these systems will work correctly if they are ever needed.</w:t>
      </w:r>
    </w:p>
    <w:p w14:paraId="388D4424" w14:textId="77777777" w:rsidR="0014232D" w:rsidRDefault="0014232D" w:rsidP="00EA236F">
      <w:pPr>
        <w:pStyle w:val="Heading3"/>
      </w:pPr>
      <w:r>
        <w:t>C&amp;I architecture, independence and diversity</w:t>
      </w:r>
    </w:p>
    <w:p w14:paraId="1E7BE728" w14:textId="77777777" w:rsidR="0014232D" w:rsidRDefault="0014232D" w:rsidP="0014232D">
      <w:r>
        <w:t>A nuclear power plant has a number of C&amp;I systems that work together to provide all of the functionality that is needed. The arrangement of these systems, and how they communicate with each other, is known as the C&amp;I architecture.</w:t>
      </w:r>
    </w:p>
    <w:p w14:paraId="125FA75A" w14:textId="70B4B4EF" w:rsidR="0014232D" w:rsidRDefault="0056271A" w:rsidP="0014232D">
      <w:r>
        <w:t xml:space="preserve">Where the potential nuclear safety </w:t>
      </w:r>
      <w:r w:rsidR="0014232D">
        <w:t xml:space="preserve">consequences </w:t>
      </w:r>
      <w:r>
        <w:t xml:space="preserve">of the C&amp;I system failing to work correctly following a </w:t>
      </w:r>
      <w:r w:rsidR="003C5C44">
        <w:t>fault on the reactor plant</w:t>
      </w:r>
      <w:r>
        <w:t xml:space="preserve"> </w:t>
      </w:r>
      <w:r w:rsidR="0014232D">
        <w:t xml:space="preserve">are high, the C&amp;I architecture is designed so that there is more than one system delivering the objective of the safety function. That way, in the unlikely circumstances that one system fails, another system can still stop </w:t>
      </w:r>
      <w:r>
        <w:t xml:space="preserve">an accident </w:t>
      </w:r>
      <w:r w:rsidR="0014232D">
        <w:t>sequence by itself.</w:t>
      </w:r>
    </w:p>
    <w:p w14:paraId="7AA3D58C" w14:textId="37070EA6" w:rsidR="0014232D" w:rsidRDefault="0014232D" w:rsidP="0014232D">
      <w:r>
        <w:t xml:space="preserve">This philosophy requires independence between the C&amp;I systems delivering the safety function. If they are not independent, then there is a possibility that a fault in one system could affect the other system and stop </w:t>
      </w:r>
      <w:r w:rsidR="005A257A">
        <w:t xml:space="preserve">both </w:t>
      </w:r>
      <w:r>
        <w:t>safety function</w:t>
      </w:r>
      <w:r w:rsidR="005A257A">
        <w:t>s</w:t>
      </w:r>
      <w:r>
        <w:t xml:space="preserve"> working.</w:t>
      </w:r>
    </w:p>
    <w:p w14:paraId="7A44625A" w14:textId="2A1C4C19" w:rsidR="0014232D" w:rsidRDefault="0014232D" w:rsidP="0014232D">
      <w:r>
        <w:t>The principle of independence within C&amp;I architectures is internationally</w:t>
      </w:r>
      <w:r w:rsidR="00CA5A78">
        <w:t>-</w:t>
      </w:r>
      <w:r>
        <w:t xml:space="preserve">recognised good practice. For example, </w:t>
      </w:r>
      <w:r w:rsidR="00F0005F">
        <w:t>S</w:t>
      </w:r>
      <w:r>
        <w:t xml:space="preserve">ection 4 of the </w:t>
      </w:r>
      <w:r w:rsidR="0056271A">
        <w:t>IAEA</w:t>
      </w:r>
      <w:r>
        <w:t xml:space="preserve"> specific safety guide “Design of Instrumentation and Control Systems for Nuclear Power Plants” </w:t>
      </w:r>
      <w:sdt>
        <w:sdtPr>
          <w:id w:val="-1067411708"/>
          <w:citation/>
        </w:sdtPr>
        <w:sdtContent>
          <w:r w:rsidR="009423AC">
            <w:fldChar w:fldCharType="begin"/>
          </w:r>
          <w:r w:rsidR="009423AC">
            <w:instrText xml:space="preserve"> CITATION SSG39 \l 2057 </w:instrText>
          </w:r>
          <w:r w:rsidR="009423AC">
            <w:fldChar w:fldCharType="separate"/>
          </w:r>
          <w:r w:rsidR="00D239CE" w:rsidRPr="00D239CE">
            <w:rPr>
              <w:noProof/>
            </w:rPr>
            <w:t>[9]</w:t>
          </w:r>
          <w:r w:rsidR="009423AC">
            <w:fldChar w:fldCharType="end"/>
          </w:r>
        </w:sdtContent>
      </w:sdt>
      <w:r w:rsidR="009423AC">
        <w:t xml:space="preserve"> </w:t>
      </w:r>
      <w:r>
        <w:t>discusses independence.</w:t>
      </w:r>
    </w:p>
    <w:p w14:paraId="2C7E18B3" w14:textId="1AA02E7B" w:rsidR="0014232D" w:rsidRDefault="0014232D" w:rsidP="0014232D">
      <w:r>
        <w:t>Diversity is part of the independence principle. In this context, diversity is about ensuring that two systems do not have common features that could mean they are both affected by the same fault at the same time</w:t>
      </w:r>
      <w:r w:rsidR="00697737">
        <w:t>,</w:t>
      </w:r>
      <w:r>
        <w:t xml:space="preserve"> </w:t>
      </w:r>
      <w:r w:rsidR="00697737">
        <w:t xml:space="preserve">known as </w:t>
      </w:r>
      <w:r>
        <w:t>a common cause failure.</w:t>
      </w:r>
    </w:p>
    <w:p w14:paraId="7C864432" w14:textId="1FFEA336" w:rsidR="0014232D" w:rsidRDefault="0014232D" w:rsidP="0014232D">
      <w:r>
        <w:t>Diversity is a solution to common cause failure. The concept is that if two systems are sufficiently diverse, they won’t both contain the same errors, reducing the chances of a common cause failure</w:t>
      </w:r>
      <w:r w:rsidR="00CF6BB6">
        <w:t xml:space="preserve"> and both systems being unavailable</w:t>
      </w:r>
      <w:r>
        <w:t>.</w:t>
      </w:r>
    </w:p>
    <w:p w14:paraId="45F322B5" w14:textId="2EF2B412" w:rsidR="0014232D" w:rsidRDefault="0014232D" w:rsidP="0014232D">
      <w:r>
        <w:t xml:space="preserve">Computer based systems use software. It is widely accepted that software can contain errors, or ‘bugs’. A great deal of effort goes into minimising the risk of bugs in nuclear C&amp;I </w:t>
      </w:r>
      <w:r w:rsidR="00060B1A">
        <w:t>software;</w:t>
      </w:r>
      <w:r w:rsidR="00D97273">
        <w:t xml:space="preserve"> h</w:t>
      </w:r>
      <w:r>
        <w:t>owever, the risk cannot be zero. These types of errors are hard to find</w:t>
      </w:r>
      <w:r w:rsidR="00FA3DDE">
        <w:t>,</w:t>
      </w:r>
      <w:r>
        <w:t xml:space="preserve"> can lie hidden for a long time</w:t>
      </w:r>
      <w:r w:rsidR="00072B92">
        <w:t>, and</w:t>
      </w:r>
      <w:r>
        <w:t xml:space="preserve"> </w:t>
      </w:r>
      <w:r w:rsidR="00072B92">
        <w:t>i</w:t>
      </w:r>
      <w:r>
        <w:t>t might take a very specific set of circumstances to reveal them.</w:t>
      </w:r>
    </w:p>
    <w:p w14:paraId="1B874D00" w14:textId="77777777" w:rsidR="0014232D" w:rsidRDefault="0014232D" w:rsidP="00EA236F">
      <w:pPr>
        <w:pStyle w:val="Heading3"/>
      </w:pPr>
      <w:r>
        <w:t>Shortfall</w:t>
      </w:r>
    </w:p>
    <w:p w14:paraId="30A1CB46" w14:textId="6CFCC637" w:rsidR="0014232D" w:rsidRDefault="0014232D" w:rsidP="0014232D">
      <w:r>
        <w:t xml:space="preserve">ONR assessed the C&amp;I architecture of the </w:t>
      </w:r>
      <w:r w:rsidR="0056271A">
        <w:t>EPR design initially proposed for the UK</w:t>
      </w:r>
      <w:r>
        <w:t xml:space="preserve"> during GDA</w:t>
      </w:r>
      <w:r w:rsidR="00072B92">
        <w:t xml:space="preserve"> and determined that the</w:t>
      </w:r>
      <w:r>
        <w:t xml:space="preserve"> design did not satisfy the independence principle. This was because of:</w:t>
      </w:r>
    </w:p>
    <w:p w14:paraId="4A0000D7" w14:textId="4164B7C0" w:rsidR="0014232D" w:rsidRDefault="0014232D" w:rsidP="000F14F6">
      <w:pPr>
        <w:pStyle w:val="Bulletlist1"/>
        <w:numPr>
          <w:ilvl w:val="0"/>
          <w:numId w:val="46"/>
        </w:numPr>
        <w:ind w:left="850" w:hanging="425"/>
      </w:pPr>
      <w:r>
        <w:lastRenderedPageBreak/>
        <w:t>The complexity of the systems and the high degree of connectivity</w:t>
      </w:r>
      <w:r w:rsidR="00B766D5">
        <w:t>.</w:t>
      </w:r>
      <w:r>
        <w:t xml:space="preserve"> </w:t>
      </w:r>
    </w:p>
    <w:p w14:paraId="7D2D0BB9" w14:textId="273733A6" w:rsidR="0014232D" w:rsidRDefault="0014232D" w:rsidP="000F14F6">
      <w:pPr>
        <w:pStyle w:val="Bulletlist1"/>
        <w:numPr>
          <w:ilvl w:val="0"/>
          <w:numId w:val="46"/>
        </w:numPr>
        <w:ind w:left="850" w:hanging="425"/>
      </w:pPr>
      <w:r>
        <w:t>The lack of diversity between systems.</w:t>
      </w:r>
    </w:p>
    <w:p w14:paraId="6F722EAE" w14:textId="32722CEA" w:rsidR="00A26117" w:rsidRDefault="00AE23D5" w:rsidP="0056271A">
      <w:r>
        <w:t>Various o</w:t>
      </w:r>
      <w:r w:rsidR="0056271A">
        <w:t>verseas nuclear safety regulators assessing EPR designs</w:t>
      </w:r>
      <w:r w:rsidR="00D530B2" w:rsidRPr="00D530B2">
        <w:t xml:space="preserve"> </w:t>
      </w:r>
      <w:r w:rsidR="00D530B2">
        <w:t xml:space="preserve">proposed for </w:t>
      </w:r>
      <w:r w:rsidR="001B5359">
        <w:t xml:space="preserve">deployment in </w:t>
      </w:r>
      <w:r w:rsidR="00D530B2">
        <w:t>their countries</w:t>
      </w:r>
      <w:r w:rsidR="0056271A">
        <w:t xml:space="preserve"> reached similar views about the initial C&amp;I architecture </w:t>
      </w:r>
      <w:r w:rsidR="00D530B2">
        <w:t>proposed to them</w:t>
      </w:r>
      <w:r w:rsidR="0056271A">
        <w:t xml:space="preserve">. </w:t>
      </w:r>
    </w:p>
    <w:p w14:paraId="4427AD52" w14:textId="007A5096" w:rsidR="0014232D" w:rsidRDefault="0014232D" w:rsidP="0014232D">
      <w:r>
        <w:t>The C&amp;I architecture of the original UK EPR design consisted of control and safety systems that were all software based. The two technologies used were originally developed by the same company.</w:t>
      </w:r>
    </w:p>
    <w:p w14:paraId="0ECE845F" w14:textId="024EDD63" w:rsidR="0014232D" w:rsidRDefault="006F7F06" w:rsidP="00FF3370">
      <w:r>
        <w:t>As</w:t>
      </w:r>
      <w:r w:rsidR="0014232D">
        <w:t xml:space="preserve"> the systems were software based</w:t>
      </w:r>
      <w:r w:rsidR="00F775CD">
        <w:t xml:space="preserve">, </w:t>
      </w:r>
      <w:r w:rsidR="00707061">
        <w:t>they</w:t>
      </w:r>
      <w:r w:rsidR="001C2473">
        <w:t xml:space="preserve"> </w:t>
      </w:r>
      <w:r w:rsidR="0014232D">
        <w:t>were vulnerable to systematic errors in the form of software bugs.</w:t>
      </w:r>
      <w:r w:rsidR="007E27E0">
        <w:t xml:space="preserve"> Furthermore,</w:t>
      </w:r>
      <w:r w:rsidR="00FF3370">
        <w:t xml:space="preserve"> </w:t>
      </w:r>
      <w:r w:rsidR="001D4119">
        <w:t>b</w:t>
      </w:r>
      <w:r w:rsidR="0014232D">
        <w:t>ecause they had shared origins, this increased the risk that they might both contain the same errors, and that they might be vulnerable to a common cause failure.</w:t>
      </w:r>
    </w:p>
    <w:p w14:paraId="23B8E989" w14:textId="1F56A727" w:rsidR="0014232D" w:rsidRDefault="0014232D" w:rsidP="0014232D">
      <w:r>
        <w:t>Truly diverse systems would use different development methods and technology. ONR highlighted to EDF</w:t>
      </w:r>
      <w:r w:rsidR="006E40E0">
        <w:t xml:space="preserve"> and </w:t>
      </w:r>
      <w:r>
        <w:t xml:space="preserve">AREVA that it would be challenging to justify the EPR’s </w:t>
      </w:r>
      <w:r w:rsidR="00A637A8">
        <w:t xml:space="preserve">proposed </w:t>
      </w:r>
      <w:r>
        <w:t>computer-based systems because of this lack of diversity.</w:t>
      </w:r>
    </w:p>
    <w:p w14:paraId="07E3E904" w14:textId="4453149F" w:rsidR="0014232D" w:rsidRDefault="0014232D" w:rsidP="0014232D">
      <w:r>
        <w:t xml:space="preserve">ONR advised the addition of a hardwired backup system might be a solution that </w:t>
      </w:r>
      <w:r w:rsidR="00D530B2">
        <w:t xml:space="preserve">EDF and </w:t>
      </w:r>
      <w:r>
        <w:t>AREVA could consider. Hardwired systems are not computer</w:t>
      </w:r>
      <w:r w:rsidR="00D530B2">
        <w:t>-</w:t>
      </w:r>
      <w:r>
        <w:t xml:space="preserve">based, and therefore do not use software. They are a fundamentally diverse technology to the EPR’s </w:t>
      </w:r>
      <w:r w:rsidR="002A3399">
        <w:t>proposed</w:t>
      </w:r>
      <w:r>
        <w:t xml:space="preserve"> systems.</w:t>
      </w:r>
    </w:p>
    <w:p w14:paraId="1A7D4B3C" w14:textId="0BBA624D" w:rsidR="0014232D" w:rsidRPr="00CA554C" w:rsidRDefault="0014232D" w:rsidP="0014232D">
      <w:r>
        <w:t>At the conclusion of the GDA process EDF</w:t>
      </w:r>
      <w:r w:rsidR="00193419">
        <w:t xml:space="preserve"> and </w:t>
      </w:r>
      <w:r>
        <w:t xml:space="preserve">AREVA had recognised the underlying issue and improved various aspects of the architecture. Most significantly, the </w:t>
      </w:r>
      <w:r w:rsidR="00541EC7">
        <w:t xml:space="preserve">revised </w:t>
      </w:r>
      <w:r>
        <w:t xml:space="preserve">architecture </w:t>
      </w:r>
      <w:r w:rsidR="00541EC7">
        <w:t xml:space="preserve">proposed by EDF and AREVA </w:t>
      </w:r>
      <w:r>
        <w:t>now included a hardwired non</w:t>
      </w:r>
      <w:r w:rsidR="00BC0DD3">
        <w:t>-</w:t>
      </w:r>
      <w:r>
        <w:t>computer</w:t>
      </w:r>
      <w:r w:rsidR="00D530B2">
        <w:t>-</w:t>
      </w:r>
      <w:r>
        <w:t>based backup system.</w:t>
      </w:r>
    </w:p>
    <w:p w14:paraId="6EA535E8" w14:textId="13F3E050" w:rsidR="00F71F21" w:rsidRDefault="006575E0" w:rsidP="00EA236F">
      <w:pPr>
        <w:pStyle w:val="Heading2"/>
      </w:pPr>
      <w:bookmarkStart w:id="39" w:name="_Toc52175131"/>
      <w:bookmarkStart w:id="40" w:name="_Toc178776921"/>
      <w:r>
        <w:t>Differences in regulatory approaches</w:t>
      </w:r>
      <w:bookmarkEnd w:id="39"/>
      <w:bookmarkEnd w:id="40"/>
    </w:p>
    <w:p w14:paraId="2F47AA71" w14:textId="69FF5E7B" w:rsidR="00A30E30" w:rsidRDefault="00A30E30" w:rsidP="00A30E30">
      <w:r>
        <w:t>There was regulatory consistency between countries</w:t>
      </w:r>
      <w:r w:rsidR="00CD681F">
        <w:t xml:space="preserve"> in this area</w:t>
      </w:r>
      <w:r w:rsidR="007919EF">
        <w:t>, and the</w:t>
      </w:r>
      <w:r>
        <w:t xml:space="preserve"> underlying issue </w:t>
      </w:r>
      <w:r w:rsidR="00D530B2">
        <w:t xml:space="preserve">with the initial designs </w:t>
      </w:r>
      <w:r>
        <w:t>was recognised by three regulators (ONR in the UK, STUK in Finland, and ASN in France).</w:t>
      </w:r>
    </w:p>
    <w:p w14:paraId="4B5927D5" w14:textId="77777777" w:rsidR="00E84C3D" w:rsidRDefault="00A30E30" w:rsidP="00B75396">
      <w:r>
        <w:t>ONR, STUK and ASN publicly issued a “Joint Regulatory Position Statement on the EPR Pressurised Water Reactor</w:t>
      </w:r>
      <w:r w:rsidR="008B2C21">
        <w:t xml:space="preserve">” </w:t>
      </w:r>
      <w:sdt>
        <w:sdtPr>
          <w:id w:val="-1626235234"/>
          <w:citation/>
        </w:sdtPr>
        <w:sdtContent>
          <w:r w:rsidR="00A63229">
            <w:fldChar w:fldCharType="begin"/>
          </w:r>
          <w:r w:rsidR="00A63229">
            <w:instrText xml:space="preserve"> CITATION RPS2009 \l 2057 </w:instrText>
          </w:r>
          <w:r w:rsidR="00A63229">
            <w:fldChar w:fldCharType="separate"/>
          </w:r>
          <w:r w:rsidR="00D239CE" w:rsidRPr="00D239CE">
            <w:rPr>
              <w:noProof/>
            </w:rPr>
            <w:t>[10]</w:t>
          </w:r>
          <w:r w:rsidR="00A63229">
            <w:fldChar w:fldCharType="end"/>
          </w:r>
        </w:sdtContent>
      </w:sdt>
      <w:r>
        <w:t xml:space="preserve">. This statement informed the public that all three regulators had identified the same issue and had asked </w:t>
      </w:r>
      <w:r w:rsidR="006D1945">
        <w:t xml:space="preserve">EDF and </w:t>
      </w:r>
      <w:r>
        <w:t>AREVA to make improvements to the design. Modifications were then implemented in all three countries.</w:t>
      </w:r>
    </w:p>
    <w:p w14:paraId="3BA87ED5" w14:textId="2B6E8E63" w:rsidR="00A30E30" w:rsidRDefault="00A30E30" w:rsidP="00B75396">
      <w:r>
        <w:lastRenderedPageBreak/>
        <w:t xml:space="preserve">HPC and </w:t>
      </w:r>
      <w:proofErr w:type="spellStart"/>
      <w:r>
        <w:t>Olkiluoto</w:t>
      </w:r>
      <w:proofErr w:type="spellEnd"/>
      <w:r>
        <w:t xml:space="preserve"> 3 both feature a diverse hardwired backup system. At the point of GDA, the </w:t>
      </w:r>
      <w:proofErr w:type="spellStart"/>
      <w:r w:rsidR="00B75396" w:rsidRPr="00B75396">
        <w:t>Olkiluoto</w:t>
      </w:r>
      <w:proofErr w:type="spellEnd"/>
      <w:r w:rsidR="00B75396" w:rsidRPr="00B75396">
        <w:t xml:space="preserve"> 3</w:t>
      </w:r>
      <w:r>
        <w:t xml:space="preserve"> design</w:t>
      </w:r>
      <w:r w:rsidR="00814D3B">
        <w:rPr>
          <w:rStyle w:val="FootnoteReference"/>
        </w:rPr>
        <w:footnoteReference w:id="2"/>
      </w:r>
      <w:r>
        <w:t xml:space="preserve"> already included this, which acted as an indicator to ONR that the effort of implementing this was not disproportionate.</w:t>
      </w:r>
    </w:p>
    <w:p w14:paraId="3179D0FA" w14:textId="1CC0DE75" w:rsidR="00A30E30" w:rsidRPr="00A30E30" w:rsidRDefault="00A30E30" w:rsidP="00A30E30">
      <w:r>
        <w:t xml:space="preserve">The solution for the EPR at </w:t>
      </w:r>
      <w:proofErr w:type="spellStart"/>
      <w:r>
        <w:t>Flamanville</w:t>
      </w:r>
      <w:proofErr w:type="spellEnd"/>
      <w:r>
        <w:t xml:space="preserve"> 3 in France was different, involving duplication of some safety functions between the two existing systems</w:t>
      </w:r>
      <w:r w:rsidR="008D6687">
        <w:t xml:space="preserve"> </w:t>
      </w:r>
      <w:sdt>
        <w:sdtPr>
          <w:id w:val="-221903066"/>
          <w:citation/>
        </w:sdtPr>
        <w:sdtContent>
          <w:r w:rsidR="008D6687">
            <w:fldChar w:fldCharType="begin"/>
          </w:r>
          <w:r w:rsidR="008D6687">
            <w:instrText xml:space="preserve"> CITATION ASN \l 2057 </w:instrText>
          </w:r>
          <w:r w:rsidR="008D6687">
            <w:fldChar w:fldCharType="separate"/>
          </w:r>
          <w:r w:rsidR="00D239CE" w:rsidRPr="00D239CE">
            <w:rPr>
              <w:noProof/>
            </w:rPr>
            <w:t>[11]</w:t>
          </w:r>
          <w:r w:rsidR="008D6687">
            <w:fldChar w:fldCharType="end"/>
          </w:r>
        </w:sdtContent>
      </w:sdt>
      <w:r>
        <w:t xml:space="preserve">. However, </w:t>
      </w:r>
      <w:proofErr w:type="spellStart"/>
      <w:r>
        <w:t>F</w:t>
      </w:r>
      <w:r w:rsidR="0009084D">
        <w:t>lamanville</w:t>
      </w:r>
      <w:proofErr w:type="spellEnd"/>
      <w:r w:rsidR="0009084D">
        <w:t xml:space="preserve"> 3</w:t>
      </w:r>
      <w:r>
        <w:t xml:space="preserve"> was at a more advanced stage of the design process</w:t>
      </w:r>
      <w:r w:rsidR="00D530B2">
        <w:t xml:space="preserve"> when the joint position was issued</w:t>
      </w:r>
      <w:r w:rsidR="00C32DCC">
        <w:t>,</w:t>
      </w:r>
      <w:r w:rsidR="00D530B2">
        <w:t xml:space="preserve"> and so a different solution was pursued to achieve a similar outcome</w:t>
      </w:r>
      <w:r>
        <w:t>.</w:t>
      </w:r>
    </w:p>
    <w:p w14:paraId="41F5C98A" w14:textId="34920924" w:rsidR="00D37173" w:rsidRDefault="00D37173" w:rsidP="00EA236F">
      <w:pPr>
        <w:pStyle w:val="Heading2"/>
      </w:pPr>
      <w:bookmarkStart w:id="41" w:name="_Toc178776922"/>
      <w:bookmarkStart w:id="42" w:name="_Toc504278315"/>
      <w:r>
        <w:t>Safety benefit</w:t>
      </w:r>
      <w:bookmarkEnd w:id="41"/>
    </w:p>
    <w:p w14:paraId="2C52864D" w14:textId="649C8D8A" w:rsidR="00EC1E32" w:rsidRDefault="00E260ED" w:rsidP="00EC1E32">
      <w:r>
        <w:t xml:space="preserve">The safety benefit </w:t>
      </w:r>
      <w:r w:rsidR="00D530B2">
        <w:t xml:space="preserve">of the C&amp;I architecture being implemented at HPC over the original EPR design </w:t>
      </w:r>
      <w:r w:rsidR="00EC1E32">
        <w:t>is that the high reliability claims required for a nuclear power plant’s C&amp;I architecture can be demonstrated. With diverse protection systems using different technologies, assurance is provided that common cause failures are eliminated from the design and any fault associate</w:t>
      </w:r>
      <w:r w:rsidR="003C5C44">
        <w:t>d</w:t>
      </w:r>
      <w:r w:rsidR="00EC1E32">
        <w:t xml:space="preserve"> with the operation of the reactor will be detected and halted before there are significant radiological consequences.</w:t>
      </w:r>
    </w:p>
    <w:p w14:paraId="1764521D" w14:textId="6131D0D1" w:rsidR="00E260ED" w:rsidRDefault="00E260ED" w:rsidP="00E260ED">
      <w:r>
        <w:t xml:space="preserve">In the decade since GDA, another significant benefit of the hardwired backup system has been realised. Hardwired systems are resilient to a cyber-attack and will prevent escalation of a fault in the unlikely event that the computer-based systems </w:t>
      </w:r>
      <w:r w:rsidR="00C22F0E">
        <w:t xml:space="preserve">are </w:t>
      </w:r>
      <w:r>
        <w:t>compromised. This alone would be a compelling case for the system, given the elevated cyber threat levels today.</w:t>
      </w:r>
    </w:p>
    <w:p w14:paraId="7EAEED9C" w14:textId="77777777" w:rsidR="00E260ED" w:rsidRDefault="00E260ED" w:rsidP="00E260ED">
      <w:r>
        <w:t>Without the guarantee provided by the hardwired system, it would be necessary to expend much greater efforts on cyber protection of the software systems than has been required to date. This could represent an overall through-life cost benefit.</w:t>
      </w:r>
    </w:p>
    <w:p w14:paraId="75A874F2" w14:textId="7D78A99D" w:rsidR="00F71F21" w:rsidRDefault="00D37173" w:rsidP="00EA236F">
      <w:pPr>
        <w:pStyle w:val="Heading2"/>
      </w:pPr>
      <w:bookmarkStart w:id="43" w:name="_Toc178776923"/>
      <w:r>
        <w:t>I</w:t>
      </w:r>
      <w:r w:rsidR="00F71F21">
        <w:t>mpact</w:t>
      </w:r>
      <w:bookmarkEnd w:id="42"/>
      <w:bookmarkEnd w:id="43"/>
    </w:p>
    <w:p w14:paraId="3DD46EDA" w14:textId="1910FE21" w:rsidR="00D14192" w:rsidRDefault="00D14192" w:rsidP="00D14192">
      <w:r>
        <w:t>This was a significant design modification that required a substantial amount of work in design, development, testing and approval. It also had further impacts on additional building space and cooling. However</w:t>
      </w:r>
      <w:r w:rsidR="00C41EBD">
        <w:t>,</w:t>
      </w:r>
      <w:r>
        <w:t xml:space="preserve"> it was identified early, and the overall C&amp;I architecture has remained largely stable since GDA completion in 2012, allowing the HPC project to plan for, cost and schedule its implementation. </w:t>
      </w:r>
    </w:p>
    <w:p w14:paraId="13D0AFB0" w14:textId="77777777" w:rsidR="00742AB9" w:rsidRDefault="00D14192" w:rsidP="00D14192">
      <w:r>
        <w:t>UK law and the goal</w:t>
      </w:r>
      <w:r w:rsidR="00A14056">
        <w:t>-</w:t>
      </w:r>
      <w:r>
        <w:t xml:space="preserve">setting regulatory regime for health and safety (including nuclear) allows for </w:t>
      </w:r>
      <w:proofErr w:type="spellStart"/>
      <w:r>
        <w:t>dutyholders</w:t>
      </w:r>
      <w:proofErr w:type="spellEnd"/>
      <w:r>
        <w:t xml:space="preserve"> to weigh up the cost (time, trouble and effort) of a safety improvement (including a design modification) against its safety benefit. If there is a ‘gross disproportion’ between the two (the benefit is grossly outweighed by </w:t>
      </w:r>
      <w:r>
        <w:lastRenderedPageBreak/>
        <w:t xml:space="preserve">the cost) the </w:t>
      </w:r>
      <w:proofErr w:type="spellStart"/>
      <w:r>
        <w:t>dutyholder</w:t>
      </w:r>
      <w:proofErr w:type="spellEnd"/>
      <w:r>
        <w:t xml:space="preserve"> can make that argument and</w:t>
      </w:r>
      <w:r w:rsidR="006C0F76">
        <w:t>,</w:t>
      </w:r>
      <w:r>
        <w:t xml:space="preserve"> if agreed by regulators, is not required to implement it. </w:t>
      </w:r>
    </w:p>
    <w:p w14:paraId="19AD812E" w14:textId="11875E41" w:rsidR="00D14192" w:rsidRDefault="00633D6F" w:rsidP="00D14192">
      <w:r>
        <w:t>W</w:t>
      </w:r>
      <w:r w:rsidRPr="00633D6F">
        <w:t xml:space="preserve">e understand the level of effort required to implement these changes has proven to be higher than </w:t>
      </w:r>
      <w:r w:rsidR="00DD2D74">
        <w:t xml:space="preserve">the </w:t>
      </w:r>
      <w:r w:rsidR="00BA3DE0">
        <w:t>EDF and AREVA</w:t>
      </w:r>
      <w:r w:rsidRPr="00633D6F">
        <w:t xml:space="preserve"> estimated at the time of GDA. </w:t>
      </w:r>
      <w:r w:rsidR="00783314">
        <w:t>However,</w:t>
      </w:r>
      <w:r w:rsidR="003D740E">
        <w:t xml:space="preserve"> </w:t>
      </w:r>
      <w:r w:rsidR="00FC4F13">
        <w:t>they</w:t>
      </w:r>
      <w:r w:rsidR="00D14192">
        <w:t xml:space="preserve"> did not put forward any gross disproportion</w:t>
      </w:r>
      <w:r w:rsidR="003D18E2">
        <w:t>ality arguments</w:t>
      </w:r>
      <w:r w:rsidR="00D14192">
        <w:t xml:space="preserve"> for this or any other design modification</w:t>
      </w:r>
      <w:r w:rsidR="00132493">
        <w:t xml:space="preserve"> as the cost impact became clearer</w:t>
      </w:r>
      <w:r w:rsidR="00D14192">
        <w:t>.</w:t>
      </w:r>
      <w:r w:rsidR="0054488A">
        <w:t xml:space="preserve"> </w:t>
      </w:r>
    </w:p>
    <w:p w14:paraId="703A888D" w14:textId="6E7A7B2A" w:rsidR="00F71F21" w:rsidRDefault="00CD1A98" w:rsidP="00A23B26">
      <w:pPr>
        <w:pStyle w:val="Heading1"/>
        <w:ind w:left="567" w:hanging="567"/>
      </w:pPr>
      <w:bookmarkStart w:id="44" w:name="_Toc1024507065"/>
      <w:bookmarkStart w:id="45" w:name="_Toc178776924"/>
      <w:bookmarkEnd w:id="38"/>
      <w:r w:rsidRPr="00CD1A98">
        <w:t xml:space="preserve">Additional Heating, Ventilation, and </w:t>
      </w:r>
      <w:r w:rsidR="00A23B26">
        <w:t xml:space="preserve"> </w:t>
      </w:r>
      <w:r w:rsidRPr="00CD1A98">
        <w:t>Air Conditioning</w:t>
      </w:r>
      <w:bookmarkEnd w:id="44"/>
      <w:bookmarkEnd w:id="45"/>
    </w:p>
    <w:p w14:paraId="3AAC7198" w14:textId="35D24409" w:rsidR="00DE7B88" w:rsidRDefault="00FD4B0A" w:rsidP="00EA236F">
      <w:pPr>
        <w:pStyle w:val="Heading2"/>
      </w:pPr>
      <w:bookmarkStart w:id="46" w:name="_Toc178776925"/>
      <w:r>
        <w:t>Overview</w:t>
      </w:r>
      <w:bookmarkEnd w:id="46"/>
    </w:p>
    <w:p w14:paraId="2325120D" w14:textId="572F13D4" w:rsidR="0006252F" w:rsidRDefault="0006252F" w:rsidP="0006252F">
      <w:r>
        <w:t>Heating, ventilation and air conditioning</w:t>
      </w:r>
      <w:r w:rsidR="006911FD">
        <w:t xml:space="preserve"> (HVAC)</w:t>
      </w:r>
      <w:r>
        <w:t xml:space="preserve"> systems should provide sufficiently cool (or warm in extremely low temperature conditions)</w:t>
      </w:r>
      <w:r w:rsidR="00780895">
        <w:t xml:space="preserve">, often </w:t>
      </w:r>
      <w:r w:rsidR="001D0183">
        <w:t>humidity-controlled</w:t>
      </w:r>
      <w:r>
        <w:t xml:space="preserve"> air to the rooms that house equipment and systems. This ensures that</w:t>
      </w:r>
      <w:r w:rsidR="006911FD">
        <w:t xml:space="preserve"> (</w:t>
      </w:r>
      <w:r>
        <w:t>particularly for mechanical and C&amp;I systems</w:t>
      </w:r>
      <w:r w:rsidR="006911FD">
        <w:t>)</w:t>
      </w:r>
      <w:r>
        <w:t xml:space="preserve"> they remain within the environmental parameters required </w:t>
      </w:r>
      <w:r w:rsidR="006911FD">
        <w:t>to operate reliably</w:t>
      </w:r>
      <w:r>
        <w:t xml:space="preserve">. </w:t>
      </w:r>
    </w:p>
    <w:p w14:paraId="60323D76" w14:textId="3EA31F0B" w:rsidR="0006252F" w:rsidRDefault="0006252F" w:rsidP="0006252F">
      <w:r>
        <w:t>The HVAC systems perform several safety</w:t>
      </w:r>
      <w:r w:rsidR="00EC7AE6">
        <w:t>-</w:t>
      </w:r>
      <w:r>
        <w:t>related functions</w:t>
      </w:r>
      <w:r w:rsidR="006911FD">
        <w:t xml:space="preserve">, </w:t>
      </w:r>
      <w:r>
        <w:t>includ</w:t>
      </w:r>
      <w:r w:rsidR="006911FD">
        <w:t>ing</w:t>
      </w:r>
      <w:r>
        <w:t>:</w:t>
      </w:r>
    </w:p>
    <w:p w14:paraId="6534E457" w14:textId="1691351F" w:rsidR="006911FD" w:rsidRDefault="006911FD" w:rsidP="00E626C0">
      <w:pPr>
        <w:pStyle w:val="Bulletlist1"/>
        <w:numPr>
          <w:ilvl w:val="0"/>
          <w:numId w:val="46"/>
        </w:numPr>
        <w:ind w:left="850" w:hanging="425"/>
      </w:pPr>
      <w:r>
        <w:t>Remov</w:t>
      </w:r>
      <w:r w:rsidR="00AF08C4">
        <w:t>ing</w:t>
      </w:r>
      <w:r>
        <w:t xml:space="preserve"> the heat loads generated by operational equipment (for example to prevent failure due to overheating)</w:t>
      </w:r>
      <w:r w:rsidR="00A06DD7">
        <w:t>.</w:t>
      </w:r>
    </w:p>
    <w:p w14:paraId="3F6DE432" w14:textId="675FFF6D" w:rsidR="00CA3F79" w:rsidRDefault="00CA3F79" w:rsidP="00E626C0">
      <w:pPr>
        <w:pStyle w:val="Bulletlist1"/>
        <w:numPr>
          <w:ilvl w:val="0"/>
          <w:numId w:val="46"/>
        </w:numPr>
        <w:ind w:left="850" w:hanging="425"/>
      </w:pPr>
      <w:r>
        <w:t xml:space="preserve">Maintaining a suitable environment for equipment and structures (for example to reduce the risk of </w:t>
      </w:r>
      <w:r w:rsidR="006E77E9">
        <w:t>degradation</w:t>
      </w:r>
      <w:r>
        <w:t>)</w:t>
      </w:r>
      <w:r w:rsidR="00A06DD7">
        <w:t>.</w:t>
      </w:r>
    </w:p>
    <w:p w14:paraId="026CAF50" w14:textId="73D40F95" w:rsidR="0006252F" w:rsidRDefault="0006252F" w:rsidP="00E626C0">
      <w:pPr>
        <w:pStyle w:val="Bulletlist1"/>
        <w:numPr>
          <w:ilvl w:val="0"/>
          <w:numId w:val="46"/>
        </w:numPr>
        <w:ind w:left="850" w:hanging="425"/>
      </w:pPr>
      <w:r>
        <w:t>Maintaining a suitable environment for personnel (for example temperature and humidity</w:t>
      </w:r>
      <w:r w:rsidR="0024098E">
        <w:t xml:space="preserve"> to ensure workplaces are comfortable</w:t>
      </w:r>
      <w:r>
        <w:t>)</w:t>
      </w:r>
      <w:r w:rsidR="00CA3F79">
        <w:t>.</w:t>
      </w:r>
    </w:p>
    <w:p w14:paraId="4C92B440" w14:textId="2B2E0F3A" w:rsidR="001E13AA" w:rsidRDefault="001E13AA" w:rsidP="009A2B34">
      <w:r>
        <w:t xml:space="preserve">ONR’s GDA </w:t>
      </w:r>
      <w:r w:rsidRPr="002D3E9D">
        <w:t>Step 4 assessment</w:t>
      </w:r>
      <w:r>
        <w:t xml:space="preserve"> </w:t>
      </w:r>
      <w:sdt>
        <w:sdtPr>
          <w:id w:val="-597643850"/>
          <w:citation/>
        </w:sdtPr>
        <w:sdtContent>
          <w:r w:rsidR="00E458D5">
            <w:fldChar w:fldCharType="begin"/>
          </w:r>
          <w:r w:rsidR="00E458D5">
            <w:instrText xml:space="preserve"> CITATION Step4 \l 2057 </w:instrText>
          </w:r>
          <w:r w:rsidR="00E458D5">
            <w:fldChar w:fldCharType="separate"/>
          </w:r>
          <w:r w:rsidR="00D239CE" w:rsidRPr="00D239CE">
            <w:rPr>
              <w:noProof/>
            </w:rPr>
            <w:t>[12]</w:t>
          </w:r>
          <w:r w:rsidR="00E458D5">
            <w:fldChar w:fldCharType="end"/>
          </w:r>
        </w:sdtContent>
      </w:sdt>
      <w:r w:rsidR="00006470">
        <w:t xml:space="preserve"> </w:t>
      </w:r>
      <w:r>
        <w:t xml:space="preserve">identified that EDF and AREVA had not </w:t>
      </w:r>
      <w:r w:rsidR="008C0112">
        <w:t>justified that the reactor design could tolerate the essential support systems</w:t>
      </w:r>
      <w:r w:rsidR="00D858C9">
        <w:t xml:space="preserve"> </w:t>
      </w:r>
      <w:r w:rsidR="009A2B34">
        <w:t xml:space="preserve">(including the HVAC systems) </w:t>
      </w:r>
      <w:r w:rsidR="00D858C9">
        <w:t>not working</w:t>
      </w:r>
      <w:r>
        <w:t xml:space="preserve">. </w:t>
      </w:r>
      <w:r w:rsidR="009A2B34">
        <w:t>From a nuclear safety perspective, demonstrating the effectiveness of essential support systems is important because</w:t>
      </w:r>
      <w:r w:rsidR="000A41B2">
        <w:t>,</w:t>
      </w:r>
      <w:r>
        <w:t xml:space="preserve"> without these systems</w:t>
      </w:r>
      <w:r w:rsidR="009A2B34">
        <w:t>,</w:t>
      </w:r>
      <w:r>
        <w:t xml:space="preserve"> the</w:t>
      </w:r>
      <w:r w:rsidR="009A2B34">
        <w:t xml:space="preserve"> </w:t>
      </w:r>
      <w:r w:rsidR="00783314">
        <w:t>front-line</w:t>
      </w:r>
      <w:r w:rsidR="009A2B34">
        <w:t xml:space="preserve"> </w:t>
      </w:r>
      <w:r>
        <w:t xml:space="preserve">safety systems </w:t>
      </w:r>
      <w:r w:rsidR="009A2B34">
        <w:t xml:space="preserve">responsible for delivering the fundamental safety functions identified in section </w:t>
      </w:r>
      <w:r w:rsidR="00A340F7">
        <w:t>4</w:t>
      </w:r>
      <w:r w:rsidR="009A2B34">
        <w:t xml:space="preserve">.1 </w:t>
      </w:r>
      <w:r>
        <w:t>will not function correctly</w:t>
      </w:r>
      <w:r w:rsidR="009A2B34">
        <w:t>. C</w:t>
      </w:r>
      <w:r w:rsidR="00222165">
        <w:t>onfidence</w:t>
      </w:r>
      <w:r w:rsidR="009A2B34">
        <w:t xml:space="preserve"> in the effectiveness of essential support systems is necessary </w:t>
      </w:r>
      <w:r w:rsidR="00A058E8">
        <w:t xml:space="preserve">for </w:t>
      </w:r>
      <w:r w:rsidR="00222165">
        <w:t>assurance</w:t>
      </w:r>
      <w:r w:rsidR="009A2B34">
        <w:t xml:space="preserve"> </w:t>
      </w:r>
      <w:r w:rsidR="00D858C9">
        <w:t xml:space="preserve">that a </w:t>
      </w:r>
      <w:r w:rsidR="00783314">
        <w:t>front-line</w:t>
      </w:r>
      <w:r w:rsidR="00A058E8">
        <w:t xml:space="preserve"> safety system </w:t>
      </w:r>
      <w:r w:rsidR="007B6982">
        <w:t xml:space="preserve">will work, meaning that a </w:t>
      </w:r>
      <w:r w:rsidR="00D739E2">
        <w:t xml:space="preserve">fault </w:t>
      </w:r>
      <w:r w:rsidR="009A2B34">
        <w:t xml:space="preserve">will not escalate into an event with radiological consequences. </w:t>
      </w:r>
    </w:p>
    <w:p w14:paraId="2BF5FD8D" w14:textId="2F2D5533" w:rsidR="00B63299" w:rsidRDefault="00D739E2" w:rsidP="00B63299">
      <w:r>
        <w:t xml:space="preserve">After GDA, </w:t>
      </w:r>
      <w:r w:rsidR="00B63299">
        <w:t xml:space="preserve">NNB </w:t>
      </w:r>
      <w:proofErr w:type="spellStart"/>
      <w:r w:rsidR="00557CC3">
        <w:t>GenCo</w:t>
      </w:r>
      <w:proofErr w:type="spellEnd"/>
      <w:r w:rsidR="00B63299">
        <w:t xml:space="preserve"> performed </w:t>
      </w:r>
      <w:r w:rsidR="001F6566">
        <w:t>an</w:t>
      </w:r>
      <w:r w:rsidR="00B63299">
        <w:t xml:space="preserve"> analysis of </w:t>
      </w:r>
      <w:r>
        <w:t>the consequences of essential support systems not working as intended</w:t>
      </w:r>
      <w:r w:rsidR="00B63299">
        <w:t xml:space="preserve"> </w:t>
      </w:r>
      <w:r>
        <w:t>following a reactor fault</w:t>
      </w:r>
      <w:r w:rsidR="00A03D9F">
        <w:t>. It</w:t>
      </w:r>
      <w:r w:rsidR="00B63299">
        <w:t xml:space="preserve"> </w:t>
      </w:r>
      <w:r w:rsidR="001F6566">
        <w:t xml:space="preserve">determined that </w:t>
      </w:r>
      <w:r w:rsidR="00B63299">
        <w:t xml:space="preserve">changes to the design of </w:t>
      </w:r>
      <w:r w:rsidR="001F6566">
        <w:t>certain</w:t>
      </w:r>
      <w:r w:rsidR="00B63299">
        <w:t xml:space="preserve"> HVAC systems were necessary.</w:t>
      </w:r>
      <w:r w:rsidR="00C64A99">
        <w:t xml:space="preserve"> </w:t>
      </w:r>
      <w:r w:rsidR="00B63299">
        <w:t>These changes included:</w:t>
      </w:r>
    </w:p>
    <w:p w14:paraId="170CE0C5" w14:textId="4F802E59" w:rsidR="00B63299" w:rsidRDefault="00B63299" w:rsidP="00E626C0">
      <w:pPr>
        <w:pStyle w:val="Bulletlist1"/>
        <w:numPr>
          <w:ilvl w:val="0"/>
          <w:numId w:val="46"/>
        </w:numPr>
        <w:ind w:left="850" w:hanging="425"/>
      </w:pPr>
      <w:r>
        <w:t>Reclassification of some HVAC systems</w:t>
      </w:r>
      <w:r w:rsidR="00DC5C9B">
        <w:t xml:space="preserve"> in relation to their importance to safety</w:t>
      </w:r>
      <w:r w:rsidR="005021B1">
        <w:t>.</w:t>
      </w:r>
    </w:p>
    <w:p w14:paraId="6417912C" w14:textId="5F2B0733" w:rsidR="00B63299" w:rsidRDefault="00B63299" w:rsidP="00E626C0">
      <w:pPr>
        <w:pStyle w:val="Bulletlist1"/>
        <w:numPr>
          <w:ilvl w:val="0"/>
          <w:numId w:val="46"/>
        </w:numPr>
        <w:ind w:left="850" w:hanging="425"/>
      </w:pPr>
      <w:r>
        <w:lastRenderedPageBreak/>
        <w:t>New, diverse, back-up trains on some HVAC systems to mitigate common cause failure</w:t>
      </w:r>
      <w:r w:rsidR="005021B1">
        <w:t>.</w:t>
      </w:r>
    </w:p>
    <w:p w14:paraId="77293A3E" w14:textId="77777777" w:rsidR="00B63299" w:rsidRDefault="00B63299" w:rsidP="00E626C0">
      <w:pPr>
        <w:pStyle w:val="Bulletlist1"/>
        <w:numPr>
          <w:ilvl w:val="0"/>
          <w:numId w:val="46"/>
        </w:numPr>
        <w:ind w:left="850" w:hanging="425"/>
      </w:pPr>
      <w:r>
        <w:t>Diversification of mechanical, electrical and C&amp;I components.</w:t>
      </w:r>
    </w:p>
    <w:p w14:paraId="048EA705" w14:textId="25264ACB" w:rsidR="00DE7B88" w:rsidRDefault="0066094A" w:rsidP="00EA236F">
      <w:pPr>
        <w:pStyle w:val="Heading2"/>
      </w:pPr>
      <w:bookmarkStart w:id="47" w:name="_Toc1796601208"/>
      <w:bookmarkStart w:id="48" w:name="_Toc178776926"/>
      <w:r>
        <w:t>Differences in regulatory approach</w:t>
      </w:r>
      <w:bookmarkEnd w:id="47"/>
      <w:bookmarkEnd w:id="48"/>
    </w:p>
    <w:p w14:paraId="0553DAD7" w14:textId="4FC85424" w:rsidR="00C507C1" w:rsidRDefault="00C507C1" w:rsidP="00C507C1">
      <w:r>
        <w:t>The expectation that essential support systems are suitably</w:t>
      </w:r>
      <w:r w:rsidR="005072DD">
        <w:t>-</w:t>
      </w:r>
      <w:r>
        <w:t xml:space="preserve">designed and substantiated </w:t>
      </w:r>
      <w:r w:rsidR="00D93344">
        <w:t xml:space="preserve">via the safety case, </w:t>
      </w:r>
      <w:r>
        <w:t>is a recognised international good practice</w:t>
      </w:r>
      <w:r w:rsidR="00BE6988">
        <w:t xml:space="preserve"> and consistent throughout the world</w:t>
      </w:r>
      <w:r>
        <w:t>. ONR’s SAPs incorporate this good practice.</w:t>
      </w:r>
    </w:p>
    <w:p w14:paraId="4277575A" w14:textId="5350CCA8" w:rsidR="00C507C1" w:rsidRDefault="00C507C1" w:rsidP="00C34FCF">
      <w:r>
        <w:t xml:space="preserve">Consideration of whether loss of an essential support system </w:t>
      </w:r>
      <w:r w:rsidR="007E15F0">
        <w:t>may</w:t>
      </w:r>
      <w:r>
        <w:t xml:space="preserve"> lead to failures of the safety</w:t>
      </w:r>
      <w:r w:rsidR="00BE5875">
        <w:t>-</w:t>
      </w:r>
      <w:r>
        <w:t xml:space="preserve">significant systems or components is </w:t>
      </w:r>
      <w:r w:rsidR="004A1447">
        <w:t xml:space="preserve">an </w:t>
      </w:r>
      <w:r>
        <w:t xml:space="preserve">integral </w:t>
      </w:r>
      <w:r w:rsidR="004A1447">
        <w:t xml:space="preserve">part </w:t>
      </w:r>
      <w:r>
        <w:t>in determining the categorisation and classification of such systems</w:t>
      </w:r>
      <w:r w:rsidR="004A1447">
        <w:t xml:space="preserve"> and components</w:t>
      </w:r>
      <w:r>
        <w:t>.</w:t>
      </w:r>
    </w:p>
    <w:p w14:paraId="12152954" w14:textId="332271B3" w:rsidR="00F96F29" w:rsidRDefault="00B272F5" w:rsidP="00C34FCF">
      <w:r>
        <w:t xml:space="preserve">ONR’s </w:t>
      </w:r>
      <w:r w:rsidR="0072013A">
        <w:t xml:space="preserve">conclusion </w:t>
      </w:r>
      <w:r>
        <w:t>in GDA that EDF and AREVA had not demonstrated th</w:t>
      </w:r>
      <w:r w:rsidR="007E7982">
        <w:t>e</w:t>
      </w:r>
      <w:r>
        <w:t xml:space="preserve"> initial generic design could tolerate essential support systems not working was ultimately addressed post-GDA by NNB </w:t>
      </w:r>
      <w:proofErr w:type="spellStart"/>
      <w:r>
        <w:t>GenCo</w:t>
      </w:r>
      <w:proofErr w:type="spellEnd"/>
      <w:r w:rsidR="004777C0">
        <w:t>.</w:t>
      </w:r>
      <w:r>
        <w:t xml:space="preserve"> </w:t>
      </w:r>
      <w:r w:rsidR="00471B1C">
        <w:t>It s</w:t>
      </w:r>
      <w:r>
        <w:t>pecificall</w:t>
      </w:r>
      <w:r w:rsidR="00471B1C">
        <w:t>y considered</w:t>
      </w:r>
      <w:r>
        <w:t xml:space="preserve"> the HPC design, taking into account design changes introduced for other reasons (for example the C&amp;I modifications and a re-evaluation of the thermal modelling in C&amp;I and electrical rooms within the safeguard buildings). It also considered site-specific aspects, including relevant extreme external air temperatures and the impact of climate change. </w:t>
      </w:r>
    </w:p>
    <w:p w14:paraId="56660D2C" w14:textId="5DC8323B" w:rsidR="00627442" w:rsidRDefault="00627442" w:rsidP="00C34FCF">
      <w:r>
        <w:t xml:space="preserve">The designs of both </w:t>
      </w:r>
      <w:proofErr w:type="spellStart"/>
      <w:r>
        <w:t>Olkiluoto</w:t>
      </w:r>
      <w:proofErr w:type="spellEnd"/>
      <w:r>
        <w:t xml:space="preserve"> 3 (Finland) and </w:t>
      </w:r>
      <w:proofErr w:type="spellStart"/>
      <w:r>
        <w:t>Flamanville</w:t>
      </w:r>
      <w:proofErr w:type="spellEnd"/>
      <w:r>
        <w:t xml:space="preserve"> 3 (France) have also been modified from </w:t>
      </w:r>
      <w:r w:rsidR="00C2192D">
        <w:t xml:space="preserve">the original EPR </w:t>
      </w:r>
      <w:r>
        <w:t>design intent, and it is assumed they too have a</w:t>
      </w:r>
      <w:r w:rsidR="00366A3B">
        <w:t>n</w:t>
      </w:r>
      <w:r>
        <w:t xml:space="preserve"> HVAC system that has been analysed in accordance with international good practice. However, given the different build schedules, </w:t>
      </w:r>
      <w:r w:rsidR="00C2192D">
        <w:t>site-</w:t>
      </w:r>
      <w:r>
        <w:t xml:space="preserve">specific design changes and </w:t>
      </w:r>
      <w:r w:rsidR="00C33D79">
        <w:t xml:space="preserve">different </w:t>
      </w:r>
      <w:r>
        <w:t xml:space="preserve">geographical locations, it is not </w:t>
      </w:r>
      <w:r w:rsidR="00C2192D">
        <w:t xml:space="preserve">unexpected that they concluded it was not </w:t>
      </w:r>
      <w:r>
        <w:t xml:space="preserve">necessary or practicable to implement </w:t>
      </w:r>
      <w:r w:rsidR="00C2192D">
        <w:t>exactly the same solutions as those identified</w:t>
      </w:r>
      <w:r>
        <w:t xml:space="preserve"> by NNB </w:t>
      </w:r>
      <w:proofErr w:type="spellStart"/>
      <w:r>
        <w:t>GenCo</w:t>
      </w:r>
      <w:proofErr w:type="spellEnd"/>
      <w:r>
        <w:t xml:space="preserve">. </w:t>
      </w:r>
    </w:p>
    <w:p w14:paraId="6FAA1346" w14:textId="4362ED2D" w:rsidR="00DE7B88" w:rsidRDefault="00CE28D9" w:rsidP="00EA236F">
      <w:pPr>
        <w:pStyle w:val="Heading2"/>
      </w:pPr>
      <w:bookmarkStart w:id="49" w:name="_Toc178776927"/>
      <w:r>
        <w:t>Safety benefit</w:t>
      </w:r>
      <w:bookmarkEnd w:id="49"/>
    </w:p>
    <w:p w14:paraId="4EBE134B" w14:textId="677A5C8C" w:rsidR="00AC51C3" w:rsidRDefault="00D04DB8" w:rsidP="00D04DB8">
      <w:r>
        <w:t>Providing suitably</w:t>
      </w:r>
      <w:r w:rsidR="00E40311">
        <w:t>-</w:t>
      </w:r>
      <w:r>
        <w:t>engineered HVAC systems</w:t>
      </w:r>
      <w:r w:rsidR="00302781">
        <w:t>,</w:t>
      </w:r>
      <w:r>
        <w:t xml:space="preserve"> sufficiently robust to ensure </w:t>
      </w:r>
      <w:r w:rsidR="00A35A91">
        <w:t xml:space="preserve">that </w:t>
      </w:r>
      <w:r>
        <w:t>the nuclear safety</w:t>
      </w:r>
      <w:r w:rsidR="00E40311">
        <w:t>-</w:t>
      </w:r>
      <w:r>
        <w:t>related systems and components are maintained within appropriate environmental conditions</w:t>
      </w:r>
      <w:r w:rsidR="00302781">
        <w:t>,</w:t>
      </w:r>
      <w:r>
        <w:t xml:space="preserve"> is fundamental </w:t>
      </w:r>
      <w:r w:rsidR="000807AF">
        <w:t>for front line safety systems on the EPR to operate</w:t>
      </w:r>
      <w:r>
        <w:t xml:space="preserve"> when required</w:t>
      </w:r>
      <w:r w:rsidR="000807AF">
        <w:t xml:space="preserve"> under the environmental conditions anticipated following a reactor fault, potentially for an extended period of time</w:t>
      </w:r>
      <w:r>
        <w:t>.</w:t>
      </w:r>
    </w:p>
    <w:p w14:paraId="37CE3999" w14:textId="4FFC75A5" w:rsidR="006366A9" w:rsidRPr="006366A9" w:rsidRDefault="00AC51C3" w:rsidP="00BB1EBF">
      <w:r>
        <w:t xml:space="preserve">The improvements made by NNB </w:t>
      </w:r>
      <w:proofErr w:type="spellStart"/>
      <w:r w:rsidR="00557CC3">
        <w:t>GenCo</w:t>
      </w:r>
      <w:proofErr w:type="spellEnd"/>
      <w:r>
        <w:t xml:space="preserve"> provide </w:t>
      </w:r>
      <w:r w:rsidR="004F6E71">
        <w:t>additional diversity</w:t>
      </w:r>
      <w:r w:rsidR="000807AF">
        <w:t xml:space="preserve"> and assurance that the levels of reliability required from safety systems to prevent fault escalation can be achieved</w:t>
      </w:r>
      <w:r w:rsidR="00F96F29">
        <w:t>, on the design that is being built at HPC (as opposed to the generic design that was put forward by EDF and AREVA at the start of GDA)</w:t>
      </w:r>
      <w:r w:rsidR="000807AF">
        <w:t>.</w:t>
      </w:r>
      <w:r w:rsidR="002B7EE8">
        <w:t xml:space="preserve"> They also ensure the site-specific environmental conditions and anticipated climate change</w:t>
      </w:r>
      <w:r w:rsidR="00C95069">
        <w:t xml:space="preserve"> impacts</w:t>
      </w:r>
      <w:r w:rsidR="002B7EE8">
        <w:t xml:space="preserve"> during the station’s lifetime can be accommodated.</w:t>
      </w:r>
      <w:r w:rsidR="00CA4901">
        <w:t xml:space="preserve"> </w:t>
      </w:r>
    </w:p>
    <w:p w14:paraId="6AB267ED" w14:textId="73B802F0" w:rsidR="00DE7B88" w:rsidRDefault="006A526A" w:rsidP="00EA236F">
      <w:pPr>
        <w:pStyle w:val="Heading2"/>
      </w:pPr>
      <w:bookmarkStart w:id="50" w:name="_Toc166976179"/>
      <w:bookmarkStart w:id="51" w:name="_Toc178776928"/>
      <w:r>
        <w:lastRenderedPageBreak/>
        <w:t>I</w:t>
      </w:r>
      <w:r w:rsidR="00DE7B88">
        <w:t>mpact</w:t>
      </w:r>
      <w:bookmarkEnd w:id="50"/>
      <w:bookmarkEnd w:id="51"/>
    </w:p>
    <w:p w14:paraId="610F6388" w14:textId="578FF985" w:rsidR="00D04A7A" w:rsidRDefault="002B7EE8" w:rsidP="00D04A7A">
      <w:r>
        <w:t xml:space="preserve">The GDA </w:t>
      </w:r>
      <w:r w:rsidR="00DB0599">
        <w:t xml:space="preserve">was </w:t>
      </w:r>
      <w:r>
        <w:t xml:space="preserve">completed in 2012 and NNB </w:t>
      </w:r>
      <w:proofErr w:type="spellStart"/>
      <w:r>
        <w:t>GenCo</w:t>
      </w:r>
      <w:proofErr w:type="spellEnd"/>
      <w:r>
        <w:t xml:space="preserve"> established its HVAC Task Force in 2015 </w:t>
      </w:r>
      <w:r w:rsidRPr="00B07A95">
        <w:t>to determine a conceptual solution to the HVAC design and safety case shortfalls</w:t>
      </w:r>
      <w:r>
        <w:t xml:space="preserve">. NNB </w:t>
      </w:r>
      <w:proofErr w:type="spellStart"/>
      <w:r>
        <w:t>GenCo</w:t>
      </w:r>
      <w:proofErr w:type="spellEnd"/>
      <w:r>
        <w:t xml:space="preserve"> went on to re-design parts of the safeguard buildings, the layout of the systems and components within them, and source new, diverse equipment. </w:t>
      </w:r>
      <w:r w:rsidR="00D04A7A">
        <w:t xml:space="preserve">NNB </w:t>
      </w:r>
      <w:proofErr w:type="spellStart"/>
      <w:r w:rsidR="00557CC3">
        <w:t>GenCo</w:t>
      </w:r>
      <w:proofErr w:type="spellEnd"/>
      <w:r w:rsidR="00D04A7A">
        <w:t xml:space="preserve"> </w:t>
      </w:r>
      <w:r w:rsidR="00C2192D">
        <w:t xml:space="preserve">has subsequently </w:t>
      </w:r>
      <w:r w:rsidR="00C61317">
        <w:t>set out what</w:t>
      </w:r>
      <w:r w:rsidR="00D04A7A">
        <w:t xml:space="preserve"> it considers are the consequential </w:t>
      </w:r>
      <w:r>
        <w:t xml:space="preserve">as a result of these </w:t>
      </w:r>
      <w:r w:rsidR="00C2192D">
        <w:t>endeavours</w:t>
      </w:r>
      <w:r w:rsidR="00D04A7A">
        <w:t>:</w:t>
      </w:r>
    </w:p>
    <w:p w14:paraId="266A31B9" w14:textId="678B74B1" w:rsidR="00D04A7A" w:rsidRPr="004911CB" w:rsidRDefault="0057143D" w:rsidP="001750E1">
      <w:pPr>
        <w:pStyle w:val="Bulletlist1"/>
        <w:numPr>
          <w:ilvl w:val="0"/>
          <w:numId w:val="37"/>
        </w:numPr>
        <w:ind w:left="850" w:hanging="425"/>
      </w:pPr>
      <w:bookmarkStart w:id="52" w:name="_Ref177632222"/>
      <w:r w:rsidRPr="004911CB">
        <w:t>The d</w:t>
      </w:r>
      <w:r w:rsidR="00D04A7A" w:rsidRPr="004911CB">
        <w:t xml:space="preserve">oubling of protection system </w:t>
      </w:r>
      <w:r w:rsidR="00C42F57" w:rsidRPr="004911CB">
        <w:t xml:space="preserve">C&amp;I </w:t>
      </w:r>
      <w:r w:rsidR="00D04A7A" w:rsidRPr="004911CB">
        <w:t>cabinets from 18</w:t>
      </w:r>
      <w:r w:rsidR="000807AF" w:rsidRPr="004911CB">
        <w:t xml:space="preserve"> to</w:t>
      </w:r>
      <w:r w:rsidR="00B65913" w:rsidRPr="004911CB">
        <w:t xml:space="preserve"> </w:t>
      </w:r>
      <w:r w:rsidR="00D04A7A" w:rsidRPr="004911CB">
        <w:t>36</w:t>
      </w:r>
      <w:bookmarkEnd w:id="52"/>
      <w:r w:rsidR="00C61317" w:rsidRPr="004911CB">
        <w:t>.</w:t>
      </w:r>
    </w:p>
    <w:p w14:paraId="14E9EB0F" w14:textId="06618D89" w:rsidR="00454B2A" w:rsidRPr="004911CB" w:rsidRDefault="00454B2A" w:rsidP="001750E1">
      <w:pPr>
        <w:pStyle w:val="Bulletlist1"/>
        <w:numPr>
          <w:ilvl w:val="0"/>
          <w:numId w:val="37"/>
        </w:numPr>
        <w:ind w:left="850" w:hanging="425"/>
      </w:pPr>
      <w:bookmarkStart w:id="53" w:name="_Ref177632234"/>
      <w:r w:rsidRPr="004911CB">
        <w:t xml:space="preserve">HVAC architecture sizing and re-classification to Class </w:t>
      </w:r>
      <w:r w:rsidR="00040057" w:rsidRPr="004911CB">
        <w:t>1</w:t>
      </w:r>
      <w:bookmarkEnd w:id="53"/>
      <w:r w:rsidR="00C61317" w:rsidRPr="004911CB">
        <w:t>.</w:t>
      </w:r>
    </w:p>
    <w:p w14:paraId="0FF454F0" w14:textId="1E1FF7A2" w:rsidR="00454B2A" w:rsidRPr="004911CB" w:rsidRDefault="00454B2A" w:rsidP="001750E1">
      <w:pPr>
        <w:pStyle w:val="Bulletlist1"/>
        <w:numPr>
          <w:ilvl w:val="0"/>
          <w:numId w:val="37"/>
        </w:numPr>
        <w:ind w:left="850" w:hanging="425"/>
      </w:pPr>
      <w:bookmarkStart w:id="54" w:name="_Ref177632243"/>
      <w:r w:rsidRPr="004911CB">
        <w:t>Implementation of dedicated back up HVAC trains</w:t>
      </w:r>
      <w:bookmarkEnd w:id="54"/>
      <w:r w:rsidR="00C61317" w:rsidRPr="004911CB">
        <w:t>.</w:t>
      </w:r>
    </w:p>
    <w:p w14:paraId="34801F79" w14:textId="0A10F72E" w:rsidR="00454B2A" w:rsidRPr="004911CB" w:rsidRDefault="00454B2A" w:rsidP="001750E1">
      <w:pPr>
        <w:pStyle w:val="Bulletlist1"/>
        <w:numPr>
          <w:ilvl w:val="0"/>
          <w:numId w:val="37"/>
        </w:numPr>
        <w:ind w:left="850" w:hanging="425"/>
      </w:pPr>
      <w:bookmarkStart w:id="55" w:name="_Ref177632267"/>
      <w:r w:rsidRPr="004911CB">
        <w:t>Impacts on protection and control system</w:t>
      </w:r>
      <w:bookmarkEnd w:id="55"/>
      <w:r w:rsidR="000807AF" w:rsidRPr="004911CB">
        <w:t>s</w:t>
      </w:r>
      <w:r w:rsidR="00C61317" w:rsidRPr="004911CB">
        <w:t>.</w:t>
      </w:r>
    </w:p>
    <w:p w14:paraId="0A890E48" w14:textId="74D057C0" w:rsidR="00454B2A" w:rsidRPr="004911CB" w:rsidRDefault="00454B2A" w:rsidP="001750E1">
      <w:pPr>
        <w:pStyle w:val="Bulletlist1"/>
        <w:numPr>
          <w:ilvl w:val="0"/>
          <w:numId w:val="37"/>
        </w:numPr>
        <w:ind w:left="850" w:hanging="425"/>
      </w:pPr>
      <w:bookmarkStart w:id="56" w:name="_Ref177632254"/>
      <w:r w:rsidRPr="004911CB">
        <w:t>Modifications for diversity requirements and single failure criterion</w:t>
      </w:r>
      <w:bookmarkEnd w:id="56"/>
      <w:r w:rsidR="00C61317" w:rsidRPr="004911CB">
        <w:t>.</w:t>
      </w:r>
    </w:p>
    <w:p w14:paraId="260553DE" w14:textId="4C8F36CB" w:rsidR="00454B2A" w:rsidRPr="004911CB" w:rsidRDefault="00454B2A" w:rsidP="001750E1">
      <w:pPr>
        <w:pStyle w:val="Bulletlist1"/>
        <w:numPr>
          <w:ilvl w:val="0"/>
          <w:numId w:val="37"/>
        </w:numPr>
        <w:ind w:left="850" w:hanging="425"/>
      </w:pPr>
      <w:bookmarkStart w:id="57" w:name="_Ref177632282"/>
      <w:r w:rsidRPr="004911CB">
        <w:t>Additional floor on two safeguard buildings</w:t>
      </w:r>
      <w:bookmarkEnd w:id="57"/>
      <w:r w:rsidR="00C61317" w:rsidRPr="004911CB">
        <w:t>.</w:t>
      </w:r>
    </w:p>
    <w:p w14:paraId="262EDF52" w14:textId="7F4FFE66" w:rsidR="00D04A7A" w:rsidRPr="004911CB" w:rsidRDefault="00D04A7A" w:rsidP="001750E1">
      <w:pPr>
        <w:pStyle w:val="Bulletlist1"/>
        <w:numPr>
          <w:ilvl w:val="0"/>
          <w:numId w:val="37"/>
        </w:numPr>
        <w:ind w:left="850" w:hanging="425"/>
      </w:pPr>
      <w:bookmarkStart w:id="58" w:name="_Ref177632274"/>
      <w:r w:rsidRPr="004911CB">
        <w:t xml:space="preserve">Increase in classification of </w:t>
      </w:r>
      <w:r w:rsidR="004428BA" w:rsidRPr="004911CB">
        <w:t>C&amp;I</w:t>
      </w:r>
      <w:r w:rsidRPr="004911CB">
        <w:t xml:space="preserve"> turbine control system</w:t>
      </w:r>
      <w:r w:rsidR="00454B2A" w:rsidRPr="004911CB">
        <w:t>.</w:t>
      </w:r>
      <w:bookmarkEnd w:id="58"/>
    </w:p>
    <w:p w14:paraId="27653F9F" w14:textId="6425F249" w:rsidR="00B67067" w:rsidRDefault="00C54B07" w:rsidP="00F96F29">
      <w:r>
        <w:t>ONR</w:t>
      </w:r>
      <w:r w:rsidR="00907EDC">
        <w:t>’s view is that i</w:t>
      </w:r>
      <w:r w:rsidR="0061646E">
        <w:t>tem</w:t>
      </w:r>
      <w:r w:rsidR="00036B07">
        <w:t>s</w:t>
      </w:r>
      <w:r w:rsidR="0061646E">
        <w:t xml:space="preserve"> </w:t>
      </w:r>
      <w:r w:rsidR="00696468">
        <w:fldChar w:fldCharType="begin"/>
      </w:r>
      <w:r w:rsidR="00696468">
        <w:instrText xml:space="preserve"> REF _Ref177632222 \w \h </w:instrText>
      </w:r>
      <w:r w:rsidR="00696468">
        <w:fldChar w:fldCharType="separate"/>
      </w:r>
      <w:r w:rsidR="00E256EC">
        <w:rPr>
          <w:cs/>
        </w:rPr>
        <w:t>‎</w:t>
      </w:r>
      <w:r w:rsidR="00E256EC">
        <w:t>1</w:t>
      </w:r>
      <w:r w:rsidR="00696468">
        <w:fldChar w:fldCharType="end"/>
      </w:r>
      <w:r w:rsidR="00FB3FB8">
        <w:t xml:space="preserve"> </w:t>
      </w:r>
      <w:r w:rsidR="00036B07">
        <w:t xml:space="preserve">and </w:t>
      </w:r>
      <w:r w:rsidR="00696468">
        <w:fldChar w:fldCharType="begin"/>
      </w:r>
      <w:r w:rsidR="00696468">
        <w:instrText xml:space="preserve"> REF _Ref177632234 \w \h </w:instrText>
      </w:r>
      <w:r w:rsidR="00696468">
        <w:fldChar w:fldCharType="separate"/>
      </w:r>
      <w:r w:rsidR="00E256EC">
        <w:rPr>
          <w:cs/>
        </w:rPr>
        <w:t>‎</w:t>
      </w:r>
      <w:r w:rsidR="00E256EC">
        <w:t>2</w:t>
      </w:r>
      <w:r w:rsidR="00696468">
        <w:fldChar w:fldCharType="end"/>
      </w:r>
      <w:r w:rsidR="00036B07">
        <w:t xml:space="preserve"> are</w:t>
      </w:r>
      <w:r>
        <w:t xml:space="preserve"> </w:t>
      </w:r>
      <w:r w:rsidR="00DC4007">
        <w:t>most</w:t>
      </w:r>
      <w:r>
        <w:t xml:space="preserve"> significant in relation to the HVAC design</w:t>
      </w:r>
      <w:r w:rsidR="00DB50FA">
        <w:t xml:space="preserve"> itself</w:t>
      </w:r>
      <w:r w:rsidR="00C2192D">
        <w:t xml:space="preserve">; </w:t>
      </w:r>
      <w:r w:rsidR="006E2B12">
        <w:t>i</w:t>
      </w:r>
      <w:r w:rsidR="000F3AAC">
        <w:t xml:space="preserve">ncreasing the heat loads </w:t>
      </w:r>
      <w:r w:rsidR="00C2192D">
        <w:t xml:space="preserve">inevitably </w:t>
      </w:r>
      <w:r w:rsidR="000F3AAC">
        <w:t xml:space="preserve">increases the demand on the system. </w:t>
      </w:r>
      <w:r w:rsidR="00F96F29">
        <w:t xml:space="preserve">It is </w:t>
      </w:r>
      <w:r w:rsidR="00C2192D">
        <w:t xml:space="preserve">also </w:t>
      </w:r>
      <w:r w:rsidR="00F96F29">
        <w:t>acknowledged that i</w:t>
      </w:r>
      <w:r w:rsidR="00D917DC">
        <w:t xml:space="preserve">ncreasing the classification of HVAC systems </w:t>
      </w:r>
      <w:r w:rsidR="00F96F29">
        <w:t xml:space="preserve">could have resulted in </w:t>
      </w:r>
      <w:r w:rsidR="002411AA">
        <w:t xml:space="preserve">existing suppliers </w:t>
      </w:r>
      <w:r w:rsidR="00F96F29">
        <w:t xml:space="preserve">being </w:t>
      </w:r>
      <w:r w:rsidR="002411AA">
        <w:t>unable to provide</w:t>
      </w:r>
      <w:r w:rsidR="00C2192D">
        <w:t xml:space="preserve"> the required</w:t>
      </w:r>
      <w:r w:rsidR="002411AA">
        <w:t xml:space="preserve"> equipment and </w:t>
      </w:r>
      <w:r w:rsidR="00F96F29">
        <w:t xml:space="preserve">NNB </w:t>
      </w:r>
      <w:proofErr w:type="spellStart"/>
      <w:r w:rsidR="00F96F29">
        <w:t>Gen</w:t>
      </w:r>
      <w:r w:rsidR="00DA5589">
        <w:t>C</w:t>
      </w:r>
      <w:r w:rsidR="00F96F29">
        <w:t>o</w:t>
      </w:r>
      <w:proofErr w:type="spellEnd"/>
      <w:r w:rsidR="00F96F29">
        <w:t xml:space="preserve"> may have needed to find new suppliers and different equipment. </w:t>
      </w:r>
    </w:p>
    <w:p w14:paraId="7EC5D5F0" w14:textId="0023DE76" w:rsidR="00F96F29" w:rsidRDefault="00F96F29" w:rsidP="00F96F29">
      <w:r>
        <w:t xml:space="preserve">Changes in equipment have the potential </w:t>
      </w:r>
      <w:r w:rsidR="00B67067">
        <w:t xml:space="preserve">to </w:t>
      </w:r>
      <w:r>
        <w:t xml:space="preserve">require the HVAC systems to be resized. It is also recognised that the changes could also result in increases </w:t>
      </w:r>
      <w:r w:rsidR="00403125">
        <w:t xml:space="preserve">in the </w:t>
      </w:r>
      <w:r w:rsidR="0080674F">
        <w:t>size of air handling units</w:t>
      </w:r>
      <w:r w:rsidR="005F6925">
        <w:t xml:space="preserve">, the </w:t>
      </w:r>
      <w:r w:rsidR="00403125">
        <w:t>amount of pipework, ductwork</w:t>
      </w:r>
      <w:r w:rsidR="00C14EB1">
        <w:t>, dampers</w:t>
      </w:r>
      <w:r w:rsidR="005F6925">
        <w:t xml:space="preserve"> and</w:t>
      </w:r>
      <w:r w:rsidR="00C14EB1">
        <w:t xml:space="preserve"> filters to deliver the additional ventilation. </w:t>
      </w:r>
      <w:r w:rsidR="000F3AAC">
        <w:t xml:space="preserve">However, </w:t>
      </w:r>
      <w:r>
        <w:t xml:space="preserve">this would have been apparent and understood by </w:t>
      </w:r>
      <w:r w:rsidR="000F3AAC">
        <w:t xml:space="preserve">NNB </w:t>
      </w:r>
      <w:proofErr w:type="spellStart"/>
      <w:r w:rsidR="00557CC3">
        <w:t>GenCo</w:t>
      </w:r>
      <w:proofErr w:type="spellEnd"/>
      <w:r w:rsidR="000F3AAC">
        <w:t xml:space="preserve"> </w:t>
      </w:r>
      <w:r w:rsidR="002B7EE8">
        <w:t xml:space="preserve">at the time it proposed the modifications necessary to allow it to demonstrate the effectiveness of its support systems. </w:t>
      </w:r>
    </w:p>
    <w:p w14:paraId="205A2308" w14:textId="060AE31E" w:rsidR="00AC024B" w:rsidRDefault="00C77EB9" w:rsidP="00D04A7A">
      <w:r>
        <w:t xml:space="preserve">In relation to the </w:t>
      </w:r>
      <w:r w:rsidR="006A2826">
        <w:t xml:space="preserve">impact on protection </w:t>
      </w:r>
      <w:r w:rsidR="00CF3C8D">
        <w:t>and control systems</w:t>
      </w:r>
      <w:r w:rsidR="000E0090">
        <w:t xml:space="preserve"> (</w:t>
      </w:r>
      <w:r w:rsidR="000F0620">
        <w:t>i</w:t>
      </w:r>
      <w:r w:rsidR="000E0090">
        <w:t xml:space="preserve">tem </w:t>
      </w:r>
      <w:r w:rsidR="00696468">
        <w:fldChar w:fldCharType="begin"/>
      </w:r>
      <w:r w:rsidR="00696468">
        <w:instrText xml:space="preserve"> REF _Ref177632267 \w \h </w:instrText>
      </w:r>
      <w:r w:rsidR="00696468">
        <w:fldChar w:fldCharType="separate"/>
      </w:r>
      <w:r w:rsidR="00E256EC">
        <w:rPr>
          <w:cs/>
        </w:rPr>
        <w:t>‎</w:t>
      </w:r>
      <w:r w:rsidR="00E256EC">
        <w:t>4</w:t>
      </w:r>
      <w:r w:rsidR="00696468">
        <w:fldChar w:fldCharType="end"/>
      </w:r>
      <w:r w:rsidR="009E42BA">
        <w:t xml:space="preserve"> and</w:t>
      </w:r>
      <w:r w:rsidR="00E2258D">
        <w:t xml:space="preserve"> </w:t>
      </w:r>
      <w:r w:rsidR="000F0620">
        <w:t>i</w:t>
      </w:r>
      <w:r w:rsidR="009E42BA">
        <w:t xml:space="preserve">tem </w:t>
      </w:r>
      <w:r w:rsidR="00696468">
        <w:fldChar w:fldCharType="begin"/>
      </w:r>
      <w:r w:rsidR="00696468">
        <w:instrText xml:space="preserve"> REF _Ref177632274 \w \h </w:instrText>
      </w:r>
      <w:r w:rsidR="00696468">
        <w:fldChar w:fldCharType="separate"/>
      </w:r>
      <w:r w:rsidR="00E256EC">
        <w:rPr>
          <w:cs/>
        </w:rPr>
        <w:t>‎</w:t>
      </w:r>
      <w:r w:rsidR="00E256EC">
        <w:t>7</w:t>
      </w:r>
      <w:r w:rsidR="00696468">
        <w:fldChar w:fldCharType="end"/>
      </w:r>
      <w:r w:rsidR="000E0090">
        <w:t>)</w:t>
      </w:r>
      <w:r w:rsidR="00CF3C8D">
        <w:t>, when the HVAC system was re</w:t>
      </w:r>
      <w:r w:rsidR="004D0C95">
        <w:t>-classified</w:t>
      </w:r>
      <w:r w:rsidR="00CF3C8D">
        <w:t xml:space="preserve"> to Class 1, it required a </w:t>
      </w:r>
      <w:r w:rsidR="002C595A">
        <w:t xml:space="preserve">diverse </w:t>
      </w:r>
      <w:r w:rsidR="00CF3C8D">
        <w:t xml:space="preserve">Class 1 </w:t>
      </w:r>
      <w:r w:rsidR="002B53CD">
        <w:t xml:space="preserve">C&amp;I system to control it. As such </w:t>
      </w:r>
      <w:r w:rsidR="004A6B81">
        <w:t xml:space="preserve">NNB </w:t>
      </w:r>
      <w:proofErr w:type="spellStart"/>
      <w:r w:rsidR="00557CC3">
        <w:t>GenCo</w:t>
      </w:r>
      <w:proofErr w:type="spellEnd"/>
      <w:r w:rsidR="004A6B81">
        <w:t xml:space="preserve"> used</w:t>
      </w:r>
      <w:r w:rsidR="00F77EC7">
        <w:t xml:space="preserve"> the </w:t>
      </w:r>
      <w:r w:rsidR="00344E2F">
        <w:t>new</w:t>
      </w:r>
      <w:r w:rsidR="002C595A">
        <w:t xml:space="preserve"> </w:t>
      </w:r>
      <w:r w:rsidR="003D398C">
        <w:t xml:space="preserve">non-computerised </w:t>
      </w:r>
      <w:r w:rsidR="004D0C95">
        <w:t xml:space="preserve">HVAC </w:t>
      </w:r>
      <w:r w:rsidR="00462AA7">
        <w:t>C&amp;I</w:t>
      </w:r>
      <w:r w:rsidR="004D0C95">
        <w:t xml:space="preserve"> system.</w:t>
      </w:r>
      <w:r w:rsidR="009E42BA">
        <w:t xml:space="preserve"> </w:t>
      </w:r>
      <w:r w:rsidR="006166D0">
        <w:t>Because of</w:t>
      </w:r>
      <w:r w:rsidR="00F931C8">
        <w:t xml:space="preserve"> re-considering diversity and redundancy, t</w:t>
      </w:r>
      <w:r w:rsidR="009E42BA">
        <w:t xml:space="preserve">he turbine protection and control </w:t>
      </w:r>
      <w:r w:rsidR="00F931C8">
        <w:t xml:space="preserve">C&amp;I </w:t>
      </w:r>
      <w:r w:rsidR="009E42BA">
        <w:t xml:space="preserve">system </w:t>
      </w:r>
      <w:r w:rsidR="00B84886">
        <w:t>was also re-classified</w:t>
      </w:r>
      <w:r w:rsidR="006033DE">
        <w:t xml:space="preserve">. </w:t>
      </w:r>
      <w:r w:rsidR="00DC748F">
        <w:t>Consequently</w:t>
      </w:r>
      <w:r w:rsidR="006033DE">
        <w:t xml:space="preserve">, the </w:t>
      </w:r>
      <w:r w:rsidR="00462A43">
        <w:t xml:space="preserve">ventilation system </w:t>
      </w:r>
      <w:r w:rsidR="008971EB">
        <w:t xml:space="preserve">providing cooling to the C&amp;I </w:t>
      </w:r>
      <w:r w:rsidR="00A5067E">
        <w:t xml:space="preserve">cabinets </w:t>
      </w:r>
      <w:r w:rsidR="00914F5A">
        <w:t xml:space="preserve">required </w:t>
      </w:r>
      <w:r w:rsidR="00B42E09">
        <w:t>improvements</w:t>
      </w:r>
      <w:r w:rsidR="00836E9F">
        <w:t xml:space="preserve">. However, </w:t>
      </w:r>
      <w:r w:rsidR="009623CA">
        <w:t>ONR does</w:t>
      </w:r>
      <w:r w:rsidR="00836E9F">
        <w:t xml:space="preserve"> not consider this to be a significant modification</w:t>
      </w:r>
      <w:r w:rsidR="00DC748F">
        <w:t>.</w:t>
      </w:r>
    </w:p>
    <w:p w14:paraId="1104414C" w14:textId="20D5D179" w:rsidR="00755A4A" w:rsidRDefault="000F0756" w:rsidP="00B173D4">
      <w:r>
        <w:t xml:space="preserve">From a civil </w:t>
      </w:r>
      <w:r w:rsidR="000F0620">
        <w:t>engineering</w:t>
      </w:r>
      <w:r>
        <w:t xml:space="preserve"> perspective, the</w:t>
      </w:r>
      <w:r w:rsidR="00786F51">
        <w:t xml:space="preserve"> key change was the additional floor on two of the four safeguard buildings</w:t>
      </w:r>
      <w:r w:rsidR="00EA6C77">
        <w:t xml:space="preserve"> </w:t>
      </w:r>
      <w:r w:rsidR="000F0620">
        <w:t>(i</w:t>
      </w:r>
      <w:r w:rsidR="00EA6C77">
        <w:t xml:space="preserve">tem </w:t>
      </w:r>
      <w:r w:rsidR="00696468">
        <w:fldChar w:fldCharType="begin"/>
      </w:r>
      <w:r w:rsidR="00696468">
        <w:instrText xml:space="preserve"> REF _Ref177632282 \w \h </w:instrText>
      </w:r>
      <w:r w:rsidR="00696468">
        <w:fldChar w:fldCharType="separate"/>
      </w:r>
      <w:r w:rsidR="00E256EC">
        <w:rPr>
          <w:cs/>
        </w:rPr>
        <w:t>‎</w:t>
      </w:r>
      <w:r w:rsidR="00E256EC">
        <w:t>6</w:t>
      </w:r>
      <w:r w:rsidR="00696468">
        <w:fldChar w:fldCharType="end"/>
      </w:r>
      <w:r w:rsidR="00EA6C77">
        <w:t>)</w:t>
      </w:r>
      <w:r w:rsidR="00786F51">
        <w:t xml:space="preserve">. </w:t>
      </w:r>
      <w:r w:rsidR="00207DE7">
        <w:t xml:space="preserve">When considering </w:t>
      </w:r>
      <w:r w:rsidR="002B7EE8">
        <w:t xml:space="preserve">NNB </w:t>
      </w:r>
      <w:proofErr w:type="spellStart"/>
      <w:r w:rsidR="002B7EE8">
        <w:t>Gen</w:t>
      </w:r>
      <w:r w:rsidR="00694AD7">
        <w:t>C</w:t>
      </w:r>
      <w:r w:rsidR="002B7EE8">
        <w:t>o’s</w:t>
      </w:r>
      <w:proofErr w:type="spellEnd"/>
      <w:r w:rsidR="002B7EE8">
        <w:t xml:space="preserve"> </w:t>
      </w:r>
      <w:r w:rsidR="008B49F3">
        <w:t xml:space="preserve">own determination </w:t>
      </w:r>
      <w:r w:rsidR="007F3207">
        <w:t xml:space="preserve">in 2016 </w:t>
      </w:r>
      <w:r w:rsidR="008B49F3">
        <w:t>of how much concrete this would add to the design</w:t>
      </w:r>
      <w:r w:rsidR="007F3207">
        <w:t xml:space="preserve">, this </w:t>
      </w:r>
      <w:r w:rsidR="00EA6C77">
        <w:t xml:space="preserve">equates to </w:t>
      </w:r>
      <w:r w:rsidR="00C75769">
        <w:t>only</w:t>
      </w:r>
      <w:r w:rsidR="00EA6C77">
        <w:t xml:space="preserve"> a </w:t>
      </w:r>
      <w:r w:rsidR="00BA6683">
        <w:t>minor</w:t>
      </w:r>
      <w:r w:rsidR="00EA6C77">
        <w:t xml:space="preserve"> increase in concrete</w:t>
      </w:r>
      <w:r w:rsidR="002B32F6">
        <w:t>.</w:t>
      </w:r>
      <w:r w:rsidR="00EA6C77">
        <w:t xml:space="preserve"> </w:t>
      </w:r>
      <w:r w:rsidR="005637C4">
        <w:t xml:space="preserve">That said, the </w:t>
      </w:r>
      <w:r w:rsidR="00BC1BC7">
        <w:t xml:space="preserve">effort involved in </w:t>
      </w:r>
      <w:r w:rsidR="0041614D">
        <w:t xml:space="preserve">redesigning the building and the </w:t>
      </w:r>
      <w:r w:rsidR="008D5EE0">
        <w:t xml:space="preserve">layout of the systems within it </w:t>
      </w:r>
      <w:r w:rsidR="00762A41">
        <w:t>would not be</w:t>
      </w:r>
      <w:r w:rsidR="00564A62">
        <w:t xml:space="preserve">. </w:t>
      </w:r>
    </w:p>
    <w:p w14:paraId="436C3D88" w14:textId="3C62B4D6" w:rsidR="005D6E74" w:rsidRDefault="00F9625E" w:rsidP="00B173D4">
      <w:r w:rsidRPr="00A901D6">
        <w:lastRenderedPageBreak/>
        <w:t xml:space="preserve">NNB </w:t>
      </w:r>
      <w:proofErr w:type="spellStart"/>
      <w:r w:rsidR="00557CC3" w:rsidRPr="00A901D6">
        <w:t>GenCo</w:t>
      </w:r>
      <w:proofErr w:type="spellEnd"/>
      <w:r w:rsidRPr="00A901D6">
        <w:t xml:space="preserve"> </w:t>
      </w:r>
      <w:r w:rsidR="0090403A">
        <w:t xml:space="preserve">did not </w:t>
      </w:r>
      <w:r w:rsidR="001F684D" w:rsidRPr="00A901D6">
        <w:t xml:space="preserve">seek discussions with ONR to </w:t>
      </w:r>
      <w:r w:rsidR="00B3669C" w:rsidRPr="00A901D6">
        <w:t>claim this</w:t>
      </w:r>
      <w:r w:rsidR="00BB0E8C" w:rsidRPr="00A901D6">
        <w:t>, or any of the other modifications,</w:t>
      </w:r>
      <w:r w:rsidR="00B3669C" w:rsidRPr="00A901D6">
        <w:t xml:space="preserve"> to be disproportionate</w:t>
      </w:r>
      <w:r w:rsidR="00C053BE" w:rsidRPr="00A901D6">
        <w:t xml:space="preserve"> or unnecessary</w:t>
      </w:r>
      <w:r w:rsidR="00755A4A" w:rsidRPr="00A901D6">
        <w:t xml:space="preserve"> from</w:t>
      </w:r>
      <w:r w:rsidR="00C520E4" w:rsidRPr="00A901D6">
        <w:t xml:space="preserve"> </w:t>
      </w:r>
      <w:r w:rsidR="00755A4A" w:rsidRPr="00A901D6">
        <w:t>a nuclear safety perspective</w:t>
      </w:r>
      <w:r w:rsidR="00CA57C1" w:rsidRPr="00A901D6">
        <w:t>.</w:t>
      </w:r>
    </w:p>
    <w:p w14:paraId="587786FA" w14:textId="75B59545" w:rsidR="005D6E74" w:rsidRDefault="00FE07AF" w:rsidP="00A97C89">
      <w:pPr>
        <w:pStyle w:val="Heading1"/>
      </w:pPr>
      <w:bookmarkStart w:id="59" w:name="_Toc758217990"/>
      <w:bookmarkStart w:id="60" w:name="_Toc178776929"/>
      <w:r>
        <w:t xml:space="preserve">Use of </w:t>
      </w:r>
      <w:r w:rsidR="008354B6">
        <w:t>f</w:t>
      </w:r>
      <w:r>
        <w:t>ibre</w:t>
      </w:r>
      <w:r w:rsidR="008354B6">
        <w:t>-f</w:t>
      </w:r>
      <w:r>
        <w:t>ree insulation</w:t>
      </w:r>
      <w:bookmarkEnd w:id="59"/>
      <w:bookmarkEnd w:id="60"/>
    </w:p>
    <w:p w14:paraId="57B283B8" w14:textId="44610098" w:rsidR="00DE7B88" w:rsidRDefault="00C25DE4" w:rsidP="00EA236F">
      <w:pPr>
        <w:pStyle w:val="Heading2"/>
      </w:pPr>
      <w:bookmarkStart w:id="61" w:name="_Toc178776930"/>
      <w:bookmarkStart w:id="62" w:name="_Hlk175732495"/>
      <w:r>
        <w:t>Overview</w:t>
      </w:r>
      <w:bookmarkEnd w:id="61"/>
    </w:p>
    <w:p w14:paraId="2D85E9C9" w14:textId="77777777" w:rsidR="00563825" w:rsidRDefault="00E2258D" w:rsidP="00205E98">
      <w:r>
        <w:t xml:space="preserve">In GDA, </w:t>
      </w:r>
      <w:r w:rsidR="00205E98">
        <w:t xml:space="preserve">EDF and AREVA proposed to insulate the main reactor components in a fibrous material. ONR asked for a demonstration that </w:t>
      </w:r>
      <w:r w:rsidR="00D46D7B">
        <w:t xml:space="preserve">this insulation </w:t>
      </w:r>
      <w:r w:rsidR="00205E98">
        <w:t>could not become detached in particular event conditions</w:t>
      </w:r>
      <w:r w:rsidR="00066321">
        <w:t xml:space="preserve"> (notably ‘loss of coolant accidents</w:t>
      </w:r>
      <w:r w:rsidR="00A03D9F">
        <w:t>’</w:t>
      </w:r>
      <w:r w:rsidR="00066321">
        <w:t>)</w:t>
      </w:r>
      <w:r w:rsidR="00205E98">
        <w:t xml:space="preserve">, causing fine fibres to be transported and enter the fuel (and other areas). </w:t>
      </w:r>
    </w:p>
    <w:p w14:paraId="76741969" w14:textId="4531058F" w:rsidR="00205E98" w:rsidRDefault="00D46D7B" w:rsidP="00205E98">
      <w:r>
        <w:t>ONR’s concern was that o</w:t>
      </w:r>
      <w:r w:rsidR="00066321">
        <w:t xml:space="preserve">ver an extended period of time, cooling to the fuel that had been initially successfully provided could be </w:t>
      </w:r>
      <w:r>
        <w:t>compromised,</w:t>
      </w:r>
      <w:r w:rsidR="00066321">
        <w:t xml:space="preserve"> eventually result</w:t>
      </w:r>
      <w:r>
        <w:t>ing</w:t>
      </w:r>
      <w:r w:rsidR="00066321">
        <w:t xml:space="preserve"> in the fuel cladding overheating and </w:t>
      </w:r>
      <w:r>
        <w:t>a</w:t>
      </w:r>
      <w:r w:rsidR="00703975">
        <w:t xml:space="preserve"> loss of control of </w:t>
      </w:r>
      <w:r>
        <w:t>the previously</w:t>
      </w:r>
      <w:r w:rsidR="008F0D45">
        <w:t>-</w:t>
      </w:r>
      <w:r>
        <w:t xml:space="preserve">managed </w:t>
      </w:r>
      <w:r w:rsidR="00703975">
        <w:t>event. The</w:t>
      </w:r>
      <w:r w:rsidR="00066321">
        <w:t xml:space="preserve"> primary protection against this happening in the original EPR design was filters </w:t>
      </w:r>
      <w:r w:rsidR="00703975">
        <w:t>on water intakes in the containment building</w:t>
      </w:r>
      <w:r w:rsidR="00D50D30">
        <w:t>,</w:t>
      </w:r>
      <w:r>
        <w:t xml:space="preserve"> but dislodged or relocated debris has the potential to clog these filters. </w:t>
      </w:r>
    </w:p>
    <w:p w14:paraId="5EFFBCBD" w14:textId="01A7F1FF" w:rsidR="00205E98" w:rsidRDefault="00205E98" w:rsidP="00205E98">
      <w:r>
        <w:t>At the time, ONR was advised that EDF and AREVA had carried out a substantial amount of development and tests and the issue was expected to be resolved satisfactorily. However</w:t>
      </w:r>
      <w:r w:rsidR="00D80CA9">
        <w:t>,</w:t>
      </w:r>
      <w:r>
        <w:t xml:space="preserve"> these did not demonstrate why the design option proposed reduced risks </w:t>
      </w:r>
      <w:r w:rsidR="003249ED">
        <w:t>so far as is reasonably practicable</w:t>
      </w:r>
      <w:r>
        <w:t xml:space="preserve">. </w:t>
      </w:r>
    </w:p>
    <w:p w14:paraId="0F5EFAD5" w14:textId="7C762B4D" w:rsidR="002D2D28" w:rsidRDefault="002D2D28" w:rsidP="002D2D28">
      <w:r>
        <w:t xml:space="preserve">In regulatory engagements post GDA, NNB </w:t>
      </w:r>
      <w:proofErr w:type="spellStart"/>
      <w:r>
        <w:t>GenCo</w:t>
      </w:r>
      <w:proofErr w:type="spellEnd"/>
      <w:r>
        <w:t xml:space="preserve"> notified </w:t>
      </w:r>
      <w:r w:rsidR="00A03D9F">
        <w:t xml:space="preserve">ONR of </w:t>
      </w:r>
      <w:r>
        <w:t xml:space="preserve">its intention to minimise the use of fibrous insulation material within the containment, using </w:t>
      </w:r>
      <w:r w:rsidR="007B2A2D">
        <w:t>Reflective Metal Insulation (</w:t>
      </w:r>
      <w:r>
        <w:t>RMI</w:t>
      </w:r>
      <w:r w:rsidR="007B2A2D">
        <w:t>)</w:t>
      </w:r>
      <w:r>
        <w:t xml:space="preserve"> to reduce or eliminate the hazard for HPC. </w:t>
      </w:r>
    </w:p>
    <w:p w14:paraId="4301E0D2" w14:textId="4EAAA2BD" w:rsidR="00DE7B88" w:rsidRDefault="001B1402" w:rsidP="00EA236F">
      <w:pPr>
        <w:pStyle w:val="Heading2"/>
      </w:pPr>
      <w:bookmarkStart w:id="63" w:name="_Toc178776931"/>
      <w:r>
        <w:t>Differences in regulatory approaches</w:t>
      </w:r>
      <w:bookmarkEnd w:id="63"/>
    </w:p>
    <w:p w14:paraId="3A1AB294" w14:textId="5710DBBF" w:rsidR="00205E98" w:rsidRDefault="00205E98" w:rsidP="00205E98">
      <w:r>
        <w:t xml:space="preserve">During GDA, ONR highlighted </w:t>
      </w:r>
      <w:r w:rsidR="007B2A2D">
        <w:t xml:space="preserve">to EDF and AREVA </w:t>
      </w:r>
      <w:r>
        <w:t xml:space="preserve">that fibrous insulation was avoided at </w:t>
      </w:r>
      <w:r w:rsidR="00F14289">
        <w:t xml:space="preserve">the </w:t>
      </w:r>
      <w:r w:rsidR="00DD1FD9">
        <w:t xml:space="preserve">existing </w:t>
      </w:r>
      <w:r>
        <w:t xml:space="preserve">Sizewell B </w:t>
      </w:r>
      <w:r w:rsidR="00F14289">
        <w:t xml:space="preserve">power station </w:t>
      </w:r>
      <w:r>
        <w:t>through the extensive use of metal foil insulation. Furthermore, consultation with other international regulators confirmed ONR’s view that the insulation offered in the UK EPR design was not aligned with international good practice</w:t>
      </w:r>
      <w:r w:rsidR="004D1760">
        <w:t>,</w:t>
      </w:r>
      <w:r w:rsidR="00E4677D">
        <w:t xml:space="preserve"> and other modern reactor designs (not just Sizewell B) had moved away from fibrous insulation</w:t>
      </w:r>
      <w:r>
        <w:t>.</w:t>
      </w:r>
    </w:p>
    <w:p w14:paraId="2A841682" w14:textId="31C04AF0" w:rsidR="00E4677D" w:rsidRDefault="00205E98" w:rsidP="00205E98">
      <w:r>
        <w:t xml:space="preserve">This aspect of the design was also discussed with regulators participating in the </w:t>
      </w:r>
      <w:r w:rsidR="00E4677D">
        <w:t xml:space="preserve">MDEP, both in </w:t>
      </w:r>
      <w:r w:rsidR="007B2A2D">
        <w:t xml:space="preserve">an </w:t>
      </w:r>
      <w:r w:rsidR="00E4677D">
        <w:t xml:space="preserve">EPR-specific context and for other reactor technologies. The need for reactor vendors to demonstrate the effectiveness of filters or strainers to ensure fuel cooling can be ensured was a regular topic for discussion. MDEP meetings provided an effective forum for sharing regulatory </w:t>
      </w:r>
      <w:r w:rsidR="00F405C6">
        <w:t>expectations and</w:t>
      </w:r>
      <w:r w:rsidR="00E4677D">
        <w:t xml:space="preserve"> revealed a common expectation that regardless of the type of insulation used, there should be substantiation in safety cases of claims made</w:t>
      </w:r>
      <w:r w:rsidR="00703975">
        <w:t xml:space="preserve"> on filters and strainers</w:t>
      </w:r>
      <w:r w:rsidR="00E4677D">
        <w:t xml:space="preserve">. </w:t>
      </w:r>
    </w:p>
    <w:p w14:paraId="44D95F76" w14:textId="087BA130" w:rsidR="00DE7B88" w:rsidRDefault="00DE7B88" w:rsidP="00EA236F">
      <w:pPr>
        <w:pStyle w:val="Heading2"/>
      </w:pPr>
      <w:bookmarkStart w:id="64" w:name="_Toc177747083"/>
      <w:bookmarkStart w:id="65" w:name="_Toc1965909313"/>
      <w:bookmarkStart w:id="66" w:name="_Toc178776932"/>
      <w:r>
        <w:lastRenderedPageBreak/>
        <w:t>S</w:t>
      </w:r>
      <w:bookmarkEnd w:id="64"/>
      <w:bookmarkEnd w:id="65"/>
      <w:r w:rsidR="00EE18A6">
        <w:t>afety benefit</w:t>
      </w:r>
      <w:bookmarkEnd w:id="66"/>
    </w:p>
    <w:p w14:paraId="774A7433" w14:textId="5026F8DA" w:rsidR="00066321" w:rsidRDefault="00DC3C3C" w:rsidP="00DC3C3C">
      <w:r w:rsidRPr="00DC3C3C">
        <w:t>The</w:t>
      </w:r>
      <w:r w:rsidR="00066321">
        <w:t xml:space="preserve"> </w:t>
      </w:r>
      <w:r w:rsidR="00703975">
        <w:t>need to provide effective cooling to the fuel in the reactor for an extended period of time following a loss of coolant accident is a fundamental safety function that needs to be demonstrated on a modern nuclear power plant.</w:t>
      </w:r>
    </w:p>
    <w:p w14:paraId="3AA24FB5" w14:textId="7D2A3C65" w:rsidR="00703975" w:rsidRDefault="00703975" w:rsidP="00DC3C3C">
      <w:r>
        <w:t>That demonstration was not provided during GDA</w:t>
      </w:r>
      <w:r w:rsidR="005F75FC">
        <w:t>,</w:t>
      </w:r>
      <w:r>
        <w:t xml:space="preserve"> but that internationally</w:t>
      </w:r>
      <w:r w:rsidR="007B2A2D">
        <w:t>-</w:t>
      </w:r>
      <w:r>
        <w:t xml:space="preserve">recognised expectation was already accepted by EDF and AREVA, on the basis that they </w:t>
      </w:r>
      <w:r w:rsidR="00860837">
        <w:t>notified</w:t>
      </w:r>
      <w:r>
        <w:t xml:space="preserve"> ONR </w:t>
      </w:r>
      <w:r w:rsidR="00860837">
        <w:t xml:space="preserve">of </w:t>
      </w:r>
      <w:r>
        <w:t xml:space="preserve">the significant amount of effort they were putting into this issue. </w:t>
      </w:r>
    </w:p>
    <w:p w14:paraId="4F4E2B6D" w14:textId="585BDB09" w:rsidR="00066321" w:rsidRDefault="00703975" w:rsidP="00DC3C3C">
      <w:r>
        <w:t xml:space="preserve">Other reactor vendors had already reached the conclusion that to provide the necessary demonstrations of effectiveness, </w:t>
      </w:r>
      <w:r w:rsidR="002D2D28">
        <w:t xml:space="preserve">alternatives to fibrous insulation should be adopted. Ultimately, NNB </w:t>
      </w:r>
      <w:proofErr w:type="spellStart"/>
      <w:r w:rsidR="002D2D28">
        <w:t>GenCo</w:t>
      </w:r>
      <w:proofErr w:type="spellEnd"/>
      <w:r w:rsidR="002D2D28">
        <w:t xml:space="preserve"> reached a similar conclusion. </w:t>
      </w:r>
    </w:p>
    <w:p w14:paraId="62300EDA" w14:textId="56ADCC38" w:rsidR="00DC3C3C" w:rsidRPr="00DC3C3C" w:rsidRDefault="002D2D28" w:rsidP="007B2A2D">
      <w:r>
        <w:t xml:space="preserve">Through the adoption of RMI, NNB </w:t>
      </w:r>
      <w:proofErr w:type="spellStart"/>
      <w:r>
        <w:t>GenCo</w:t>
      </w:r>
      <w:proofErr w:type="spellEnd"/>
      <w:r>
        <w:t xml:space="preserve"> is claiming that it has a design with a significantly reduced risk of fuel cooling being compromised. No equivalent demonstration was provided </w:t>
      </w:r>
      <w:r w:rsidR="00A9229C">
        <w:t xml:space="preserve">to ONR </w:t>
      </w:r>
      <w:r>
        <w:t xml:space="preserve">for the UK EPR </w:t>
      </w:r>
      <w:r w:rsidR="009E74F5">
        <w:t xml:space="preserve">original design </w:t>
      </w:r>
      <w:r w:rsidR="00D46D7B">
        <w:t>that</w:t>
      </w:r>
      <w:r w:rsidR="009E74F5">
        <w:t xml:space="preserve"> could achieve</w:t>
      </w:r>
      <w:r w:rsidR="00D46D7B">
        <w:t xml:space="preserve"> similar outcomes.</w:t>
      </w:r>
    </w:p>
    <w:p w14:paraId="68B6AAFE" w14:textId="6479D0EB" w:rsidR="00DE7B88" w:rsidRDefault="00926EDB" w:rsidP="00EA236F">
      <w:pPr>
        <w:pStyle w:val="Heading2"/>
      </w:pPr>
      <w:bookmarkStart w:id="67" w:name="_Toc177747084"/>
      <w:bookmarkStart w:id="68" w:name="_Toc1462298287"/>
      <w:bookmarkStart w:id="69" w:name="_Toc178776933"/>
      <w:r>
        <w:t>I</w:t>
      </w:r>
      <w:r w:rsidR="00DE7B88">
        <w:t>mpact</w:t>
      </w:r>
      <w:bookmarkEnd w:id="67"/>
      <w:bookmarkEnd w:id="68"/>
      <w:bookmarkEnd w:id="69"/>
    </w:p>
    <w:p w14:paraId="76F706A6" w14:textId="27B337DA" w:rsidR="001345A2" w:rsidRDefault="001345A2" w:rsidP="001345A2">
      <w:r>
        <w:t xml:space="preserve">NNB </w:t>
      </w:r>
      <w:proofErr w:type="spellStart"/>
      <w:r w:rsidR="00557CC3">
        <w:t>GenCo</w:t>
      </w:r>
      <w:proofErr w:type="spellEnd"/>
      <w:r>
        <w:t xml:space="preserve"> initially </w:t>
      </w:r>
      <w:r w:rsidR="002D2D28">
        <w:t xml:space="preserve">stated it was </w:t>
      </w:r>
      <w:r>
        <w:t>looking for a limited implementation of RMI</w:t>
      </w:r>
      <w:r w:rsidR="002D2D28">
        <w:t xml:space="preserve">. However, </w:t>
      </w:r>
      <w:r>
        <w:t xml:space="preserve">it ultimately decided that a </w:t>
      </w:r>
      <w:r w:rsidR="00926EDB">
        <w:t>‘</w:t>
      </w:r>
      <w:r>
        <w:t>fibre free accident</w:t>
      </w:r>
      <w:r w:rsidR="00954CF8">
        <w:t>’</w:t>
      </w:r>
      <w:r>
        <w:t xml:space="preserve"> approach for the majority of the plant was the most appropriate policy to reduce the hazard </w:t>
      </w:r>
      <w:r w:rsidR="00205E98">
        <w:t>in post-accident conditions.</w:t>
      </w:r>
      <w:r>
        <w:t xml:space="preserve"> Whilst ONR was informed that implementation of RMI within the containment was challenging and time consuming, NNB </w:t>
      </w:r>
      <w:proofErr w:type="spellStart"/>
      <w:r w:rsidR="00557CC3">
        <w:t>GenCo</w:t>
      </w:r>
      <w:proofErr w:type="spellEnd"/>
      <w:r>
        <w:t xml:space="preserve"> confirmed that its impact on the plant and building work was manageable and could be incorporated within the design sequence. </w:t>
      </w:r>
    </w:p>
    <w:p w14:paraId="7DC705F6" w14:textId="5B103936" w:rsidR="001345A2" w:rsidRDefault="001345A2" w:rsidP="001345A2">
      <w:r>
        <w:t xml:space="preserve">NNB </w:t>
      </w:r>
      <w:proofErr w:type="spellStart"/>
      <w:r w:rsidR="00557CC3">
        <w:t>GenCo</w:t>
      </w:r>
      <w:proofErr w:type="spellEnd"/>
      <w:r>
        <w:t xml:space="preserve"> has stated that the impact of this change was a multi-year recovery project including:</w:t>
      </w:r>
    </w:p>
    <w:p w14:paraId="573CB1B7" w14:textId="77777777" w:rsidR="00205E98" w:rsidRDefault="00205E98" w:rsidP="00E626C0">
      <w:pPr>
        <w:pStyle w:val="Bulletlist1"/>
        <w:numPr>
          <w:ilvl w:val="0"/>
          <w:numId w:val="46"/>
        </w:numPr>
        <w:ind w:left="850" w:hanging="425"/>
      </w:pPr>
      <w:r>
        <w:t>Insulation material inside the reactor building being changed from a fibrous material to RMI, and fibrous cable tray wrapping also replaced.</w:t>
      </w:r>
    </w:p>
    <w:p w14:paraId="4E7AA35B" w14:textId="77777777" w:rsidR="00205E98" w:rsidRDefault="00205E98" w:rsidP="00E626C0">
      <w:pPr>
        <w:pStyle w:val="Bulletlist1"/>
        <w:numPr>
          <w:ilvl w:val="0"/>
          <w:numId w:val="46"/>
        </w:numPr>
        <w:ind w:left="850" w:hanging="425"/>
      </w:pPr>
      <w:r>
        <w:t xml:space="preserve">Impact on the layout of SSCs as the volume required for the RMI was greater than the fibrous material to achieve the same thermal performance. </w:t>
      </w:r>
    </w:p>
    <w:p w14:paraId="51D9A6C9" w14:textId="77777777" w:rsidR="00205E98" w:rsidRDefault="00205E98" w:rsidP="00E626C0">
      <w:pPr>
        <w:pStyle w:val="Bulletlist1"/>
        <w:numPr>
          <w:ilvl w:val="0"/>
          <w:numId w:val="46"/>
        </w:numPr>
        <w:ind w:left="850" w:hanging="425"/>
      </w:pPr>
      <w:r>
        <w:t>Impact on the design, specification and manufacture of the filters in the In-containment Refuelling Water Storage Tank (IRWST).</w:t>
      </w:r>
    </w:p>
    <w:p w14:paraId="25E046DC" w14:textId="6480729C" w:rsidR="00205E98" w:rsidRDefault="00205E98" w:rsidP="00E626C0">
      <w:pPr>
        <w:pStyle w:val="Bulletlist1"/>
        <w:numPr>
          <w:ilvl w:val="0"/>
          <w:numId w:val="46"/>
        </w:numPr>
        <w:ind w:left="850" w:hanging="425"/>
      </w:pPr>
      <w:r>
        <w:t>Additional qualification testing of pumps to cope with the modified debris, as the Flamanville 3 data was no longer representative.</w:t>
      </w:r>
    </w:p>
    <w:p w14:paraId="280B3798" w14:textId="4BEEE3F9" w:rsidR="001345A2" w:rsidRDefault="001345A2" w:rsidP="00E626C0">
      <w:pPr>
        <w:pStyle w:val="Bulletlist1"/>
        <w:numPr>
          <w:ilvl w:val="0"/>
          <w:numId w:val="46"/>
        </w:numPr>
        <w:ind w:left="850" w:hanging="425"/>
      </w:pPr>
      <w:r>
        <w:t>Re</w:t>
      </w:r>
      <w:r w:rsidR="00B56726">
        <w:t>-</w:t>
      </w:r>
      <w:r>
        <w:t>assessment of Control Rod Drive Mechanism performance with RMI.</w:t>
      </w:r>
    </w:p>
    <w:p w14:paraId="51609B9C" w14:textId="702D658A" w:rsidR="001345A2" w:rsidRDefault="7E051B90" w:rsidP="001345A2">
      <w:r>
        <w:t xml:space="preserve">NNB </w:t>
      </w:r>
      <w:proofErr w:type="spellStart"/>
      <w:r>
        <w:t>GenCo</w:t>
      </w:r>
      <w:proofErr w:type="spellEnd"/>
      <w:r>
        <w:t xml:space="preserve"> has developed the HPC design in a series of modifications, from the GDA design that contained significant fibrous insulation, to one where almost all potential sources of fibrous debris in the containment have been replaced by </w:t>
      </w:r>
      <w:r>
        <w:lastRenderedPageBreak/>
        <w:t xml:space="preserve">alternatives. </w:t>
      </w:r>
      <w:r w:rsidR="1E50610C">
        <w:t>This process of design evolution culminated in the submission of a</w:t>
      </w:r>
      <w:r w:rsidR="001345A2">
        <w:t xml:space="preserve"> formal design change to ONR for Agreement in 2020</w:t>
      </w:r>
      <w:r w:rsidR="00205E98">
        <w:t>. The key safety argument for this modification was that it would significantly reduce the risk of the containment and core cooling systems being blocked by insulation debris, in the event of an accident</w:t>
      </w:r>
      <w:r w:rsidR="001345A2">
        <w:t xml:space="preserve">. </w:t>
      </w:r>
    </w:p>
    <w:p w14:paraId="023E7DE7" w14:textId="3D453B10" w:rsidR="001345A2" w:rsidRDefault="001345A2" w:rsidP="001345A2">
      <w:r>
        <w:t xml:space="preserve">No specifics on the cost and time implications of this change </w:t>
      </w:r>
      <w:r w:rsidR="00073ABC">
        <w:t>are available</w:t>
      </w:r>
      <w:r w:rsidR="0022590D">
        <w:t xml:space="preserve"> to ONR</w:t>
      </w:r>
      <w:r>
        <w:t xml:space="preserve">. It is noted that a 7-year period elapsed between the end of the GDA and the submission of the </w:t>
      </w:r>
      <w:r w:rsidR="30A012B7">
        <w:t xml:space="preserve">formal </w:t>
      </w:r>
      <w:r>
        <w:t>design change.</w:t>
      </w:r>
      <w:r w:rsidR="42BC6440">
        <w:t xml:space="preserve"> </w:t>
      </w:r>
      <w:r w:rsidR="5F55F61A">
        <w:t>The reason for th</w:t>
      </w:r>
      <w:r w:rsidR="3C7A81D5">
        <w:t xml:space="preserve">e delay in implementing changes has not been provided. </w:t>
      </w:r>
    </w:p>
    <w:p w14:paraId="5A10B5F6" w14:textId="23C36588" w:rsidR="006331C9" w:rsidRPr="001345A2" w:rsidRDefault="006331C9" w:rsidP="001345A2">
      <w:r w:rsidRPr="00627D13">
        <w:t>It is noted that a solution minimi</w:t>
      </w:r>
      <w:r>
        <w:t>s</w:t>
      </w:r>
      <w:r w:rsidRPr="00627D13">
        <w:t>ing fibre and using RMI has been adopted for the EPR2 design proposed for deployment in France.</w:t>
      </w:r>
    </w:p>
    <w:p w14:paraId="7D428804" w14:textId="5B5F3053" w:rsidR="00DE7B88" w:rsidRDefault="00B764FB" w:rsidP="006331C9">
      <w:pPr>
        <w:pStyle w:val="Heading1"/>
        <w:ind w:left="567" w:hanging="567"/>
      </w:pPr>
      <w:bookmarkStart w:id="70" w:name="_Toc759745131"/>
      <w:bookmarkStart w:id="71" w:name="_Toc178776934"/>
      <w:bookmarkEnd w:id="62"/>
      <w:r>
        <w:t>Greater use of concrete and steel</w:t>
      </w:r>
      <w:bookmarkEnd w:id="70"/>
      <w:bookmarkEnd w:id="71"/>
    </w:p>
    <w:p w14:paraId="4E29605D" w14:textId="36AD289F" w:rsidR="00B764FB" w:rsidRDefault="004071E5" w:rsidP="00EA236F">
      <w:pPr>
        <w:pStyle w:val="Heading2"/>
      </w:pPr>
      <w:bookmarkStart w:id="72" w:name="_Toc178776935"/>
      <w:bookmarkStart w:id="73" w:name="_Hlk175732540"/>
      <w:r>
        <w:t>Overview</w:t>
      </w:r>
      <w:bookmarkEnd w:id="72"/>
    </w:p>
    <w:p w14:paraId="2462B863" w14:textId="489FDDF7" w:rsidR="003E1BF7" w:rsidRDefault="003E1BF7" w:rsidP="003E1BF7">
      <w:r>
        <w:t>It has been publicly</w:t>
      </w:r>
      <w:r w:rsidR="005221DE">
        <w:t>-</w:t>
      </w:r>
      <w:r>
        <w:t xml:space="preserve">stated by NNB </w:t>
      </w:r>
      <w:proofErr w:type="spellStart"/>
      <w:r w:rsidR="00557CC3">
        <w:t>GenCo</w:t>
      </w:r>
      <w:proofErr w:type="spellEnd"/>
      <w:r>
        <w:t xml:space="preserve"> that 35% more steel and 25% more concrete was needed than originally planned and that this was </w:t>
      </w:r>
      <w:r w:rsidR="00D3217B">
        <w:t>because</w:t>
      </w:r>
      <w:r>
        <w:t xml:space="preserve"> of British regulatory requirements. </w:t>
      </w:r>
      <w:r w:rsidR="00D56F0E">
        <w:t xml:space="preserve">During our engagements for this review, NNB </w:t>
      </w:r>
      <w:proofErr w:type="spellStart"/>
      <w:r w:rsidR="00D56F0E">
        <w:t>Gen</w:t>
      </w:r>
      <w:r w:rsidR="00D57393">
        <w:t>Co</w:t>
      </w:r>
      <w:proofErr w:type="spellEnd"/>
      <w:r>
        <w:t xml:space="preserve"> advised that the concrete quantities in the main civil works contract (which excludes marine works) are some 21% higher than the earliest available estimate in 2010 (i.e. pre-GDA conclusion). </w:t>
      </w:r>
      <w:r w:rsidR="00FE5E94">
        <w:t>I</w:t>
      </w:r>
      <w:r w:rsidR="00D57393">
        <w:t xml:space="preserve">t is not </w:t>
      </w:r>
      <w:r w:rsidR="00FE5E94">
        <w:t>clear if this</w:t>
      </w:r>
      <w:r>
        <w:t xml:space="preserve"> relates to reinforcing steel, structural steel or a combination of the two</w:t>
      </w:r>
      <w:r w:rsidR="00566E8D">
        <w:t>,</w:t>
      </w:r>
      <w:r w:rsidR="00B3463B">
        <w:t xml:space="preserve"> </w:t>
      </w:r>
      <w:r w:rsidR="00566E8D">
        <w:t>or</w:t>
      </w:r>
      <w:r w:rsidR="00B3463B">
        <w:t xml:space="preserve"> which </w:t>
      </w:r>
      <w:r w:rsidR="00182A58">
        <w:t xml:space="preserve">additional </w:t>
      </w:r>
      <w:r>
        <w:t xml:space="preserve">buildings </w:t>
      </w:r>
      <w:r w:rsidR="004F457E">
        <w:t xml:space="preserve">have </w:t>
      </w:r>
      <w:r w:rsidR="004779F6">
        <w:t>contributed to</w:t>
      </w:r>
      <w:r w:rsidR="004F457E">
        <w:t xml:space="preserve"> th</w:t>
      </w:r>
      <w:r w:rsidR="009C6750">
        <w:t>ese</w:t>
      </w:r>
      <w:r w:rsidR="004F457E">
        <w:t xml:space="preserve"> </w:t>
      </w:r>
      <w:r>
        <w:t>estimate</w:t>
      </w:r>
      <w:r w:rsidR="009C6750">
        <w:t>s</w:t>
      </w:r>
      <w:r>
        <w:t xml:space="preserve">. </w:t>
      </w:r>
      <w:r w:rsidR="009C6750">
        <w:t>However</w:t>
      </w:r>
      <w:r w:rsidR="00BB70B1">
        <w:t>,</w:t>
      </w:r>
      <w:r w:rsidR="009C6750">
        <w:t xml:space="preserve"> i</w:t>
      </w:r>
      <w:r>
        <w:t xml:space="preserve">t is </w:t>
      </w:r>
      <w:r w:rsidR="009C6750">
        <w:t xml:space="preserve">accepted by ONR </w:t>
      </w:r>
      <w:r>
        <w:t xml:space="preserve">that, compared to the </w:t>
      </w:r>
      <w:proofErr w:type="spellStart"/>
      <w:r>
        <w:t>Flamanville</w:t>
      </w:r>
      <w:proofErr w:type="spellEnd"/>
      <w:r>
        <w:t xml:space="preserve"> 3 reference design, </w:t>
      </w:r>
      <w:r w:rsidR="00D3217B">
        <w:t>several</w:t>
      </w:r>
      <w:r>
        <w:t xml:space="preserve"> new buildings have been added and a number of buildings have been modified. </w:t>
      </w:r>
    </w:p>
    <w:p w14:paraId="7A487751" w14:textId="412F081C" w:rsidR="003E1BF7" w:rsidRDefault="003E1BF7" w:rsidP="003E1BF7">
      <w:r>
        <w:t xml:space="preserve">It should be noted that during GDA, ONR’s assessment scope of the civil design was limited to </w:t>
      </w:r>
      <w:r w:rsidR="00236534">
        <w:t>nuclear island buildings.</w:t>
      </w:r>
      <w:r>
        <w:t xml:space="preserve"> It did not include consideration of the design of the nuclear island raft thickness or the foundations for any other structures</w:t>
      </w:r>
      <w:r w:rsidR="00236534">
        <w:t>,</w:t>
      </w:r>
      <w:r>
        <w:t xml:space="preserve"> and did not include site</w:t>
      </w:r>
      <w:r w:rsidR="006920C6">
        <w:t>-</w:t>
      </w:r>
      <w:r>
        <w:t xml:space="preserve">specific structures, such as the </w:t>
      </w:r>
      <w:r w:rsidR="00236534">
        <w:t>pump house.</w:t>
      </w:r>
      <w:r>
        <w:t xml:space="preserve"> There were discussions regarding the adequacy of proposed design codes for concrete and steel, however these were agreed by the end of GDA. The code changes agreed are not judged to have had a significant effect on overall quantities of concrete or steel.  </w:t>
      </w:r>
    </w:p>
    <w:p w14:paraId="793943D1" w14:textId="0CE64D1B" w:rsidR="00B764FB" w:rsidRDefault="002E2FDF" w:rsidP="00EA236F">
      <w:pPr>
        <w:pStyle w:val="Heading2"/>
      </w:pPr>
      <w:bookmarkStart w:id="74" w:name="_Toc178776936"/>
      <w:r>
        <w:t>Differences in regulatory approach</w:t>
      </w:r>
      <w:bookmarkEnd w:id="74"/>
    </w:p>
    <w:p w14:paraId="24EBA5C2" w14:textId="77777777" w:rsidR="00024273" w:rsidRDefault="00024273" w:rsidP="00024273">
      <w:r>
        <w:t>There are many reasons why concrete and steel quantities may have increased since the pre-GDA stage.  The most significant reasons are likely to include:</w:t>
      </w:r>
    </w:p>
    <w:p w14:paraId="7F42CEA0" w14:textId="67F246F6" w:rsidR="00024273" w:rsidRDefault="00024273" w:rsidP="00E626C0">
      <w:pPr>
        <w:pStyle w:val="Bulletlist1"/>
        <w:numPr>
          <w:ilvl w:val="0"/>
          <w:numId w:val="46"/>
        </w:numPr>
        <w:ind w:left="850" w:hanging="425"/>
      </w:pPr>
      <w:r>
        <w:t xml:space="preserve">Improvements made by NNB </w:t>
      </w:r>
      <w:r w:rsidR="00557CC3">
        <w:t>GenCo</w:t>
      </w:r>
      <w:r>
        <w:t xml:space="preserve"> to the reference design, following learning from other projects</w:t>
      </w:r>
      <w:r w:rsidR="00CA21D2">
        <w:t>.</w:t>
      </w:r>
    </w:p>
    <w:p w14:paraId="40FDD772" w14:textId="4456F2F6" w:rsidR="00236534" w:rsidRDefault="00236534" w:rsidP="00E626C0">
      <w:pPr>
        <w:pStyle w:val="Bulletlist1"/>
        <w:numPr>
          <w:ilvl w:val="0"/>
          <w:numId w:val="46"/>
        </w:numPr>
        <w:ind w:left="850" w:hanging="425"/>
      </w:pPr>
      <w:r>
        <w:t>Site</w:t>
      </w:r>
      <w:r w:rsidR="00B65091">
        <w:t>-</w:t>
      </w:r>
      <w:r>
        <w:t>specific buildings being different to th</w:t>
      </w:r>
      <w:r w:rsidR="00A80C17">
        <w:t>ose</w:t>
      </w:r>
      <w:r>
        <w:t xml:space="preserve"> assumed in early estimates</w:t>
      </w:r>
      <w:r w:rsidR="00CA21D2">
        <w:t>.</w:t>
      </w:r>
    </w:p>
    <w:p w14:paraId="653F0C0D" w14:textId="56B3AA92" w:rsidR="00236534" w:rsidRDefault="00236534" w:rsidP="00E626C0">
      <w:pPr>
        <w:pStyle w:val="Bulletlist1"/>
        <w:numPr>
          <w:ilvl w:val="0"/>
          <w:numId w:val="46"/>
        </w:numPr>
        <w:ind w:left="850" w:hanging="425"/>
      </w:pPr>
      <w:r>
        <w:t>New buildings being required to suit site</w:t>
      </w:r>
      <w:r w:rsidR="00B65091">
        <w:t>-</w:t>
      </w:r>
      <w:r>
        <w:t>specific conditions</w:t>
      </w:r>
      <w:r w:rsidR="00CA21D2">
        <w:t>.</w:t>
      </w:r>
    </w:p>
    <w:p w14:paraId="3EBE2E2F" w14:textId="66D4B761" w:rsidR="00024273" w:rsidRDefault="00024273" w:rsidP="00E626C0">
      <w:pPr>
        <w:pStyle w:val="Bulletlist1"/>
        <w:numPr>
          <w:ilvl w:val="0"/>
          <w:numId w:val="46"/>
        </w:numPr>
        <w:ind w:left="850" w:hanging="425"/>
      </w:pPr>
      <w:r>
        <w:lastRenderedPageBreak/>
        <w:t>Post-Fukushima resilience enhancements in line with international standards</w:t>
      </w:r>
      <w:r w:rsidR="00B65091">
        <w:t>.</w:t>
      </w:r>
    </w:p>
    <w:p w14:paraId="20FE844A" w14:textId="0A3A6F3D" w:rsidR="00024273" w:rsidRDefault="00024273" w:rsidP="00E626C0">
      <w:pPr>
        <w:pStyle w:val="Bulletlist1"/>
        <w:numPr>
          <w:ilvl w:val="0"/>
          <w:numId w:val="46"/>
        </w:numPr>
        <w:ind w:left="850" w:hanging="425"/>
      </w:pPr>
      <w:r>
        <w:t>Agreed changes during the GDA process</w:t>
      </w:r>
      <w:r w:rsidR="00CA21D2">
        <w:t xml:space="preserve"> described earlier</w:t>
      </w:r>
      <w:r w:rsidR="00236534">
        <w:t>.</w:t>
      </w:r>
    </w:p>
    <w:p w14:paraId="5F25BBBC" w14:textId="043A298A" w:rsidR="00B764FB" w:rsidRDefault="00B764FB" w:rsidP="00EA236F">
      <w:pPr>
        <w:pStyle w:val="Heading2"/>
      </w:pPr>
      <w:bookmarkStart w:id="75" w:name="_Toc177747089"/>
      <w:bookmarkStart w:id="76" w:name="_Toc1802490346"/>
      <w:bookmarkStart w:id="77" w:name="_Toc178776937"/>
      <w:r>
        <w:t>S</w:t>
      </w:r>
      <w:bookmarkEnd w:id="75"/>
      <w:bookmarkEnd w:id="76"/>
      <w:r w:rsidR="00CA21D2">
        <w:t>afety benefit</w:t>
      </w:r>
      <w:bookmarkEnd w:id="77"/>
    </w:p>
    <w:p w14:paraId="45A0059F" w14:textId="77777777" w:rsidR="00C634CD" w:rsidRPr="00C634CD" w:rsidRDefault="00C634CD" w:rsidP="00C634CD">
      <w:r w:rsidRPr="00C634CD">
        <w:t>Some of the buildings did need to increase in size to accommodate design changes resulting from safety improvements, such as the C&amp;I architecture and HVAC modifications. The details of the safety benefit are given in the discussion of these modifications.</w:t>
      </w:r>
    </w:p>
    <w:p w14:paraId="270474F0" w14:textId="7B9BD12E" w:rsidR="00B764FB" w:rsidRDefault="00234A12" w:rsidP="00EA236F">
      <w:pPr>
        <w:pStyle w:val="Heading2"/>
      </w:pPr>
      <w:bookmarkStart w:id="78" w:name="_Toc177747090"/>
      <w:bookmarkStart w:id="79" w:name="_Toc1691819885"/>
      <w:bookmarkStart w:id="80" w:name="_Toc178776938"/>
      <w:r>
        <w:t>I</w:t>
      </w:r>
      <w:r w:rsidR="00B764FB">
        <w:t>mpact</w:t>
      </w:r>
      <w:bookmarkEnd w:id="78"/>
      <w:bookmarkEnd w:id="79"/>
      <w:bookmarkEnd w:id="80"/>
    </w:p>
    <w:p w14:paraId="7106DC4C" w14:textId="1AFD9641" w:rsidR="00236534" w:rsidRDefault="00236534" w:rsidP="00236534">
      <w:r>
        <w:t>The key changes with respect to the nuclear island</w:t>
      </w:r>
      <w:r w:rsidR="00EB0119">
        <w:t>,</w:t>
      </w:r>
      <w:r>
        <w:t xml:space="preserve"> </w:t>
      </w:r>
      <w:r w:rsidR="00F405C6">
        <w:t>which</w:t>
      </w:r>
      <w:r>
        <w:t xml:space="preserve"> impacted the concrete volumes the most</w:t>
      </w:r>
      <w:r w:rsidR="00EB0119">
        <w:t>,</w:t>
      </w:r>
      <w:r>
        <w:t xml:space="preserve"> are stated by NNB </w:t>
      </w:r>
      <w:proofErr w:type="spellStart"/>
      <w:r w:rsidR="00557CC3">
        <w:t>GenCo</w:t>
      </w:r>
      <w:proofErr w:type="spellEnd"/>
      <w:r>
        <w:t xml:space="preserve"> to be:</w:t>
      </w:r>
    </w:p>
    <w:p w14:paraId="2F3E49E5" w14:textId="6C2D8102" w:rsidR="00236534" w:rsidRDefault="00236534" w:rsidP="00E626C0">
      <w:pPr>
        <w:pStyle w:val="Bulletlist1"/>
        <w:numPr>
          <w:ilvl w:val="0"/>
          <w:numId w:val="46"/>
        </w:numPr>
        <w:ind w:left="850" w:hanging="425"/>
      </w:pPr>
      <w:r>
        <w:t>Common raft thickness optimisation</w:t>
      </w:r>
      <w:r w:rsidR="00234A12">
        <w:t>.</w:t>
      </w:r>
    </w:p>
    <w:p w14:paraId="03A59A75" w14:textId="2ED4462E" w:rsidR="00236534" w:rsidRDefault="00236534" w:rsidP="00E626C0">
      <w:pPr>
        <w:pStyle w:val="Bulletlist1"/>
        <w:numPr>
          <w:ilvl w:val="0"/>
          <w:numId w:val="46"/>
        </w:numPr>
        <w:ind w:left="850" w:hanging="425"/>
      </w:pPr>
      <w:r>
        <w:t>Redesign of pre-stressing gallery</w:t>
      </w:r>
      <w:r w:rsidR="00234A12">
        <w:t>.</w:t>
      </w:r>
    </w:p>
    <w:p w14:paraId="032319D4" w14:textId="1120C558" w:rsidR="007002B0" w:rsidRDefault="007002B0" w:rsidP="00E626C0">
      <w:pPr>
        <w:pStyle w:val="Bulletlist1"/>
        <w:numPr>
          <w:ilvl w:val="0"/>
          <w:numId w:val="46"/>
        </w:numPr>
        <w:ind w:left="850" w:hanging="425"/>
      </w:pPr>
      <w:r>
        <w:t xml:space="preserve">HVAC </w:t>
      </w:r>
      <w:r w:rsidR="00236534">
        <w:t>task force work</w:t>
      </w:r>
      <w:r>
        <w:t xml:space="preserve"> that has added two levels in the </w:t>
      </w:r>
      <w:r w:rsidR="00EB0119">
        <w:t>safeguard buildings</w:t>
      </w:r>
      <w:r w:rsidR="00234A12">
        <w:t>.</w:t>
      </w:r>
    </w:p>
    <w:p w14:paraId="74A28AA4" w14:textId="6B9C5CFD" w:rsidR="007002B0" w:rsidRDefault="007002B0" w:rsidP="00E626C0">
      <w:pPr>
        <w:pStyle w:val="Bulletlist1"/>
        <w:numPr>
          <w:ilvl w:val="0"/>
          <w:numId w:val="46"/>
        </w:numPr>
        <w:ind w:left="850" w:hanging="425"/>
      </w:pPr>
      <w:r>
        <w:t xml:space="preserve">Redesign of the </w:t>
      </w:r>
      <w:r w:rsidR="00EB0119">
        <w:t>diesel buildings</w:t>
      </w:r>
      <w:r>
        <w:t>, adding an extra level in the buildings</w:t>
      </w:r>
      <w:r w:rsidR="00234A12">
        <w:t>.</w:t>
      </w:r>
    </w:p>
    <w:p w14:paraId="1AADB15D" w14:textId="2B2F8DE6" w:rsidR="007002B0" w:rsidRDefault="007002B0" w:rsidP="00E626C0">
      <w:pPr>
        <w:pStyle w:val="Bulletlist1"/>
        <w:numPr>
          <w:ilvl w:val="0"/>
          <w:numId w:val="46"/>
        </w:numPr>
        <w:ind w:left="850" w:hanging="425"/>
      </w:pPr>
      <w:r>
        <w:t>Redesign of the access tower, with an increase of the building footprint</w:t>
      </w:r>
      <w:r w:rsidR="00234A12">
        <w:t>.</w:t>
      </w:r>
    </w:p>
    <w:p w14:paraId="147A0A0A" w14:textId="10D668CE" w:rsidR="00236534" w:rsidRDefault="00236534" w:rsidP="00E626C0">
      <w:pPr>
        <w:pStyle w:val="Bulletlist1"/>
        <w:numPr>
          <w:ilvl w:val="0"/>
          <w:numId w:val="46"/>
        </w:numPr>
        <w:ind w:left="850" w:hanging="425"/>
      </w:pPr>
      <w:r>
        <w:t xml:space="preserve">Finalisation of the new buildings design and in particular the creation of </w:t>
      </w:r>
      <w:r w:rsidR="00BA6699">
        <w:t>a</w:t>
      </w:r>
      <w:r>
        <w:t xml:space="preserve"> system extending the size of the effluent tank building.</w:t>
      </w:r>
    </w:p>
    <w:p w14:paraId="4100B4E5" w14:textId="09F2FB09" w:rsidR="24CC40FE" w:rsidRDefault="2907A741">
      <w:r>
        <w:t xml:space="preserve">Of the above changes, only those connected with the </w:t>
      </w:r>
      <w:r w:rsidR="00EB0119">
        <w:t>safeguard buildings</w:t>
      </w:r>
      <w:r>
        <w:t xml:space="preserve"> and the </w:t>
      </w:r>
      <w:r w:rsidR="00EB0119">
        <w:t>diesel buildings</w:t>
      </w:r>
      <w:r>
        <w:t xml:space="preserve"> are considered to </w:t>
      </w:r>
      <w:r w:rsidR="7A410E06">
        <w:t xml:space="preserve">have been influenced by </w:t>
      </w:r>
      <w:r w:rsidR="00610D80">
        <w:t xml:space="preserve">ONR’s </w:t>
      </w:r>
      <w:r w:rsidR="7A410E06">
        <w:t>regulatory requirements.</w:t>
      </w:r>
    </w:p>
    <w:p w14:paraId="28DFDF86" w14:textId="45A38FC3" w:rsidR="007002B0" w:rsidRDefault="007002B0" w:rsidP="007002B0">
      <w:r>
        <w:t>The common raft and the foundations for other buildings were site</w:t>
      </w:r>
      <w:r w:rsidR="000B3EE2">
        <w:t>-</w:t>
      </w:r>
      <w:r>
        <w:t>specific designs and it is likely that differing ground conditions at HPC, compared to that assumed in the reference design</w:t>
      </w:r>
      <w:r w:rsidR="00236534">
        <w:t xml:space="preserve"> in France</w:t>
      </w:r>
      <w:r>
        <w:t xml:space="preserve">, resulted in an increase in concrete quantities. Any such change is not because of regulatory actions taken by ONR.  </w:t>
      </w:r>
    </w:p>
    <w:p w14:paraId="1A080AAA" w14:textId="2ECEF4D2" w:rsidR="007002B0" w:rsidRPr="007002B0" w:rsidRDefault="007002B0" w:rsidP="007002B0">
      <w:r>
        <w:t xml:space="preserve">Whilst there have been changes to the </w:t>
      </w:r>
      <w:r w:rsidR="00EB0119">
        <w:t>safeguard buildings</w:t>
      </w:r>
      <w:r>
        <w:t xml:space="preserve"> because of the C&amp;I architecture and HVAC changes, the increased volume of concrete resulting from those changes is estimated to be less than 2% of the total concrete volume for the main civil works </w:t>
      </w:r>
      <w:r w:rsidR="00140333">
        <w:t xml:space="preserve">as </w:t>
      </w:r>
      <w:r>
        <w:t>estimated at GDA stage</w:t>
      </w:r>
      <w:r w:rsidR="00236534">
        <w:t>. Changes to the diesel buildings</w:t>
      </w:r>
      <w:r>
        <w:t xml:space="preserve"> are likely to be of a similar magnitude.</w:t>
      </w:r>
    </w:p>
    <w:bookmarkEnd w:id="73"/>
    <w:p w14:paraId="59A323EC" w14:textId="4DA8C988" w:rsidR="00156417" w:rsidRDefault="00156417" w:rsidP="00156417">
      <w:r>
        <w:t xml:space="preserve">The HPC main civil works quantities are significantly different to those of the </w:t>
      </w:r>
      <w:r w:rsidR="004F1FBF">
        <w:t xml:space="preserve">generic </w:t>
      </w:r>
      <w:r>
        <w:t xml:space="preserve">reference design </w:t>
      </w:r>
      <w:r w:rsidR="004F1FBF">
        <w:t xml:space="preserve">considered in GDA </w:t>
      </w:r>
      <w:r>
        <w:t>and include site</w:t>
      </w:r>
      <w:r w:rsidR="00A51557">
        <w:t>-</w:t>
      </w:r>
      <w:r>
        <w:t>specific buildings and site-specific design elements, such as raft foundations. A valid comparison with the reference design would need to be made on a like</w:t>
      </w:r>
      <w:r w:rsidR="00CA225A">
        <w:t>-</w:t>
      </w:r>
      <w:r>
        <w:t>for</w:t>
      </w:r>
      <w:r w:rsidR="00CA225A">
        <w:t>-</w:t>
      </w:r>
      <w:r>
        <w:t xml:space="preserve">like basis.  </w:t>
      </w:r>
    </w:p>
    <w:p w14:paraId="62A5ED86" w14:textId="7A9929C0" w:rsidR="00156417" w:rsidRPr="00156417" w:rsidRDefault="00156417" w:rsidP="00156417">
      <w:r>
        <w:lastRenderedPageBreak/>
        <w:t xml:space="preserve">ONR recognises modifications to some buildings resulting from agreed changes during GDA, including the </w:t>
      </w:r>
      <w:r w:rsidR="00CA225A">
        <w:t>safeguards</w:t>
      </w:r>
      <w:r>
        <w:t xml:space="preserve"> and </w:t>
      </w:r>
      <w:r w:rsidR="00CA225A">
        <w:t>diesel buildings</w:t>
      </w:r>
      <w:r>
        <w:t>. The overall percentage increase in concrete and steel due to these modifications, compared with the total volume in the main civil works contract, is estimated to be less than 5%</w:t>
      </w:r>
      <w:r w:rsidR="00522A22">
        <w:t>.</w:t>
      </w:r>
    </w:p>
    <w:p w14:paraId="210C007F" w14:textId="1A2980FE" w:rsidR="00733281" w:rsidRDefault="009A3F8B" w:rsidP="00B25228">
      <w:pPr>
        <w:pStyle w:val="Heading1"/>
      </w:pPr>
      <w:bookmarkStart w:id="81" w:name="_Toc178776939"/>
      <w:bookmarkStart w:id="82" w:name="_Toc1555173671"/>
      <w:bookmarkStart w:id="83" w:name="_Ref177985789"/>
      <w:r>
        <w:t>Other Design Changes</w:t>
      </w:r>
      <w:bookmarkEnd w:id="81"/>
      <w:r w:rsidR="00B25228">
        <w:t xml:space="preserve"> </w:t>
      </w:r>
      <w:bookmarkEnd w:id="82"/>
      <w:bookmarkEnd w:id="83"/>
    </w:p>
    <w:p w14:paraId="7E299FBE" w14:textId="39115E32" w:rsidR="00F02F50" w:rsidRPr="00F02F50" w:rsidRDefault="00F02F50" w:rsidP="00F02F50">
      <w:r w:rsidRPr="00F02F50">
        <w:t xml:space="preserve">NNB </w:t>
      </w:r>
      <w:proofErr w:type="spellStart"/>
      <w:r w:rsidR="00557CC3">
        <w:t>GenCo</w:t>
      </w:r>
      <w:proofErr w:type="spellEnd"/>
      <w:r w:rsidRPr="00F02F50">
        <w:t xml:space="preserve"> has identified </w:t>
      </w:r>
      <w:r w:rsidR="00971396" w:rsidRPr="00F02F50">
        <w:t>several</w:t>
      </w:r>
      <w:r w:rsidRPr="00F02F50">
        <w:t xml:space="preserve"> other design changes said to have been due to </w:t>
      </w:r>
      <w:r w:rsidR="00094AE6">
        <w:t xml:space="preserve">ONR’s </w:t>
      </w:r>
      <w:r w:rsidRPr="00F02F50">
        <w:t xml:space="preserve">regulatory requirements. Some of these appear to be the result of the modifications described </w:t>
      </w:r>
      <w:r w:rsidR="00094AE6">
        <w:t>earlier</w:t>
      </w:r>
      <w:r w:rsidR="00BB5A1C">
        <w:t>,</w:t>
      </w:r>
      <w:r w:rsidRPr="00F02F50">
        <w:t xml:space="preserve"> however two of the topics are recognised by ONR and have been sampled</w:t>
      </w:r>
      <w:r w:rsidR="00C729E3">
        <w:t xml:space="preserve"> and </w:t>
      </w:r>
      <w:r w:rsidRPr="00F02F50">
        <w:t xml:space="preserve">are described </w:t>
      </w:r>
      <w:r w:rsidR="0084406B">
        <w:t>below</w:t>
      </w:r>
      <w:r w:rsidR="00512DA6">
        <w:t>.</w:t>
      </w:r>
    </w:p>
    <w:p w14:paraId="1DE233C3" w14:textId="3A8FA234" w:rsidR="00084607" w:rsidRDefault="004850CD" w:rsidP="00EA236F">
      <w:pPr>
        <w:pStyle w:val="Heading2"/>
      </w:pPr>
      <w:bookmarkStart w:id="84" w:name="_Toc178776940"/>
      <w:bookmarkStart w:id="85" w:name="_Hlk175732898"/>
      <w:r>
        <w:t xml:space="preserve">Fuel </w:t>
      </w:r>
      <w:r w:rsidR="00AB7237">
        <w:t>r</w:t>
      </w:r>
      <w:r>
        <w:t xml:space="preserve">oute - </w:t>
      </w:r>
      <w:r w:rsidR="00AB7237">
        <w:t>o</w:t>
      </w:r>
      <w:r w:rsidR="00B25228">
        <w:t>verview</w:t>
      </w:r>
      <w:bookmarkEnd w:id="84"/>
    </w:p>
    <w:p w14:paraId="09E87D82" w14:textId="5B3EFC94" w:rsidR="00EE0E90" w:rsidRDefault="00EE0E90" w:rsidP="00EE0E90">
      <w:r>
        <w:t>During GDA, it was identified that the spent fuel pool and associated fuel handling areas/compartments required further safety case development, including consideration of the potential major failure of the penetrations/openings within the civil structure and the consequences of these failures. GDA issue GI-UKEPR-FS-03</w:t>
      </w:r>
      <w:r w:rsidR="001D57C1">
        <w:t xml:space="preserve"> </w:t>
      </w:r>
      <w:sdt>
        <w:sdtPr>
          <w:id w:val="963615918"/>
          <w:citation/>
        </w:sdtPr>
        <w:sdtContent>
          <w:r w:rsidR="00757417">
            <w:fldChar w:fldCharType="begin"/>
          </w:r>
          <w:r w:rsidR="00757417">
            <w:instrText xml:space="preserve"> CITATION ONRGDAAR11020a \l 2057 </w:instrText>
          </w:r>
          <w:r w:rsidR="00757417">
            <w:fldChar w:fldCharType="separate"/>
          </w:r>
          <w:r w:rsidR="00D239CE" w:rsidRPr="00D239CE">
            <w:rPr>
              <w:noProof/>
            </w:rPr>
            <w:t>[14]</w:t>
          </w:r>
          <w:r w:rsidR="00757417">
            <w:fldChar w:fldCharType="end"/>
          </w:r>
        </w:sdtContent>
      </w:sdt>
      <w:r w:rsidR="4D27D586">
        <w:t xml:space="preserve"> </w:t>
      </w:r>
      <w:r>
        <w:t>was raised to capture this shortfall.</w:t>
      </w:r>
    </w:p>
    <w:p w14:paraId="3723AA83" w14:textId="4917DF64" w:rsidR="00F02F50" w:rsidRDefault="00703A45" w:rsidP="00703A45">
      <w:r>
        <w:t xml:space="preserve">While developing the response, </w:t>
      </w:r>
      <w:r w:rsidR="00EE0E90">
        <w:t>EDF</w:t>
      </w:r>
      <w:r w:rsidR="00971396">
        <w:t xml:space="preserve"> and </w:t>
      </w:r>
      <w:r w:rsidR="00EE0E90">
        <w:t>AREVA</w:t>
      </w:r>
      <w:r>
        <w:t xml:space="preserve"> proposed several modifications to the UK EPR design to reduce the probability of de</w:t>
      </w:r>
      <w:r w:rsidR="0020061D">
        <w:t>-</w:t>
      </w:r>
      <w:r>
        <w:t xml:space="preserve">watering events in the spent fuel pool through penetrations. These proposals closed the GDA </w:t>
      </w:r>
      <w:r w:rsidR="00971396">
        <w:t>I</w:t>
      </w:r>
      <w:r>
        <w:t xml:space="preserve">ssue but required further work </w:t>
      </w:r>
      <w:r w:rsidR="004F1FBF">
        <w:t xml:space="preserve">by NNB </w:t>
      </w:r>
      <w:proofErr w:type="spellStart"/>
      <w:r w:rsidR="004F1FBF">
        <w:t>GenCo</w:t>
      </w:r>
      <w:proofErr w:type="spellEnd"/>
      <w:r w:rsidR="004F1FBF">
        <w:t xml:space="preserve"> </w:t>
      </w:r>
      <w:r>
        <w:t>through assessment findings. The resulting modifications aimed to provide a secondary barrier or removal of penetrations in the interconnected reactor cavity and spent fuel pool. The modifications proposed affected the fuel transfer tube, reactor cavity access arrangements and technical openings and fuel building access.</w:t>
      </w:r>
    </w:p>
    <w:p w14:paraId="75FF5CD6" w14:textId="6FA2E82F" w:rsidR="00AC43AD" w:rsidRDefault="004F1FBF" w:rsidP="00AC43AD">
      <w:r>
        <w:t xml:space="preserve">During GDA, </w:t>
      </w:r>
      <w:r w:rsidR="00AC43AD">
        <w:t xml:space="preserve">ONR </w:t>
      </w:r>
      <w:r>
        <w:t xml:space="preserve">observed </w:t>
      </w:r>
      <w:r w:rsidR="00AC43AD">
        <w:t xml:space="preserve">that leaks from some locations </w:t>
      </w:r>
      <w:r>
        <w:t xml:space="preserve">associated with spent fuel pool cooling systems </w:t>
      </w:r>
      <w:r w:rsidR="00AC43AD">
        <w:t>and purification systems were not considered in the design basis fault analysis</w:t>
      </w:r>
      <w:r>
        <w:t>, d</w:t>
      </w:r>
      <w:r w:rsidR="004343C5">
        <w:t>espite the potential for the flow rates to exceed t</w:t>
      </w:r>
      <w:r w:rsidR="0034754E">
        <w:t>he</w:t>
      </w:r>
      <w:r w:rsidR="004343C5">
        <w:t xml:space="preserve"> capacity of normal duty systems to top up water inventory</w:t>
      </w:r>
      <w:r w:rsidR="00A574E8">
        <w:t>.</w:t>
      </w:r>
      <w:r w:rsidR="00AC43AD">
        <w:t xml:space="preserve"> </w:t>
      </w:r>
      <w:r w:rsidR="004343C5">
        <w:t>EDF and AREVA</w:t>
      </w:r>
      <w:r w:rsidR="00AC43AD">
        <w:t xml:space="preserve"> </w:t>
      </w:r>
      <w:r w:rsidR="004343C5">
        <w:t xml:space="preserve">initially </w:t>
      </w:r>
      <w:r w:rsidR="00AC43AD">
        <w:t xml:space="preserve">justified the exclusion of these leaks by using an argument that the likelihood of failure </w:t>
      </w:r>
      <w:r w:rsidR="004343C5">
        <w:t xml:space="preserve">of the relevant components </w:t>
      </w:r>
      <w:r w:rsidR="00AC43AD">
        <w:t xml:space="preserve">was so low that it could be discounted. </w:t>
      </w:r>
    </w:p>
    <w:p w14:paraId="60996AB0" w14:textId="309233DF" w:rsidR="00AC43AD" w:rsidRDefault="004343C5" w:rsidP="004343C5">
      <w:r>
        <w:t xml:space="preserve">These types of arguments are not uncommon in safety cases, but ONR’s expectation is that they should be rigorously substantiated and not </w:t>
      </w:r>
      <w:r w:rsidR="00AC43AD">
        <w:t xml:space="preserve">put forward to avoid analysing the consequences of failure. The </w:t>
      </w:r>
      <w:r>
        <w:t xml:space="preserve">original </w:t>
      </w:r>
      <w:r w:rsidR="00AC43AD">
        <w:t xml:space="preserve">safety case presented during GDA did not identify the spent fuel pool components as HIC components and the design was therefore not aligned with ONR SAPs or relevant good practice. </w:t>
      </w:r>
    </w:p>
    <w:p w14:paraId="55F18A31" w14:textId="73DCC388" w:rsidR="00AC43AD" w:rsidRDefault="00AC43AD" w:rsidP="00AC43AD">
      <w:r>
        <w:t xml:space="preserve">ONR required </w:t>
      </w:r>
      <w:r w:rsidR="004343C5">
        <w:t>EDF and AREVA to</w:t>
      </w:r>
      <w:r>
        <w:t xml:space="preserve"> provide a more detailed design basis safety case for the spent fuel pool leaks, previously not considered because of break preclusion arguments, and that this should include consequences analysis for the identified leaks and suitable arguments to justify the design.</w:t>
      </w:r>
    </w:p>
    <w:p w14:paraId="6E512599" w14:textId="2EEE8A90" w:rsidR="00084607" w:rsidRDefault="00411B93" w:rsidP="00EA236F">
      <w:pPr>
        <w:pStyle w:val="Heading2"/>
      </w:pPr>
      <w:bookmarkStart w:id="86" w:name="_Toc178776941"/>
      <w:r>
        <w:lastRenderedPageBreak/>
        <w:t>Fuel route - d</w:t>
      </w:r>
      <w:r w:rsidR="002440D5">
        <w:t>ifferences in regulatory approaches</w:t>
      </w:r>
      <w:bookmarkEnd w:id="86"/>
    </w:p>
    <w:p w14:paraId="5953304F" w14:textId="7A4C1A35" w:rsidR="00461200" w:rsidRDefault="004343C5" w:rsidP="00461200">
      <w:r>
        <w:t>Facilitated by MDEP, over the course of the GDA</w:t>
      </w:r>
      <w:r w:rsidR="005D1A02">
        <w:t>,</w:t>
      </w:r>
      <w:r>
        <w:t xml:space="preserve"> two visits were made </w:t>
      </w:r>
      <w:r w:rsidR="004C5825">
        <w:t xml:space="preserve">by ONR (accompanied by other international regulators) </w:t>
      </w:r>
      <w:r>
        <w:t xml:space="preserve">to </w:t>
      </w:r>
      <w:r w:rsidR="004C5825">
        <w:t xml:space="preserve">operating French </w:t>
      </w:r>
      <w:r w:rsidR="000E1F65">
        <w:t>pressurised water reactors</w:t>
      </w:r>
      <w:r w:rsidR="004C5825">
        <w:t xml:space="preserve"> with similar fuel routes to that proposed for the EPR design. These visits established that the EPR fuel route design was informed by extensive French operating experience and demonstrably has extensive engineering and safety consideration included within it.</w:t>
      </w:r>
    </w:p>
    <w:p w14:paraId="793B7725" w14:textId="1007E5E1" w:rsidR="004C5825" w:rsidRPr="004C5825" w:rsidRDefault="00043346" w:rsidP="00461200">
      <w:r w:rsidRPr="00043346">
        <w:t>However, it became apparent that with the adoption of a well-established and proven design, EDF and AREVA’s initial safety case for the EPR presented to ONR in GDA did not attempt to demonstrate the adequacy of the design in a way which was consistent with that taken for the reactor, for example through the application of the same categorisation and classification process.</w:t>
      </w:r>
      <w:r w:rsidR="00960229">
        <w:t xml:space="preserve"> </w:t>
      </w:r>
      <w:r w:rsidR="004C5825">
        <w:t>ONR’s goal</w:t>
      </w:r>
      <w:r w:rsidR="00DE632C">
        <w:t>-</w:t>
      </w:r>
      <w:r w:rsidR="004C5825">
        <w:t>orientated approach to regulation is informed by the radiological hazard and does not define specific requirements approaches for the reactor core that should not be applied to other areas or facilities. Given the radiological hazard present in an EPR spent fuel pool, ONR expects an appropriate and consistent level of safety case demonstration for it</w:t>
      </w:r>
      <w:r w:rsidR="009036E6">
        <w:t xml:space="preserve"> to that which is applied to the reactor itself.</w:t>
      </w:r>
    </w:p>
    <w:p w14:paraId="67713F55" w14:textId="7E6B35F5" w:rsidR="00084607" w:rsidRDefault="00411B93" w:rsidP="00EA236F">
      <w:pPr>
        <w:pStyle w:val="Heading2"/>
      </w:pPr>
      <w:bookmarkStart w:id="87" w:name="_Toc177747095"/>
      <w:bookmarkStart w:id="88" w:name="_Toc583648708"/>
      <w:bookmarkStart w:id="89" w:name="_Toc178776942"/>
      <w:r>
        <w:t>Fuel route - s</w:t>
      </w:r>
      <w:r w:rsidR="00084607">
        <w:t>afety</w:t>
      </w:r>
      <w:bookmarkEnd w:id="87"/>
      <w:bookmarkEnd w:id="88"/>
      <w:r w:rsidR="00C2724C">
        <w:t xml:space="preserve"> benefit</w:t>
      </w:r>
      <w:bookmarkEnd w:id="89"/>
    </w:p>
    <w:p w14:paraId="3EEB68BE" w14:textId="43CBECFA" w:rsidR="009036E6" w:rsidRDefault="009036E6" w:rsidP="00EE0E90">
      <w:r>
        <w:t>The EPR spent fuel pool has the capacity to store a large quantity of spent fuel, which if inadequately cooled or shielded, could pose a significant radiological hazard to both workers and the public.</w:t>
      </w:r>
    </w:p>
    <w:p w14:paraId="0A16AAE3" w14:textId="6D8810E9" w:rsidR="009036E6" w:rsidRDefault="009036E6" w:rsidP="00EE0E90">
      <w:r>
        <w:t xml:space="preserve">It is provided with multiple features and safety systems to ensure these essential safety functions are provided in both normal operation and accident conditions. However, as a result of the ONR interventions in GDA, the relative importance of these different systems has been clarified, and their effectiveness demonstrated. </w:t>
      </w:r>
    </w:p>
    <w:p w14:paraId="511EE1C1" w14:textId="44E10888" w:rsidR="009036E6" w:rsidRDefault="009036E6" w:rsidP="00EE0E90">
      <w:r>
        <w:t xml:space="preserve">This greater understanding has relevance for the design and procurement phases of the HPC construction, but it can have safety benefits during the future operation of the power station. It will inform decisions made about the importance and sequencing of maintenance and testing, and judgements on the significance of degradation of performance over time due to ageing and obsolescence. </w:t>
      </w:r>
    </w:p>
    <w:p w14:paraId="16AEFC4A" w14:textId="1E7974DF" w:rsidR="00084607" w:rsidRDefault="00411B93" w:rsidP="00EA236F">
      <w:pPr>
        <w:pStyle w:val="Heading2"/>
      </w:pPr>
      <w:bookmarkStart w:id="90" w:name="_Toc177747096"/>
      <w:bookmarkStart w:id="91" w:name="_Toc140809397"/>
      <w:bookmarkStart w:id="92" w:name="_Toc178776943"/>
      <w:r>
        <w:t>Fuel route - i</w:t>
      </w:r>
      <w:r w:rsidR="00084607">
        <w:t>mpact</w:t>
      </w:r>
      <w:bookmarkEnd w:id="90"/>
      <w:bookmarkEnd w:id="91"/>
      <w:bookmarkEnd w:id="92"/>
    </w:p>
    <w:p w14:paraId="64893109" w14:textId="748483A6" w:rsidR="004343C5" w:rsidRDefault="004343C5" w:rsidP="004343C5">
      <w:r>
        <w:t xml:space="preserve">A design change ‘Modification of the Diverse Openings on the Fuel Path, the Fuel Transfer Tube and Associated Civil Works to cope with the Design Basis Analysis (DBA) of a Gross Failure’ was submitted for ONR Agreement in 2018. The modifications proposed by NNB </w:t>
      </w:r>
      <w:proofErr w:type="spellStart"/>
      <w:r>
        <w:t>GenCo</w:t>
      </w:r>
      <w:proofErr w:type="spellEnd"/>
      <w:r>
        <w:t xml:space="preserve"> were associated with providing a second containment barrier to leakage from the gross failure of a primary barrier bounding the spent fuel pool, reactor cavity and adjacent compartments during refuelling. </w:t>
      </w:r>
    </w:p>
    <w:p w14:paraId="4C3B2250" w14:textId="77777777" w:rsidR="003C7C1C" w:rsidRDefault="003C7C1C" w:rsidP="004343C5"/>
    <w:p w14:paraId="7E2B03B4" w14:textId="2E24937E" w:rsidR="004343C5" w:rsidRDefault="004343C5" w:rsidP="004343C5">
      <w:r>
        <w:lastRenderedPageBreak/>
        <w:t>The modifications included:</w:t>
      </w:r>
    </w:p>
    <w:p w14:paraId="5339FDA3" w14:textId="5C5237C8" w:rsidR="004343C5" w:rsidRDefault="004343C5" w:rsidP="00E2299D">
      <w:pPr>
        <w:pStyle w:val="Bulletlist1"/>
        <w:numPr>
          <w:ilvl w:val="0"/>
          <w:numId w:val="46"/>
        </w:numPr>
        <w:ind w:left="850" w:hanging="425"/>
      </w:pPr>
      <w:r>
        <w:t>Changes to the civil structure around the fuel transfer tube</w:t>
      </w:r>
      <w:r w:rsidR="00A079EE">
        <w:t>.</w:t>
      </w:r>
    </w:p>
    <w:p w14:paraId="72C429C2" w14:textId="4E6D5505" w:rsidR="004343C5" w:rsidRDefault="004343C5" w:rsidP="00E2299D">
      <w:pPr>
        <w:pStyle w:val="Bulletlist1"/>
        <w:numPr>
          <w:ilvl w:val="0"/>
          <w:numId w:val="46"/>
        </w:numPr>
        <w:ind w:left="850" w:hanging="425"/>
      </w:pPr>
      <w:r>
        <w:t>The fuel transfer tube design and construction.</w:t>
      </w:r>
    </w:p>
    <w:p w14:paraId="6A82E59E" w14:textId="7094322C" w:rsidR="004343C5" w:rsidRPr="00F02F50" w:rsidRDefault="004343C5" w:rsidP="00E2299D">
      <w:pPr>
        <w:pStyle w:val="Bulletlist1"/>
        <w:numPr>
          <w:ilvl w:val="0"/>
          <w:numId w:val="46"/>
        </w:numPr>
        <w:ind w:left="850" w:hanging="425"/>
      </w:pPr>
      <w:r>
        <w:t>The introduction of additional barriers at the cavity access points and technical</w:t>
      </w:r>
      <w:r w:rsidR="004774E2">
        <w:t xml:space="preserve"> </w:t>
      </w:r>
      <w:r>
        <w:t>openings.</w:t>
      </w:r>
    </w:p>
    <w:p w14:paraId="3794E43E" w14:textId="1B55C92E" w:rsidR="00CD41C8" w:rsidRDefault="00CD41C8" w:rsidP="00277BD5">
      <w:pPr>
        <w:pStyle w:val="Heading2"/>
      </w:pPr>
      <w:bookmarkStart w:id="93" w:name="_Toc814588979"/>
      <w:bookmarkStart w:id="94" w:name="_Ref177985795"/>
      <w:bookmarkStart w:id="95" w:name="_Toc178776944"/>
      <w:bookmarkEnd w:id="85"/>
      <w:r>
        <w:t xml:space="preserve">UK </w:t>
      </w:r>
      <w:r w:rsidR="00AB7237">
        <w:t>s</w:t>
      </w:r>
      <w:r>
        <w:t xml:space="preserve">tandards on </w:t>
      </w:r>
      <w:r w:rsidR="00AB7237">
        <w:t>f</w:t>
      </w:r>
      <w:r>
        <w:t xml:space="preserve">ire </w:t>
      </w:r>
      <w:r w:rsidR="00AB7237">
        <w:t>s</w:t>
      </w:r>
      <w:r>
        <w:t>afety</w:t>
      </w:r>
      <w:bookmarkEnd w:id="93"/>
      <w:bookmarkEnd w:id="94"/>
      <w:r w:rsidR="00411B93">
        <w:t xml:space="preserve"> - overview</w:t>
      </w:r>
      <w:bookmarkEnd w:id="95"/>
    </w:p>
    <w:p w14:paraId="10CEE976" w14:textId="18C9D039" w:rsidR="003709C2" w:rsidRDefault="003709C2" w:rsidP="003709C2">
      <w:r>
        <w:t xml:space="preserve">During Step 3 of GDA, ONR was informed that, where there are doors within safety fire compartments, it was not proposed to have any engineered systems in place to identify whether the door was left open. ONR was informed that the </w:t>
      </w:r>
      <w:proofErr w:type="spellStart"/>
      <w:r>
        <w:t>Flamanville</w:t>
      </w:r>
      <w:proofErr w:type="spellEnd"/>
      <w:r>
        <w:t xml:space="preserve"> 3 design did not have any measures to identify whether doors had been left open other than administrative</w:t>
      </w:r>
      <w:r w:rsidR="006437BD">
        <w:t xml:space="preserve"> (human)</w:t>
      </w:r>
      <w:r>
        <w:t xml:space="preserve"> controls. Given the nuclear </w:t>
      </w:r>
      <w:r w:rsidR="00DC5EB7">
        <w:t xml:space="preserve">safety </w:t>
      </w:r>
      <w:r>
        <w:t xml:space="preserve">significance associated with potential breaches in </w:t>
      </w:r>
      <w:r w:rsidR="00277299">
        <w:t>important</w:t>
      </w:r>
      <w:r>
        <w:t xml:space="preserve"> hazard barriers, ONR did not consider that administrative controls on their own were adequate. As a result, a regulatory observation was raised to address this shortfall, to which a response was provided during </w:t>
      </w:r>
      <w:r w:rsidR="00D73BCB">
        <w:t xml:space="preserve">GDA </w:t>
      </w:r>
      <w:r>
        <w:t>Step 4</w:t>
      </w:r>
      <w:r w:rsidR="006A7752">
        <w:t xml:space="preserve"> </w:t>
      </w:r>
      <w:sdt>
        <w:sdtPr>
          <w:id w:val="-465903867"/>
          <w:citation/>
        </w:sdtPr>
        <w:sdtContent>
          <w:r w:rsidR="00E22517">
            <w:fldChar w:fldCharType="begin"/>
          </w:r>
          <w:r w:rsidR="00E22517">
            <w:instrText xml:space="preserve"> CITATION ONRGDAAR11032 \l 2057 </w:instrText>
          </w:r>
          <w:r w:rsidR="00E22517">
            <w:fldChar w:fldCharType="separate"/>
          </w:r>
          <w:r w:rsidR="00D239CE" w:rsidRPr="00D239CE">
            <w:rPr>
              <w:noProof/>
            </w:rPr>
            <w:t>[15]</w:t>
          </w:r>
          <w:r w:rsidR="00E22517">
            <w:fldChar w:fldCharType="end"/>
          </w:r>
        </w:sdtContent>
      </w:sdt>
      <w:r w:rsidR="009B4F10">
        <w:t>.</w:t>
      </w:r>
      <w:r>
        <w:t xml:space="preserve"> </w:t>
      </w:r>
    </w:p>
    <w:p w14:paraId="33DFC0DB" w14:textId="1990A255" w:rsidR="003709C2" w:rsidRPr="003709C2" w:rsidRDefault="003709C2" w:rsidP="003709C2">
      <w:r>
        <w:t xml:space="preserve">A design change was proposed by </w:t>
      </w:r>
      <w:r w:rsidR="00F57561">
        <w:t>EDF and AREVA</w:t>
      </w:r>
      <w:r w:rsidR="00A80C47">
        <w:t xml:space="preserve"> </w:t>
      </w:r>
      <w:r>
        <w:t>to address the regulatory concerns. This change described the door monitoring system principles and referred to a supporting specification document. This was assessed as satisfactory by ONR, with an assessment finding being raised to ensure that the door control systems were adequately specified, designed and implemented within a UK EPR by a future licensee</w:t>
      </w:r>
      <w:r w:rsidR="005116B9">
        <w:t>.</w:t>
      </w:r>
    </w:p>
    <w:p w14:paraId="6604FD9B" w14:textId="60B774B3" w:rsidR="00CD41C8" w:rsidRDefault="00277BD5" w:rsidP="001750E1">
      <w:pPr>
        <w:pStyle w:val="Heading2"/>
        <w:ind w:left="709" w:right="-330" w:hanging="709"/>
      </w:pPr>
      <w:bookmarkStart w:id="96" w:name="_Toc178776945"/>
      <w:r w:rsidRPr="00277BD5">
        <w:t xml:space="preserve">UK </w:t>
      </w:r>
      <w:r w:rsidR="00AB7237">
        <w:t>s</w:t>
      </w:r>
      <w:r w:rsidRPr="00277BD5">
        <w:t xml:space="preserve">tandards on </w:t>
      </w:r>
      <w:r w:rsidR="00AB7237">
        <w:t>f</w:t>
      </w:r>
      <w:r w:rsidRPr="00277BD5">
        <w:t xml:space="preserve">ire </w:t>
      </w:r>
      <w:r w:rsidR="00AB7237">
        <w:t>s</w:t>
      </w:r>
      <w:r w:rsidRPr="00277BD5">
        <w:t>afety</w:t>
      </w:r>
      <w:r>
        <w:t xml:space="preserve"> - d</w:t>
      </w:r>
      <w:r w:rsidR="00DA1C5A">
        <w:t>ifferences in regulatory approaches</w:t>
      </w:r>
      <w:bookmarkEnd w:id="96"/>
    </w:p>
    <w:p w14:paraId="54075535" w14:textId="130EC82C" w:rsidR="00F01230" w:rsidRPr="00F01230" w:rsidRDefault="00F01230" w:rsidP="00F01230">
      <w:r w:rsidRPr="00F01230">
        <w:t xml:space="preserve">The modified design is now in line with </w:t>
      </w:r>
      <w:proofErr w:type="spellStart"/>
      <w:r w:rsidRPr="00F01230">
        <w:t>Olkiluoto</w:t>
      </w:r>
      <w:proofErr w:type="spellEnd"/>
      <w:r w:rsidRPr="00F01230">
        <w:t xml:space="preserve"> 3. It is not known whether any subsequent design changes were made for </w:t>
      </w:r>
      <w:proofErr w:type="spellStart"/>
      <w:r w:rsidRPr="00F01230">
        <w:t>Flamanville</w:t>
      </w:r>
      <w:proofErr w:type="spellEnd"/>
      <w:r w:rsidRPr="00F01230">
        <w:t xml:space="preserve"> 3.</w:t>
      </w:r>
    </w:p>
    <w:p w14:paraId="68821067" w14:textId="09C8C065" w:rsidR="00CD41C8" w:rsidRDefault="00277BD5" w:rsidP="00EA236F">
      <w:pPr>
        <w:pStyle w:val="Heading2"/>
      </w:pPr>
      <w:bookmarkStart w:id="97" w:name="_Toc456975000"/>
      <w:bookmarkStart w:id="98" w:name="_Toc178776946"/>
      <w:r w:rsidRPr="00277BD5">
        <w:t xml:space="preserve">UK </w:t>
      </w:r>
      <w:r w:rsidR="00AB7237">
        <w:t>s</w:t>
      </w:r>
      <w:r w:rsidRPr="00277BD5">
        <w:t xml:space="preserve">tandards on </w:t>
      </w:r>
      <w:r w:rsidR="00AB7237">
        <w:t>f</w:t>
      </w:r>
      <w:r w:rsidRPr="00277BD5">
        <w:t xml:space="preserve">ire </w:t>
      </w:r>
      <w:r w:rsidR="00AB7237">
        <w:t>s</w:t>
      </w:r>
      <w:r w:rsidRPr="00277BD5">
        <w:t xml:space="preserve">afety </w:t>
      </w:r>
      <w:r>
        <w:t>- s</w:t>
      </w:r>
      <w:r w:rsidR="00CD41C8">
        <w:t>afety</w:t>
      </w:r>
      <w:bookmarkEnd w:id="97"/>
      <w:r w:rsidR="00E955CB">
        <w:t xml:space="preserve"> benefit</w:t>
      </w:r>
      <w:bookmarkEnd w:id="98"/>
    </w:p>
    <w:p w14:paraId="6890F000" w14:textId="7504003C" w:rsidR="00F01230" w:rsidRPr="00F01230" w:rsidRDefault="00C34C82" w:rsidP="00F01230">
      <w:r w:rsidRPr="00C34C82">
        <w:t>Should barriers be left open inadvertently, there is the risk of fire being spread between fire compartments</w:t>
      </w:r>
      <w:r w:rsidR="005116B9">
        <w:t xml:space="preserve">. This </w:t>
      </w:r>
      <w:r w:rsidR="0061649B">
        <w:t>leaves</w:t>
      </w:r>
      <w:r w:rsidRPr="00C34C82">
        <w:t xml:space="preserve"> the risk of significant escalation of an incident and potentially significant nuclear safety consequences.</w:t>
      </w:r>
    </w:p>
    <w:p w14:paraId="60BC2B3D" w14:textId="2A34B5D7" w:rsidR="00CD41C8" w:rsidRDefault="00277BD5" w:rsidP="00EA236F">
      <w:pPr>
        <w:pStyle w:val="Heading2"/>
      </w:pPr>
      <w:bookmarkStart w:id="99" w:name="_Toc2135474679"/>
      <w:bookmarkStart w:id="100" w:name="_Toc178776947"/>
      <w:r w:rsidRPr="00277BD5">
        <w:t xml:space="preserve">UK </w:t>
      </w:r>
      <w:r w:rsidR="00AB7237">
        <w:t>s</w:t>
      </w:r>
      <w:r w:rsidRPr="00277BD5">
        <w:t xml:space="preserve">tandards on </w:t>
      </w:r>
      <w:r w:rsidR="007A3A3B">
        <w:t>f</w:t>
      </w:r>
      <w:r w:rsidRPr="00277BD5">
        <w:t xml:space="preserve">ire </w:t>
      </w:r>
      <w:r w:rsidR="007A3A3B">
        <w:t>s</w:t>
      </w:r>
      <w:r w:rsidRPr="00277BD5">
        <w:t xml:space="preserve">afety </w:t>
      </w:r>
      <w:r>
        <w:t>- i</w:t>
      </w:r>
      <w:r w:rsidR="00CD41C8">
        <w:t>mpact</w:t>
      </w:r>
      <w:bookmarkEnd w:id="99"/>
      <w:bookmarkEnd w:id="100"/>
    </w:p>
    <w:p w14:paraId="3A4F82EE" w14:textId="66D77720" w:rsidR="00C34C82" w:rsidRPr="00C34C82" w:rsidRDefault="00914A54" w:rsidP="00C34C82">
      <w:r>
        <w:t>While ONR does not have specific information on the impact of this change, it was</w:t>
      </w:r>
      <w:r w:rsidR="2802EF8F">
        <w:t xml:space="preserve"> agreed during GDA and improved the safety of the design so that it was aligned with relevant good practice and the design adopted at </w:t>
      </w:r>
      <w:proofErr w:type="spellStart"/>
      <w:r w:rsidR="2802EF8F">
        <w:t>Olkiluoto</w:t>
      </w:r>
      <w:proofErr w:type="spellEnd"/>
      <w:r w:rsidR="2802EF8F">
        <w:t xml:space="preserve"> 3.  </w:t>
      </w:r>
    </w:p>
    <w:p w14:paraId="0D171875" w14:textId="77777777" w:rsidR="00D56126" w:rsidRDefault="001031FC" w:rsidP="00A97C89">
      <w:pPr>
        <w:pStyle w:val="Heading1"/>
      </w:pPr>
      <w:bookmarkStart w:id="101" w:name="_Toc1164760918"/>
      <w:bookmarkStart w:id="102" w:name="_Toc178776948"/>
      <w:r>
        <w:lastRenderedPageBreak/>
        <w:t>Conclusions</w:t>
      </w:r>
      <w:bookmarkEnd w:id="101"/>
      <w:bookmarkEnd w:id="102"/>
    </w:p>
    <w:p w14:paraId="49FB4A59" w14:textId="2E68DD3D" w:rsidR="006F7A35" w:rsidRDefault="00ED4D42" w:rsidP="00ED4D42">
      <w:r>
        <w:t xml:space="preserve">In order to understand the role it may have played in </w:t>
      </w:r>
      <w:r w:rsidR="00804D7B">
        <w:t xml:space="preserve">design changes to the UK EPR, ONR has engaged with NNB </w:t>
      </w:r>
      <w:proofErr w:type="spellStart"/>
      <w:r w:rsidR="00557CC3">
        <w:t>GenCo</w:t>
      </w:r>
      <w:proofErr w:type="spellEnd"/>
      <w:r w:rsidR="00CE44E8">
        <w:t xml:space="preserve"> and </w:t>
      </w:r>
      <w:r w:rsidR="001E2911">
        <w:t xml:space="preserve">conducted a review of </w:t>
      </w:r>
      <w:r w:rsidR="00AA2F90">
        <w:t xml:space="preserve">those changes NNB </w:t>
      </w:r>
      <w:proofErr w:type="spellStart"/>
      <w:r w:rsidR="00AA2F90">
        <w:t>GenCo</w:t>
      </w:r>
      <w:proofErr w:type="spellEnd"/>
      <w:r w:rsidR="00AA2F90">
        <w:t xml:space="preserve"> identified as having the greatest impact on </w:t>
      </w:r>
      <w:r w:rsidR="00E77584">
        <w:t xml:space="preserve">HPC’s </w:t>
      </w:r>
      <w:r w:rsidR="00AA2F90">
        <w:t xml:space="preserve">cost and schedule. </w:t>
      </w:r>
    </w:p>
    <w:p w14:paraId="50322278" w14:textId="4B28A87F" w:rsidR="000F6905" w:rsidRDefault="00ED4D42" w:rsidP="000F6905">
      <w:r>
        <w:t xml:space="preserve">Across the sample of modifications reviewed, </w:t>
      </w:r>
      <w:r w:rsidR="00F04A3C">
        <w:t>ONR’s</w:t>
      </w:r>
      <w:r>
        <w:t xml:space="preserve"> conclusions were broadly similar. All the identified changes were proposed by or discussed with EDF and AREVA during GDA in the period 2008</w:t>
      </w:r>
      <w:r w:rsidR="00E84D74">
        <w:t xml:space="preserve"> to 20</w:t>
      </w:r>
      <w:r>
        <w:t>12</w:t>
      </w:r>
      <w:r w:rsidR="00D85CEF">
        <w:t xml:space="preserve">, allowing for </w:t>
      </w:r>
      <w:r w:rsidR="003B0E42">
        <w:t>early consideration of cost and schedule impact</w:t>
      </w:r>
      <w:r>
        <w:t xml:space="preserve">. On balance, ONR </w:t>
      </w:r>
      <w:r w:rsidR="00366037">
        <w:t>believes</w:t>
      </w:r>
      <w:r>
        <w:t xml:space="preserve"> that the modifications reviewed were proportionate, and that </w:t>
      </w:r>
      <w:r w:rsidR="000F6905">
        <w:t>its</w:t>
      </w:r>
      <w:r>
        <w:t xml:space="preserve"> approach was broadly consistent with that of other international regulators</w:t>
      </w:r>
      <w:r w:rsidR="008F5CEE">
        <w:t xml:space="preserve">, who in </w:t>
      </w:r>
      <w:r w:rsidR="00065B32">
        <w:t>some</w:t>
      </w:r>
      <w:r w:rsidR="008F5CEE">
        <w:t xml:space="preserve"> instances required </w:t>
      </w:r>
      <w:r w:rsidR="00E5464B">
        <w:t>similar design improvements</w:t>
      </w:r>
      <w:r>
        <w:t>.</w:t>
      </w:r>
      <w:r w:rsidR="000F6905">
        <w:t xml:space="preserve"> </w:t>
      </w:r>
      <w:r w:rsidR="003B0E42">
        <w:t>EDF and AREVA did not make any arguments of gross disproportion during or after the GDA.</w:t>
      </w:r>
    </w:p>
    <w:p w14:paraId="42944F3C" w14:textId="6E806114" w:rsidR="00D56126" w:rsidRDefault="00ED4D42" w:rsidP="000F6905">
      <w:r>
        <w:t>An intent of the GDA is to help reduce the developer’s commercial risks on costs and timescales</w:t>
      </w:r>
      <w:r w:rsidR="000F6905">
        <w:t xml:space="preserve"> by providing clarity on </w:t>
      </w:r>
      <w:r w:rsidR="00C32FE9">
        <w:t xml:space="preserve">regulatory expectations and potential </w:t>
      </w:r>
      <w:r w:rsidR="000F6905">
        <w:t xml:space="preserve">design </w:t>
      </w:r>
      <w:r w:rsidR="00C32FE9">
        <w:t>modifications</w:t>
      </w:r>
      <w:r w:rsidR="000F6905">
        <w:t xml:space="preserve"> as soon as possible</w:t>
      </w:r>
      <w:r w:rsidR="00C32FE9">
        <w:t>,</w:t>
      </w:r>
      <w:r w:rsidR="000F6905">
        <w:t xml:space="preserve"> and significantly before any on site construction</w:t>
      </w:r>
      <w:r w:rsidR="00BC2E46">
        <w:t xml:space="preserve"> takes place</w:t>
      </w:r>
      <w:r>
        <w:t xml:space="preserve">. </w:t>
      </w:r>
      <w:r w:rsidR="00A225F1">
        <w:t>T</w:t>
      </w:r>
      <w:r>
        <w:t xml:space="preserve">he modifications reviewed were identified early and have remained largely unchanged since 2012, which supports this objective. </w:t>
      </w:r>
    </w:p>
    <w:p w14:paraId="789BA175" w14:textId="7BB8D0D6" w:rsidR="008B4187" w:rsidRDefault="008B4187" w:rsidP="000F6905">
      <w:r>
        <w:t>ONR accepts that there are lessons to be learnt and we have improved our GDA process as a result of our experience of this and subsequent GDAs.</w:t>
      </w:r>
    </w:p>
    <w:p w14:paraId="597A0E1C" w14:textId="5B3A0750" w:rsidR="007E5002" w:rsidRDefault="007E5002">
      <w:pPr>
        <w:spacing w:before="0" w:after="0" w:line="240" w:lineRule="auto"/>
      </w:pPr>
      <w:r>
        <w:br w:type="page"/>
      </w:r>
    </w:p>
    <w:bookmarkStart w:id="103" w:name="_Toc178776949" w:displacedByCustomXml="next"/>
    <w:bookmarkStart w:id="104" w:name="_Toc1354737028" w:displacedByCustomXml="next"/>
    <w:sdt>
      <w:sdtPr>
        <w:rPr>
          <w:color w:val="auto"/>
          <w:sz w:val="24"/>
          <w:szCs w:val="24"/>
        </w:rPr>
        <w:id w:val="1519039392"/>
        <w:docPartObj>
          <w:docPartGallery w:val="Bibliographies"/>
          <w:docPartUnique/>
        </w:docPartObj>
      </w:sdtPr>
      <w:sdtContent>
        <w:p w14:paraId="239C111D" w14:textId="05BC1179" w:rsidR="002B40B3" w:rsidRDefault="002B40B3">
          <w:pPr>
            <w:pStyle w:val="Heading1"/>
          </w:pPr>
          <w:r>
            <w:t>References</w:t>
          </w:r>
          <w:bookmarkEnd w:id="104"/>
          <w:bookmarkEnd w:id="103"/>
        </w:p>
        <w:sdt>
          <w:sdtPr>
            <w:id w:val="-573587230"/>
            <w:bibliography/>
          </w:sdtPr>
          <w:sdtContent>
            <w:p w14:paraId="6D21A6D1" w14:textId="77777777" w:rsidR="00D239CE" w:rsidRDefault="002B40B3">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D239CE" w14:paraId="252AD46D" w14:textId="77777777">
                <w:trPr>
                  <w:divId w:val="253365082"/>
                  <w:tblCellSpacing w:w="15" w:type="dxa"/>
                </w:trPr>
                <w:tc>
                  <w:tcPr>
                    <w:tcW w:w="50" w:type="pct"/>
                    <w:hideMark/>
                  </w:tcPr>
                  <w:p w14:paraId="745881D8" w14:textId="084F8157" w:rsidR="00D239CE" w:rsidRDefault="00D239CE">
                    <w:pPr>
                      <w:pStyle w:val="Bibliography"/>
                      <w:rPr>
                        <w:noProof/>
                        <w:szCs w:val="24"/>
                      </w:rPr>
                    </w:pPr>
                    <w:r>
                      <w:rPr>
                        <w:noProof/>
                      </w:rPr>
                      <w:t xml:space="preserve">[1] </w:t>
                    </w:r>
                  </w:p>
                </w:tc>
                <w:tc>
                  <w:tcPr>
                    <w:tcW w:w="0" w:type="auto"/>
                    <w:hideMark/>
                  </w:tcPr>
                  <w:p w14:paraId="027A3408" w14:textId="77777777" w:rsidR="00D239CE" w:rsidRDefault="00D239CE">
                    <w:pPr>
                      <w:pStyle w:val="Bibliography"/>
                      <w:rPr>
                        <w:noProof/>
                      </w:rPr>
                    </w:pPr>
                    <w:r>
                      <w:rPr>
                        <w:noProof/>
                      </w:rPr>
                      <w:t>“EDF Hinkley Point C - January 2024 project update - video (c. 1m:30s) - https://www.edfenergy.com/energy/nuclear-new-build-projects/hinkley-point-c/news-views/january-2024-project-update”.</w:t>
                    </w:r>
                  </w:p>
                </w:tc>
              </w:tr>
              <w:tr w:rsidR="00D239CE" w14:paraId="224A3322" w14:textId="77777777">
                <w:trPr>
                  <w:divId w:val="253365082"/>
                  <w:tblCellSpacing w:w="15" w:type="dxa"/>
                </w:trPr>
                <w:tc>
                  <w:tcPr>
                    <w:tcW w:w="50" w:type="pct"/>
                    <w:hideMark/>
                  </w:tcPr>
                  <w:p w14:paraId="772411F1" w14:textId="77777777" w:rsidR="00D239CE" w:rsidRDefault="00D239CE">
                    <w:pPr>
                      <w:pStyle w:val="Bibliography"/>
                      <w:rPr>
                        <w:noProof/>
                      </w:rPr>
                    </w:pPr>
                    <w:r>
                      <w:rPr>
                        <w:noProof/>
                      </w:rPr>
                      <w:t xml:space="preserve">[2] </w:t>
                    </w:r>
                  </w:p>
                </w:tc>
                <w:tc>
                  <w:tcPr>
                    <w:tcW w:w="0" w:type="auto"/>
                    <w:hideMark/>
                  </w:tcPr>
                  <w:p w14:paraId="3DD1522C" w14:textId="77777777" w:rsidR="00D239CE" w:rsidRDefault="00D239CE">
                    <w:pPr>
                      <w:pStyle w:val="Bibliography"/>
                      <w:rPr>
                        <w:noProof/>
                      </w:rPr>
                    </w:pPr>
                    <w:r>
                      <w:rPr>
                        <w:noProof/>
                      </w:rPr>
                      <w:t>“ONR-GDA-AR-12-024 Rev 0 - GDA Close-out for the EDF and AREVA UK EPR™ Reactor - GDA Issue GI-UKEPR-CC-02 Revision 3 – Consolidated Final GDA Submission including agreed Design Changes for the UK EPR (2013/32202)”.</w:t>
                    </w:r>
                  </w:p>
                </w:tc>
              </w:tr>
              <w:tr w:rsidR="00D239CE" w14:paraId="34B1E734" w14:textId="77777777">
                <w:trPr>
                  <w:divId w:val="253365082"/>
                  <w:tblCellSpacing w:w="15" w:type="dxa"/>
                </w:trPr>
                <w:tc>
                  <w:tcPr>
                    <w:tcW w:w="50" w:type="pct"/>
                    <w:hideMark/>
                  </w:tcPr>
                  <w:p w14:paraId="13986E54" w14:textId="77777777" w:rsidR="00D239CE" w:rsidRDefault="00D239CE">
                    <w:pPr>
                      <w:pStyle w:val="Bibliography"/>
                      <w:rPr>
                        <w:noProof/>
                      </w:rPr>
                    </w:pPr>
                    <w:r>
                      <w:rPr>
                        <w:noProof/>
                      </w:rPr>
                      <w:t xml:space="preserve">[3] </w:t>
                    </w:r>
                  </w:p>
                </w:tc>
                <w:tc>
                  <w:tcPr>
                    <w:tcW w:w="0" w:type="auto"/>
                    <w:hideMark/>
                  </w:tcPr>
                  <w:p w14:paraId="59CD5139" w14:textId="77777777" w:rsidR="00D239CE" w:rsidRDefault="00D239CE">
                    <w:pPr>
                      <w:pStyle w:val="Bibliography"/>
                      <w:rPr>
                        <w:noProof/>
                      </w:rPr>
                    </w:pPr>
                    <w:r>
                      <w:rPr>
                        <w:noProof/>
                      </w:rPr>
                      <w:t>“UKAEA, 'An assessment of the integrity of PWR pressure vessels, A UK study group report,' 1982”.</w:t>
                    </w:r>
                  </w:p>
                </w:tc>
              </w:tr>
              <w:tr w:rsidR="00D239CE" w14:paraId="48E63DEF" w14:textId="77777777">
                <w:trPr>
                  <w:divId w:val="253365082"/>
                  <w:tblCellSpacing w:w="15" w:type="dxa"/>
                </w:trPr>
                <w:tc>
                  <w:tcPr>
                    <w:tcW w:w="50" w:type="pct"/>
                    <w:hideMark/>
                  </w:tcPr>
                  <w:p w14:paraId="27FF7428" w14:textId="77777777" w:rsidR="00D239CE" w:rsidRDefault="00D239CE">
                    <w:pPr>
                      <w:pStyle w:val="Bibliography"/>
                      <w:rPr>
                        <w:noProof/>
                      </w:rPr>
                    </w:pPr>
                    <w:r>
                      <w:rPr>
                        <w:noProof/>
                      </w:rPr>
                      <w:t xml:space="preserve">[4] </w:t>
                    </w:r>
                  </w:p>
                </w:tc>
                <w:tc>
                  <w:tcPr>
                    <w:tcW w:w="0" w:type="auto"/>
                    <w:hideMark/>
                  </w:tcPr>
                  <w:p w14:paraId="0E17FA33" w14:textId="77777777" w:rsidR="00D239CE" w:rsidRDefault="00D239CE">
                    <w:pPr>
                      <w:pStyle w:val="Bibliography"/>
                      <w:rPr>
                        <w:noProof/>
                      </w:rPr>
                    </w:pPr>
                    <w:r>
                      <w:rPr>
                        <w:noProof/>
                      </w:rPr>
                      <w:t>“TAGSI response to NII questions on incredibility of failure safety cases, TAGSI report TAGSI/P(97)140 Revision 6, 1998 (2016/138079)”.</w:t>
                    </w:r>
                  </w:p>
                </w:tc>
              </w:tr>
              <w:tr w:rsidR="00D239CE" w14:paraId="2B9B2B8F" w14:textId="77777777">
                <w:trPr>
                  <w:divId w:val="253365082"/>
                  <w:tblCellSpacing w:w="15" w:type="dxa"/>
                </w:trPr>
                <w:tc>
                  <w:tcPr>
                    <w:tcW w:w="50" w:type="pct"/>
                    <w:hideMark/>
                  </w:tcPr>
                  <w:p w14:paraId="43E2D7A2" w14:textId="77777777" w:rsidR="00D239CE" w:rsidRDefault="00D239CE">
                    <w:pPr>
                      <w:pStyle w:val="Bibliography"/>
                      <w:rPr>
                        <w:noProof/>
                      </w:rPr>
                    </w:pPr>
                    <w:r>
                      <w:rPr>
                        <w:noProof/>
                      </w:rPr>
                      <w:t xml:space="preserve">[5] </w:t>
                    </w:r>
                  </w:p>
                </w:tc>
                <w:tc>
                  <w:tcPr>
                    <w:tcW w:w="0" w:type="auto"/>
                    <w:hideMark/>
                  </w:tcPr>
                  <w:p w14:paraId="70774B93" w14:textId="77777777" w:rsidR="00D239CE" w:rsidRDefault="00D239CE">
                    <w:pPr>
                      <w:pStyle w:val="Bibliography"/>
                      <w:rPr>
                        <w:noProof/>
                      </w:rPr>
                    </w:pPr>
                    <w:r>
                      <w:rPr>
                        <w:noProof/>
                      </w:rPr>
                      <w:t>“SSG 88 - IAEA Specific Safety Guide 88 - Design Extension Conditions and the Concept of Practical Elimination in the Design of Nuclear Power Plants. https://www-pub.iaea.org/MTCD/Publications/PDF/PUB2055_web.pdf”.</w:t>
                    </w:r>
                  </w:p>
                </w:tc>
              </w:tr>
              <w:tr w:rsidR="00D239CE" w14:paraId="2B0F6F5D" w14:textId="77777777">
                <w:trPr>
                  <w:divId w:val="253365082"/>
                  <w:tblCellSpacing w:w="15" w:type="dxa"/>
                </w:trPr>
                <w:tc>
                  <w:tcPr>
                    <w:tcW w:w="50" w:type="pct"/>
                    <w:hideMark/>
                  </w:tcPr>
                  <w:p w14:paraId="7AE2C8D0" w14:textId="77777777" w:rsidR="00D239CE" w:rsidRDefault="00D239CE">
                    <w:pPr>
                      <w:pStyle w:val="Bibliography"/>
                      <w:rPr>
                        <w:noProof/>
                      </w:rPr>
                    </w:pPr>
                    <w:r>
                      <w:rPr>
                        <w:noProof/>
                      </w:rPr>
                      <w:t xml:space="preserve">[6] </w:t>
                    </w:r>
                  </w:p>
                </w:tc>
                <w:tc>
                  <w:tcPr>
                    <w:tcW w:w="0" w:type="auto"/>
                    <w:hideMark/>
                  </w:tcPr>
                  <w:p w14:paraId="693ED8C8" w14:textId="77777777" w:rsidR="00D239CE" w:rsidRDefault="00D239CE">
                    <w:pPr>
                      <w:pStyle w:val="Bibliography"/>
                      <w:rPr>
                        <w:noProof/>
                      </w:rPr>
                    </w:pPr>
                    <w:r>
                      <w:rPr>
                        <w:noProof/>
                      </w:rPr>
                      <w:t>“Regulatory Observation RO-EPR-043 - Safety functional categorisation and structures, systems and Components (SSC) classification for the UK EPR. (2009/467248)”.</w:t>
                    </w:r>
                  </w:p>
                </w:tc>
              </w:tr>
              <w:tr w:rsidR="00D239CE" w14:paraId="51040BD7" w14:textId="77777777">
                <w:trPr>
                  <w:divId w:val="253365082"/>
                  <w:tblCellSpacing w:w="15" w:type="dxa"/>
                </w:trPr>
                <w:tc>
                  <w:tcPr>
                    <w:tcW w:w="50" w:type="pct"/>
                    <w:hideMark/>
                  </w:tcPr>
                  <w:p w14:paraId="0A2FFC2F" w14:textId="77777777" w:rsidR="00D239CE" w:rsidRDefault="00D239CE">
                    <w:pPr>
                      <w:pStyle w:val="Bibliography"/>
                      <w:rPr>
                        <w:noProof/>
                      </w:rPr>
                    </w:pPr>
                    <w:r>
                      <w:rPr>
                        <w:noProof/>
                      </w:rPr>
                      <w:t xml:space="preserve">[7] </w:t>
                    </w:r>
                  </w:p>
                </w:tc>
                <w:tc>
                  <w:tcPr>
                    <w:tcW w:w="0" w:type="auto"/>
                    <w:hideMark/>
                  </w:tcPr>
                  <w:p w14:paraId="6DEA4FCB" w14:textId="77777777" w:rsidR="00D239CE" w:rsidRDefault="00D239CE">
                    <w:pPr>
                      <w:pStyle w:val="Bibliography"/>
                      <w:rPr>
                        <w:noProof/>
                      </w:rPr>
                    </w:pPr>
                    <w:r>
                      <w:rPr>
                        <w:noProof/>
                      </w:rPr>
                      <w:t>“UK EPR - GDA issues and resolution plans - https://www.onr.org.uk/publications/regulatory-reports/generic-design-assessment/uk-epr-gda-issues-and-resolution-plans/”.</w:t>
                    </w:r>
                  </w:p>
                </w:tc>
              </w:tr>
              <w:tr w:rsidR="00D239CE" w14:paraId="40B4CAA4" w14:textId="77777777">
                <w:trPr>
                  <w:divId w:val="253365082"/>
                  <w:tblCellSpacing w:w="15" w:type="dxa"/>
                </w:trPr>
                <w:tc>
                  <w:tcPr>
                    <w:tcW w:w="50" w:type="pct"/>
                    <w:hideMark/>
                  </w:tcPr>
                  <w:p w14:paraId="234722EE" w14:textId="77777777" w:rsidR="00D239CE" w:rsidRDefault="00D239CE">
                    <w:pPr>
                      <w:pStyle w:val="Bibliography"/>
                      <w:rPr>
                        <w:noProof/>
                      </w:rPr>
                    </w:pPr>
                    <w:r>
                      <w:rPr>
                        <w:noProof/>
                      </w:rPr>
                      <w:t xml:space="preserve">[8] </w:t>
                    </w:r>
                  </w:p>
                </w:tc>
                <w:tc>
                  <w:tcPr>
                    <w:tcW w:w="0" w:type="auto"/>
                    <w:hideMark/>
                  </w:tcPr>
                  <w:p w14:paraId="7B13C68B" w14:textId="77777777" w:rsidR="00D239CE" w:rsidRDefault="00D239CE">
                    <w:pPr>
                      <w:pStyle w:val="Bibliography"/>
                      <w:rPr>
                        <w:noProof/>
                      </w:rPr>
                    </w:pPr>
                    <w:r>
                      <w:rPr>
                        <w:noProof/>
                      </w:rPr>
                      <w:t>“ONR-GDA-AR-12-006 Rev 0 - GDA Close-out for the EDF and AREVA UK EPR™ Reactor - GDA Issue GI-UKEPR-CE-01 Revision 1 – Hypothesis and Methodology Notes for Class 1 Structures. (2013/32236) https://www.onr.org.uk/media/aqbb1kum/gi-ukepr-ce-01.pdf”.</w:t>
                    </w:r>
                  </w:p>
                </w:tc>
              </w:tr>
              <w:tr w:rsidR="00D239CE" w14:paraId="7B39807A" w14:textId="77777777">
                <w:trPr>
                  <w:divId w:val="253365082"/>
                  <w:tblCellSpacing w:w="15" w:type="dxa"/>
                </w:trPr>
                <w:tc>
                  <w:tcPr>
                    <w:tcW w:w="50" w:type="pct"/>
                    <w:hideMark/>
                  </w:tcPr>
                  <w:p w14:paraId="72CED110" w14:textId="77777777" w:rsidR="00D239CE" w:rsidRDefault="00D239CE">
                    <w:pPr>
                      <w:pStyle w:val="Bibliography"/>
                      <w:rPr>
                        <w:noProof/>
                      </w:rPr>
                    </w:pPr>
                    <w:r>
                      <w:rPr>
                        <w:noProof/>
                      </w:rPr>
                      <w:t xml:space="preserve">[9] </w:t>
                    </w:r>
                  </w:p>
                </w:tc>
                <w:tc>
                  <w:tcPr>
                    <w:tcW w:w="0" w:type="auto"/>
                    <w:hideMark/>
                  </w:tcPr>
                  <w:p w14:paraId="03374AB4" w14:textId="77777777" w:rsidR="00D239CE" w:rsidRDefault="00D239CE">
                    <w:pPr>
                      <w:pStyle w:val="Bibliography"/>
                      <w:rPr>
                        <w:noProof/>
                      </w:rPr>
                    </w:pPr>
                    <w:r>
                      <w:rPr>
                        <w:noProof/>
                      </w:rPr>
                      <w:t>“SSG 39 - IAEA Specific Safety Guide 39 - Design of Instrumentation and Control Systems for Nuclear Power Plants. https://www-pub.iaea.org/MTCD/publications/PDF/Pub1694_web.pdf”.</w:t>
                    </w:r>
                  </w:p>
                </w:tc>
              </w:tr>
              <w:tr w:rsidR="00D239CE" w14:paraId="691DA72C" w14:textId="77777777">
                <w:trPr>
                  <w:divId w:val="253365082"/>
                  <w:tblCellSpacing w:w="15" w:type="dxa"/>
                </w:trPr>
                <w:tc>
                  <w:tcPr>
                    <w:tcW w:w="50" w:type="pct"/>
                    <w:hideMark/>
                  </w:tcPr>
                  <w:p w14:paraId="6802C527" w14:textId="77777777" w:rsidR="00D239CE" w:rsidRDefault="00D239CE">
                    <w:pPr>
                      <w:pStyle w:val="Bibliography"/>
                      <w:rPr>
                        <w:noProof/>
                      </w:rPr>
                    </w:pPr>
                    <w:r>
                      <w:rPr>
                        <w:noProof/>
                      </w:rPr>
                      <w:lastRenderedPageBreak/>
                      <w:t xml:space="preserve">[10] </w:t>
                    </w:r>
                  </w:p>
                </w:tc>
                <w:tc>
                  <w:tcPr>
                    <w:tcW w:w="0" w:type="auto"/>
                    <w:hideMark/>
                  </w:tcPr>
                  <w:p w14:paraId="4D524B40" w14:textId="77777777" w:rsidR="00D239CE" w:rsidRDefault="00D239CE">
                    <w:pPr>
                      <w:pStyle w:val="Bibliography"/>
                      <w:rPr>
                        <w:noProof/>
                      </w:rPr>
                    </w:pPr>
                    <w:r>
                      <w:rPr>
                        <w:noProof/>
                      </w:rPr>
                      <w:t>“Joint Regulatory Position Statement on the EPR Pressurised Water Reactor. https://www.french-nuclear-safety.fr/asn-informs/news-releases/epr-pressurised-water-reactor”.</w:t>
                    </w:r>
                  </w:p>
                </w:tc>
              </w:tr>
              <w:tr w:rsidR="00D239CE" w14:paraId="43CF5BEC" w14:textId="77777777">
                <w:trPr>
                  <w:divId w:val="253365082"/>
                  <w:tblCellSpacing w:w="15" w:type="dxa"/>
                </w:trPr>
                <w:tc>
                  <w:tcPr>
                    <w:tcW w:w="50" w:type="pct"/>
                    <w:hideMark/>
                  </w:tcPr>
                  <w:p w14:paraId="31A3236B" w14:textId="77777777" w:rsidR="00D239CE" w:rsidRDefault="00D239CE">
                    <w:pPr>
                      <w:pStyle w:val="Bibliography"/>
                      <w:rPr>
                        <w:noProof/>
                      </w:rPr>
                    </w:pPr>
                    <w:r>
                      <w:rPr>
                        <w:noProof/>
                      </w:rPr>
                      <w:t xml:space="preserve">[11] </w:t>
                    </w:r>
                  </w:p>
                </w:tc>
                <w:tc>
                  <w:tcPr>
                    <w:tcW w:w="0" w:type="auto"/>
                    <w:hideMark/>
                  </w:tcPr>
                  <w:p w14:paraId="5A9290F1" w14:textId="77777777" w:rsidR="00D239CE" w:rsidRDefault="00D239CE">
                    <w:pPr>
                      <w:pStyle w:val="Bibliography"/>
                      <w:rPr>
                        <w:noProof/>
                      </w:rPr>
                    </w:pPr>
                    <w:r>
                      <w:rPr>
                        <w:noProof/>
                      </w:rPr>
                      <w:t>“ASN lifts its reservations regarding the I&amp;C architecture of the Flamanville 3 EPR. https://www.french-nuclear-safety.fr/asn-informs/news-releases/I-C-architecture-of-the-Flamanville-3-EPR”.</w:t>
                    </w:r>
                  </w:p>
                </w:tc>
              </w:tr>
              <w:tr w:rsidR="00D239CE" w14:paraId="2819981D" w14:textId="77777777">
                <w:trPr>
                  <w:divId w:val="253365082"/>
                  <w:tblCellSpacing w:w="15" w:type="dxa"/>
                </w:trPr>
                <w:tc>
                  <w:tcPr>
                    <w:tcW w:w="50" w:type="pct"/>
                    <w:hideMark/>
                  </w:tcPr>
                  <w:p w14:paraId="05063592" w14:textId="77777777" w:rsidR="00D239CE" w:rsidRDefault="00D239CE">
                    <w:pPr>
                      <w:pStyle w:val="Bibliography"/>
                      <w:rPr>
                        <w:noProof/>
                      </w:rPr>
                    </w:pPr>
                    <w:r>
                      <w:rPr>
                        <w:noProof/>
                      </w:rPr>
                      <w:t xml:space="preserve">[12] </w:t>
                    </w:r>
                  </w:p>
                </w:tc>
                <w:tc>
                  <w:tcPr>
                    <w:tcW w:w="0" w:type="auto"/>
                    <w:hideMark/>
                  </w:tcPr>
                  <w:p w14:paraId="5A41C46E" w14:textId="77777777" w:rsidR="00D239CE" w:rsidRDefault="00D239CE">
                    <w:pPr>
                      <w:pStyle w:val="Bibliography"/>
                      <w:rPr>
                        <w:noProof/>
                      </w:rPr>
                    </w:pPr>
                    <w:r>
                      <w:rPr>
                        <w:noProof/>
                      </w:rPr>
                      <w:t>“UKEPR GDA- Step 4 assessment reports. https://www.onr.org.uk/publications/regulatory-reports/generic-design-assessment/uk-epr-reports/”.</w:t>
                    </w:r>
                  </w:p>
                </w:tc>
              </w:tr>
              <w:tr w:rsidR="00D239CE" w14:paraId="383BEB55" w14:textId="77777777">
                <w:trPr>
                  <w:divId w:val="253365082"/>
                  <w:tblCellSpacing w:w="15" w:type="dxa"/>
                </w:trPr>
                <w:tc>
                  <w:tcPr>
                    <w:tcW w:w="50" w:type="pct"/>
                    <w:hideMark/>
                  </w:tcPr>
                  <w:p w14:paraId="78ED5671" w14:textId="77777777" w:rsidR="00D239CE" w:rsidRDefault="00D239CE">
                    <w:pPr>
                      <w:pStyle w:val="Bibliography"/>
                      <w:rPr>
                        <w:noProof/>
                      </w:rPr>
                    </w:pPr>
                    <w:r>
                      <w:rPr>
                        <w:noProof/>
                      </w:rPr>
                      <w:t xml:space="preserve">[13] </w:t>
                    </w:r>
                  </w:p>
                </w:tc>
                <w:tc>
                  <w:tcPr>
                    <w:tcW w:w="0" w:type="auto"/>
                    <w:hideMark/>
                  </w:tcPr>
                  <w:p w14:paraId="441A18F3" w14:textId="77777777" w:rsidR="00D239CE" w:rsidRDefault="00D239CE">
                    <w:pPr>
                      <w:pStyle w:val="Bibliography"/>
                      <w:rPr>
                        <w:noProof/>
                      </w:rPr>
                    </w:pPr>
                    <w:r>
                      <w:rPr>
                        <w:noProof/>
                      </w:rPr>
                      <w:t>“ONR-NR-PAR-18-006 Rev 1 - Project assessment report - ONR assessment of a request by NNB GenCo (HPC) Ltd for Consent to commence unit 1 nuclear island concrete. https://www.onr.org.uk/media/ngbaoy5o/hinkley-point-c-18-006.pdf”.</w:t>
                    </w:r>
                  </w:p>
                </w:tc>
              </w:tr>
              <w:tr w:rsidR="00D239CE" w14:paraId="1E446AD8" w14:textId="77777777">
                <w:trPr>
                  <w:divId w:val="253365082"/>
                  <w:tblCellSpacing w:w="15" w:type="dxa"/>
                </w:trPr>
                <w:tc>
                  <w:tcPr>
                    <w:tcW w:w="50" w:type="pct"/>
                    <w:hideMark/>
                  </w:tcPr>
                  <w:p w14:paraId="6DBFF989" w14:textId="77777777" w:rsidR="00D239CE" w:rsidRDefault="00D239CE">
                    <w:pPr>
                      <w:pStyle w:val="Bibliography"/>
                      <w:rPr>
                        <w:noProof/>
                      </w:rPr>
                    </w:pPr>
                    <w:r>
                      <w:rPr>
                        <w:noProof/>
                      </w:rPr>
                      <w:t xml:space="preserve">[14] </w:t>
                    </w:r>
                  </w:p>
                </w:tc>
                <w:tc>
                  <w:tcPr>
                    <w:tcW w:w="0" w:type="auto"/>
                    <w:hideMark/>
                  </w:tcPr>
                  <w:p w14:paraId="78D4FEEB" w14:textId="77777777" w:rsidR="00D239CE" w:rsidRDefault="00D239CE">
                    <w:pPr>
                      <w:pStyle w:val="Bibliography"/>
                      <w:rPr>
                        <w:noProof/>
                      </w:rPr>
                    </w:pPr>
                    <w:r>
                      <w:rPr>
                        <w:noProof/>
                      </w:rPr>
                      <w:t>“ONR-GDA-AR-11-020a Revision 0, Step 4 Fault Studies – Design Basis Faults Assessment of the EDF and AREVA UK EPR Reactor, ONR, 21 November 2011”.</w:t>
                    </w:r>
                  </w:p>
                </w:tc>
              </w:tr>
              <w:tr w:rsidR="00D239CE" w14:paraId="09879EAD" w14:textId="77777777">
                <w:trPr>
                  <w:divId w:val="253365082"/>
                  <w:tblCellSpacing w:w="15" w:type="dxa"/>
                </w:trPr>
                <w:tc>
                  <w:tcPr>
                    <w:tcW w:w="50" w:type="pct"/>
                    <w:hideMark/>
                  </w:tcPr>
                  <w:p w14:paraId="41C3A27B" w14:textId="77777777" w:rsidR="00D239CE" w:rsidRDefault="00D239CE">
                    <w:pPr>
                      <w:pStyle w:val="Bibliography"/>
                      <w:rPr>
                        <w:noProof/>
                      </w:rPr>
                    </w:pPr>
                    <w:r>
                      <w:rPr>
                        <w:noProof/>
                      </w:rPr>
                      <w:t xml:space="preserve">[15] </w:t>
                    </w:r>
                  </w:p>
                </w:tc>
                <w:tc>
                  <w:tcPr>
                    <w:tcW w:w="0" w:type="auto"/>
                    <w:hideMark/>
                  </w:tcPr>
                  <w:p w14:paraId="093D2380" w14:textId="77777777" w:rsidR="00D239CE" w:rsidRDefault="00D239CE">
                    <w:pPr>
                      <w:pStyle w:val="Bibliography"/>
                      <w:rPr>
                        <w:noProof/>
                      </w:rPr>
                    </w:pPr>
                    <w:r>
                      <w:rPr>
                        <w:noProof/>
                      </w:rPr>
                      <w:t>“ONR-GDA-AR-11-032 Revision 0, Step 4 Cross-cutting Topics Assessment of the EDF and AREVA UK EPR™ Reactor, ONR, 18 November 2011”.</w:t>
                    </w:r>
                  </w:p>
                </w:tc>
              </w:tr>
              <w:tr w:rsidR="00D239CE" w14:paraId="3E0C57E5" w14:textId="77777777">
                <w:trPr>
                  <w:divId w:val="253365082"/>
                  <w:tblCellSpacing w:w="15" w:type="dxa"/>
                </w:trPr>
                <w:tc>
                  <w:tcPr>
                    <w:tcW w:w="50" w:type="pct"/>
                    <w:hideMark/>
                  </w:tcPr>
                  <w:p w14:paraId="32DEF6AA" w14:textId="77777777" w:rsidR="00D239CE" w:rsidRDefault="00D239CE">
                    <w:pPr>
                      <w:pStyle w:val="Bibliography"/>
                      <w:rPr>
                        <w:noProof/>
                      </w:rPr>
                    </w:pPr>
                    <w:r>
                      <w:rPr>
                        <w:noProof/>
                      </w:rPr>
                      <w:t xml:space="preserve">[16] </w:t>
                    </w:r>
                  </w:p>
                </w:tc>
                <w:tc>
                  <w:tcPr>
                    <w:tcW w:w="0" w:type="auto"/>
                    <w:hideMark/>
                  </w:tcPr>
                  <w:p w14:paraId="2EA9AADB" w14:textId="77777777" w:rsidR="00D239CE" w:rsidRDefault="00D239CE">
                    <w:pPr>
                      <w:pStyle w:val="Bibliography"/>
                      <w:rPr>
                        <w:noProof/>
                      </w:rPr>
                    </w:pPr>
                    <w:r>
                      <w:rPr>
                        <w:noProof/>
                      </w:rPr>
                      <w:t xml:space="preserve">ONR, </w:t>
                    </w:r>
                    <w:r>
                      <w:rPr>
                        <w:i/>
                        <w:iCs/>
                        <w:noProof/>
                      </w:rPr>
                      <w:t xml:space="preserve">Safety Assessment Principles for Nuclear Facilities, </w:t>
                    </w:r>
                    <w:r>
                      <w:rPr>
                        <w:noProof/>
                      </w:rPr>
                      <w:t xml:space="preserve">2014 Edition, Revision 1 (January 2020) CM9 Ref. 2019/367414. </w:t>
                    </w:r>
                  </w:p>
                </w:tc>
              </w:tr>
              <w:tr w:rsidR="00D239CE" w14:paraId="0267248D" w14:textId="77777777">
                <w:trPr>
                  <w:divId w:val="253365082"/>
                  <w:tblCellSpacing w:w="15" w:type="dxa"/>
                </w:trPr>
                <w:tc>
                  <w:tcPr>
                    <w:tcW w:w="50" w:type="pct"/>
                    <w:hideMark/>
                  </w:tcPr>
                  <w:p w14:paraId="7A94B8D7" w14:textId="77777777" w:rsidR="00D239CE" w:rsidRDefault="00D239CE">
                    <w:pPr>
                      <w:pStyle w:val="Bibliography"/>
                      <w:rPr>
                        <w:noProof/>
                      </w:rPr>
                    </w:pPr>
                    <w:r>
                      <w:rPr>
                        <w:noProof/>
                      </w:rPr>
                      <w:t xml:space="preserve">[17] </w:t>
                    </w:r>
                  </w:p>
                </w:tc>
                <w:tc>
                  <w:tcPr>
                    <w:tcW w:w="0" w:type="auto"/>
                    <w:hideMark/>
                  </w:tcPr>
                  <w:p w14:paraId="36840957" w14:textId="77777777" w:rsidR="00D239CE" w:rsidRDefault="00D239CE">
                    <w:pPr>
                      <w:pStyle w:val="Bibliography"/>
                      <w:rPr>
                        <w:noProof/>
                      </w:rPr>
                    </w:pPr>
                    <w:r>
                      <w:rPr>
                        <w:noProof/>
                      </w:rPr>
                      <w:t>“NS-TAST-GD-016 - ONR Technical Assessment Guide - Integrity of metal structures, systems and components. (2020/253779)”.</w:t>
                    </w:r>
                  </w:p>
                </w:tc>
              </w:tr>
              <w:tr w:rsidR="00D239CE" w14:paraId="7C3FE248" w14:textId="77777777">
                <w:trPr>
                  <w:divId w:val="253365082"/>
                  <w:tblCellSpacing w:w="15" w:type="dxa"/>
                </w:trPr>
                <w:tc>
                  <w:tcPr>
                    <w:tcW w:w="50" w:type="pct"/>
                    <w:hideMark/>
                  </w:tcPr>
                  <w:p w14:paraId="49F1F5D0" w14:textId="77777777" w:rsidR="00D239CE" w:rsidRDefault="00D239CE">
                    <w:pPr>
                      <w:pStyle w:val="Bibliography"/>
                      <w:rPr>
                        <w:noProof/>
                      </w:rPr>
                    </w:pPr>
                    <w:r>
                      <w:rPr>
                        <w:noProof/>
                      </w:rPr>
                      <w:t xml:space="preserve">[18] </w:t>
                    </w:r>
                  </w:p>
                </w:tc>
                <w:tc>
                  <w:tcPr>
                    <w:tcW w:w="0" w:type="auto"/>
                    <w:hideMark/>
                  </w:tcPr>
                  <w:p w14:paraId="626FF611" w14:textId="77777777" w:rsidR="00D239CE" w:rsidRDefault="00D239CE">
                    <w:pPr>
                      <w:pStyle w:val="Bibliography"/>
                      <w:rPr>
                        <w:noProof/>
                      </w:rPr>
                    </w:pPr>
                    <w:r>
                      <w:rPr>
                        <w:noProof/>
                      </w:rPr>
                      <w:t>“UKEPR-0003-015 Issue 03 - PCER – Sub-chapter 1.5 – Safety assessment and international practice. https://www.edfenergy.com/sites/default/files/sub-chapter_1.5_-_safety_assessment_and_international_practice_1.pdf”.</w:t>
                    </w:r>
                  </w:p>
                </w:tc>
              </w:tr>
            </w:tbl>
            <w:p w14:paraId="39D8EAE1" w14:textId="77777777" w:rsidR="00D239CE" w:rsidRDefault="00D239CE">
              <w:pPr>
                <w:divId w:val="253365082"/>
                <w:rPr>
                  <w:rFonts w:eastAsia="Times New Roman"/>
                  <w:noProof/>
                </w:rPr>
              </w:pPr>
            </w:p>
            <w:p w14:paraId="35494380" w14:textId="46C09352" w:rsidR="002B40B3" w:rsidRDefault="002B40B3">
              <w:r>
                <w:rPr>
                  <w:b/>
                  <w:bCs/>
                  <w:noProof/>
                </w:rPr>
                <w:fldChar w:fldCharType="end"/>
              </w:r>
            </w:p>
          </w:sdtContent>
        </w:sdt>
      </w:sdtContent>
    </w:sdt>
    <w:p w14:paraId="3123C73C" w14:textId="77777777" w:rsidR="002B40B3" w:rsidRDefault="002B40B3" w:rsidP="00387144"/>
    <w:p w14:paraId="7A36CE7A" w14:textId="14E602A8" w:rsidR="007E5002" w:rsidRDefault="007E5002">
      <w:pPr>
        <w:spacing w:before="0" w:after="0" w:line="240" w:lineRule="auto"/>
      </w:pPr>
      <w:r>
        <w:br w:type="page"/>
      </w:r>
    </w:p>
    <w:p w14:paraId="413D3541" w14:textId="16614821" w:rsidR="00387144" w:rsidRDefault="00387144" w:rsidP="00387144">
      <w:r w:rsidRPr="009C023B">
        <w:lastRenderedPageBreak/>
        <w:t xml:space="preserve">The </w:t>
      </w:r>
      <w:r w:rsidR="008D4DA6" w:rsidRPr="009C023B">
        <w:t>informa</w:t>
      </w:r>
      <w:r w:rsidR="00A41E72" w:rsidRPr="009C023B">
        <w:t xml:space="preserve">tion sources identified in this document are all </w:t>
      </w:r>
      <w:r w:rsidR="005228E4" w:rsidRPr="009C023B">
        <w:t>publicly</w:t>
      </w:r>
      <w:r w:rsidR="00A41E72" w:rsidRPr="009C023B">
        <w:t xml:space="preserve"> available</w:t>
      </w:r>
      <w:r w:rsidR="005228E4" w:rsidRPr="00944BE5">
        <w:t>.</w:t>
      </w:r>
      <w:r w:rsidR="005228E4">
        <w:t xml:space="preserve"> </w:t>
      </w:r>
      <w:r w:rsidR="00D437EA">
        <w:t xml:space="preserve">As an aide to the reader, the </w:t>
      </w:r>
      <w:r w:rsidR="00F065D3">
        <w:t>sources can be found a</w:t>
      </w:r>
      <w:r w:rsidR="00F10485">
        <w:t>t:</w:t>
      </w:r>
    </w:p>
    <w:p w14:paraId="58341861" w14:textId="5EF2812E" w:rsidR="000E4304" w:rsidRPr="00E256EC" w:rsidRDefault="000E4304" w:rsidP="007B7B80">
      <w:pPr>
        <w:pStyle w:val="Bulletlist1"/>
        <w:spacing w:before="0" w:after="0"/>
        <w:rPr>
          <w:lang w:val="nl-NL"/>
        </w:rPr>
      </w:pPr>
      <w:r w:rsidRPr="00E256EC">
        <w:rPr>
          <w:lang w:val="nl-NL"/>
        </w:rPr>
        <w:t>ONR website</w:t>
      </w:r>
    </w:p>
    <w:p w14:paraId="785FD6BC" w14:textId="724BE580" w:rsidR="007B7B80" w:rsidRPr="00E256EC" w:rsidRDefault="00000000" w:rsidP="00D7584A">
      <w:pPr>
        <w:pStyle w:val="Bulletlist1"/>
        <w:spacing w:before="0" w:after="240"/>
        <w:rPr>
          <w:color w:val="07716C"/>
          <w:lang w:val="nl-NL"/>
        </w:rPr>
      </w:pPr>
      <w:hyperlink r:id="rId19" w:history="1">
        <w:r w:rsidR="00CD30D1" w:rsidRPr="00E256EC">
          <w:rPr>
            <w:rStyle w:val="Hyperlink"/>
            <w:color w:val="07716C"/>
            <w:lang w:val="nl-NL"/>
          </w:rPr>
          <w:t>www.onr.org.uk/</w:t>
        </w:r>
      </w:hyperlink>
      <w:r w:rsidR="00CD30D1" w:rsidRPr="00E256EC">
        <w:rPr>
          <w:color w:val="07716C"/>
          <w:lang w:val="nl-NL"/>
        </w:rPr>
        <w:t xml:space="preserve"> </w:t>
      </w:r>
    </w:p>
    <w:p w14:paraId="3C80D994" w14:textId="31886269" w:rsidR="00EB570A" w:rsidRPr="007B7B80" w:rsidRDefault="00FF38F5" w:rsidP="007B7B80">
      <w:pPr>
        <w:pStyle w:val="Bulletlist1"/>
        <w:spacing w:before="0" w:after="0"/>
        <w:rPr>
          <w:lang w:val="fr-FR"/>
        </w:rPr>
      </w:pPr>
      <w:r w:rsidRPr="007B7B80">
        <w:rPr>
          <w:lang w:val="fr-FR"/>
        </w:rPr>
        <w:t>Licence Conditions</w:t>
      </w:r>
    </w:p>
    <w:p w14:paraId="4129B073" w14:textId="44629203" w:rsidR="00FF38F5" w:rsidRPr="005407C9" w:rsidRDefault="00000000" w:rsidP="002277F6">
      <w:pPr>
        <w:pStyle w:val="Bulletlist1"/>
        <w:spacing w:before="0" w:after="240"/>
        <w:rPr>
          <w:rStyle w:val="Hyperlink"/>
          <w:color w:val="07716C"/>
          <w:lang w:val="fr-FR"/>
        </w:rPr>
      </w:pPr>
      <w:hyperlink r:id="rId20" w:history="1">
        <w:r w:rsidR="00F10F06" w:rsidRPr="005407C9">
          <w:rPr>
            <w:rStyle w:val="Hyperlink"/>
            <w:color w:val="07716C"/>
            <w:lang w:val="fr-FR"/>
          </w:rPr>
          <w:t>www.onr.org.uk/media/gixbe2br/licence-condition-handbook.pdf</w:t>
        </w:r>
      </w:hyperlink>
      <w:r w:rsidR="00CA6292" w:rsidRPr="005407C9">
        <w:rPr>
          <w:rStyle w:val="Hyperlink"/>
          <w:color w:val="07716C"/>
          <w:lang w:val="fr-FR"/>
        </w:rPr>
        <w:t xml:space="preserve"> </w:t>
      </w:r>
    </w:p>
    <w:p w14:paraId="310878DA" w14:textId="545ADA98" w:rsidR="00F10485" w:rsidRDefault="00F10485" w:rsidP="002277F6">
      <w:pPr>
        <w:pStyle w:val="Bulletlist1"/>
        <w:spacing w:before="0" w:after="0"/>
      </w:pPr>
      <w:r>
        <w:t>ONR Safety Assessment Principles</w:t>
      </w:r>
    </w:p>
    <w:p w14:paraId="6D640CEC" w14:textId="1D1B7186" w:rsidR="00212037" w:rsidRPr="005407C9" w:rsidRDefault="00000000" w:rsidP="002277F6">
      <w:pPr>
        <w:pStyle w:val="Bulletlist1"/>
        <w:spacing w:before="0" w:after="240"/>
        <w:rPr>
          <w:rStyle w:val="Hyperlink"/>
          <w:color w:val="07716C"/>
        </w:rPr>
      </w:pPr>
      <w:hyperlink r:id="rId21" w:history="1">
        <w:r w:rsidR="00F10F06" w:rsidRPr="005407C9">
          <w:rPr>
            <w:rStyle w:val="Hyperlink"/>
            <w:color w:val="07716C"/>
          </w:rPr>
          <w:t>www.onr.org.uk/publications/regulatory-guidance/regulatory-assessment-and-permissioning/safety-assessment-principles-saps/2014/11/saps-2014/</w:t>
        </w:r>
      </w:hyperlink>
      <w:r w:rsidR="009E66B4" w:rsidRPr="005407C9">
        <w:rPr>
          <w:rStyle w:val="Hyperlink"/>
          <w:color w:val="07716C"/>
        </w:rPr>
        <w:t xml:space="preserve"> </w:t>
      </w:r>
    </w:p>
    <w:p w14:paraId="5551EFBC" w14:textId="2497B116" w:rsidR="00F10485" w:rsidRDefault="00F10485" w:rsidP="002277F6">
      <w:pPr>
        <w:pStyle w:val="Bulletlist1"/>
        <w:spacing w:before="0" w:after="0"/>
      </w:pPr>
      <w:r>
        <w:t>ONR Technical Assessment Guides</w:t>
      </w:r>
    </w:p>
    <w:p w14:paraId="06CE9FD4" w14:textId="1FA111DD" w:rsidR="00212037" w:rsidRPr="005407C9" w:rsidRDefault="00000000" w:rsidP="002277F6">
      <w:pPr>
        <w:pStyle w:val="Bulletlist1"/>
        <w:spacing w:before="0" w:after="240"/>
        <w:rPr>
          <w:rStyle w:val="Hyperlink"/>
          <w:color w:val="07716C"/>
        </w:rPr>
      </w:pPr>
      <w:hyperlink r:id="rId22" w:history="1">
        <w:r w:rsidR="00F10F06" w:rsidRPr="005407C9">
          <w:rPr>
            <w:rStyle w:val="Hyperlink"/>
            <w:color w:val="07716C"/>
          </w:rPr>
          <w:t>https://www.onr.org.uk/publications/regulatory-guidance/</w:t>
        </w:r>
      </w:hyperlink>
      <w:r w:rsidR="00F10F06" w:rsidRPr="005407C9">
        <w:rPr>
          <w:rStyle w:val="Hyperlink"/>
          <w:color w:val="07716C"/>
        </w:rPr>
        <w:t xml:space="preserve"> </w:t>
      </w:r>
    </w:p>
    <w:p w14:paraId="4AE8F2D1" w14:textId="591EA1B7" w:rsidR="00F10485" w:rsidRDefault="00F10485" w:rsidP="002277F6">
      <w:pPr>
        <w:pStyle w:val="Bulletlist1"/>
        <w:spacing w:before="0" w:after="0"/>
      </w:pPr>
      <w:r>
        <w:t>UK EPR Generic Design Assessment Publications</w:t>
      </w:r>
    </w:p>
    <w:p w14:paraId="5A78F4E0" w14:textId="4F91CC2F" w:rsidR="007944BA" w:rsidRPr="005407C9" w:rsidRDefault="00000000" w:rsidP="00D7584A">
      <w:pPr>
        <w:pStyle w:val="Bulletlist1"/>
        <w:spacing w:before="0" w:after="240"/>
        <w:rPr>
          <w:color w:val="07716C"/>
          <w:u w:val="single"/>
        </w:rPr>
      </w:pPr>
      <w:hyperlink r:id="rId23" w:history="1">
        <w:r w:rsidR="00F10F06" w:rsidRPr="005407C9">
          <w:rPr>
            <w:rStyle w:val="Hyperlink"/>
            <w:color w:val="07716C"/>
          </w:rPr>
          <w:t>www.onr.org.uk/generic-design-assessment/assessment-of-reactors/uk-european-pressurised-reactor-uk-epr/</w:t>
        </w:r>
      </w:hyperlink>
      <w:r w:rsidR="00212037" w:rsidRPr="005407C9">
        <w:rPr>
          <w:rStyle w:val="Hyperlink"/>
          <w:color w:val="07716C"/>
        </w:rPr>
        <w:t xml:space="preserve"> </w:t>
      </w:r>
    </w:p>
    <w:sectPr w:rsidR="007944BA" w:rsidRPr="005407C9" w:rsidSect="007944B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E9B4" w14:textId="77777777" w:rsidR="008D00A1" w:rsidRDefault="008D00A1" w:rsidP="007944BA">
      <w:r>
        <w:separator/>
      </w:r>
    </w:p>
    <w:p w14:paraId="0A6C692C" w14:textId="77777777" w:rsidR="008D00A1" w:rsidRDefault="008D00A1" w:rsidP="007944BA"/>
  </w:endnote>
  <w:endnote w:type="continuationSeparator" w:id="0">
    <w:p w14:paraId="5F7E5E2C" w14:textId="77777777" w:rsidR="008D00A1" w:rsidRDefault="008D00A1" w:rsidP="007944BA">
      <w:r>
        <w:continuationSeparator/>
      </w:r>
    </w:p>
    <w:p w14:paraId="0DEFB400" w14:textId="77777777" w:rsidR="008D00A1" w:rsidRDefault="008D00A1" w:rsidP="007944BA"/>
  </w:endnote>
  <w:endnote w:type="continuationNotice" w:id="1">
    <w:p w14:paraId="06E20F6F" w14:textId="77777777" w:rsidR="008D00A1" w:rsidRDefault="008D00A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CA162" w14:textId="77777777" w:rsidR="002C05C7" w:rsidRDefault="002C05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078E" w14:textId="77777777" w:rsidR="002C05C7" w:rsidRDefault="002C05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B996" w14:textId="77777777" w:rsidR="002C05C7" w:rsidRDefault="002C05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948246"/>
      <w:docPartObj>
        <w:docPartGallery w:val="Page Numbers (Bottom of Page)"/>
        <w:docPartUnique/>
      </w:docPartObj>
    </w:sdtPr>
    <w:sdtContent>
      <w:p w14:paraId="2442E849" w14:textId="2CF6C9B0" w:rsidR="00A64C17" w:rsidRDefault="003A281C" w:rsidP="00DB5B77">
        <w:pPr>
          <w:pStyle w:val="Footer"/>
        </w:pPr>
        <w:r>
          <w:t xml:space="preserve">Page | </w:t>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23660" w14:textId="77777777" w:rsidR="008D00A1" w:rsidRPr="005E0344" w:rsidRDefault="008D00A1" w:rsidP="007944BA">
      <w:r w:rsidRPr="005E0344">
        <w:separator/>
      </w:r>
    </w:p>
  </w:footnote>
  <w:footnote w:type="continuationSeparator" w:id="0">
    <w:p w14:paraId="79995A73" w14:textId="77777777" w:rsidR="008D00A1" w:rsidRPr="005E0344" w:rsidRDefault="008D00A1" w:rsidP="007944BA">
      <w:r w:rsidRPr="005E0344">
        <w:continuationSeparator/>
      </w:r>
    </w:p>
    <w:p w14:paraId="0B2FE6CB" w14:textId="77777777" w:rsidR="008D00A1" w:rsidRDefault="008D00A1" w:rsidP="007944BA"/>
  </w:footnote>
  <w:footnote w:type="continuationNotice" w:id="1">
    <w:p w14:paraId="1DC38C67" w14:textId="77777777" w:rsidR="008D00A1" w:rsidRDefault="008D00A1" w:rsidP="007944BA"/>
    <w:p w14:paraId="71EE0316" w14:textId="77777777" w:rsidR="008D00A1" w:rsidRDefault="008D00A1" w:rsidP="007944BA"/>
  </w:footnote>
  <w:footnote w:id="2">
    <w:p w14:paraId="47EC0721" w14:textId="3C8B77BF" w:rsidR="00814D3B" w:rsidRDefault="00814D3B" w:rsidP="005116B9">
      <w:pPr>
        <w:pStyle w:val="FootnoteText"/>
        <w:ind w:left="284" w:hanging="284"/>
      </w:pPr>
      <w:r>
        <w:rPr>
          <w:rStyle w:val="FootnoteReference"/>
        </w:rPr>
        <w:footnoteRef/>
      </w:r>
      <w:r>
        <w:t xml:space="preserve"> </w:t>
      </w:r>
      <w:r w:rsidR="005116B9">
        <w:tab/>
      </w:r>
      <w:r>
        <w:t xml:space="preserve">Section 2.2 </w:t>
      </w:r>
      <w:r w:rsidR="009A76F8">
        <w:t>“</w:t>
      </w:r>
      <w:r w:rsidR="009A76F8" w:rsidRPr="005B4E6A">
        <w:rPr>
          <w:i/>
          <w:iCs/>
        </w:rPr>
        <w:t>Outcome of review by Finnish regulator (STUK)</w:t>
      </w:r>
      <w:r w:rsidR="009A76F8">
        <w:t>”</w:t>
      </w:r>
      <w:r>
        <w:t xml:space="preserve"> of</w:t>
      </w:r>
      <w:r w:rsidR="0064561F">
        <w:t xml:space="preserve"> the </w:t>
      </w:r>
      <w:r w:rsidR="00060198">
        <w:t>pre-construction environmental report</w:t>
      </w:r>
      <w:r>
        <w:t xml:space="preserve"> </w:t>
      </w:r>
      <w:r w:rsidR="00A617A5">
        <w:t xml:space="preserve">(PCER) </w:t>
      </w:r>
      <w:r w:rsidR="001B1D32">
        <w:t>s</w:t>
      </w:r>
      <w:r w:rsidR="00D825C3">
        <w:t xml:space="preserve">ub chapter 1.5, </w:t>
      </w:r>
      <w:r w:rsidR="003952AE">
        <w:t>s</w:t>
      </w:r>
      <w:r w:rsidR="00FD0381">
        <w:t>afety assessment and international practice</w:t>
      </w:r>
      <w:r w:rsidR="00F8418F">
        <w:t xml:space="preserve"> </w:t>
      </w:r>
      <w:sdt>
        <w:sdtPr>
          <w:id w:val="-1421321778"/>
          <w:citation/>
        </w:sdtPr>
        <w:sdtContent>
          <w:r w:rsidR="009F65C2">
            <w:fldChar w:fldCharType="begin"/>
          </w:r>
          <w:r w:rsidR="009F65C2">
            <w:instrText xml:space="preserve"> CITATION PCERCH15 \l 2057 </w:instrText>
          </w:r>
          <w:r w:rsidR="009F65C2">
            <w:fldChar w:fldCharType="separate"/>
          </w:r>
          <w:r w:rsidR="00D239CE" w:rsidRPr="00D239CE">
            <w:rPr>
              <w:noProof/>
            </w:rPr>
            <w:t>[18]</w:t>
          </w:r>
          <w:r w:rsidR="009F65C2">
            <w:fldChar w:fldCharType="end"/>
          </w:r>
        </w:sdtContent>
      </w:sdt>
      <w:r w:rsidR="009F65C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196D" w14:textId="77777777" w:rsidR="002C05C7" w:rsidRDefault="002C05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175B" w14:textId="77777777" w:rsidR="002C05C7" w:rsidRDefault="002C05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47CE1" w14:textId="77777777" w:rsidR="002C05C7" w:rsidRDefault="002C05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AEE5" w14:textId="77777777" w:rsidR="00F05F0B" w:rsidRPr="007944BA" w:rsidRDefault="00000000" w:rsidP="007944BA">
    <w:pPr>
      <w:pStyle w:val="Header"/>
      <w:rPr>
        <w:sz w:val="20"/>
        <w:szCs w:val="24"/>
      </w:rPr>
    </w:pPr>
    <w:sdt>
      <w:sdtPr>
        <w:rPr>
          <w:sz w:val="20"/>
          <w:szCs w:val="24"/>
        </w:rPr>
        <w:alias w:val="Title"/>
        <w:tag w:val=""/>
        <w:id w:val="-190229452"/>
        <w:placeholder>
          <w:docPart w:val="E489848E8619464F964EE6F7E6F0E601"/>
        </w:placeholder>
        <w:dataBinding w:prefixMappings="xmlns:ns0='http://purl.org/dc/elements/1.1/' xmlns:ns1='http://schemas.openxmlformats.org/package/2006/metadata/core-properties' " w:xpath="/ns1:coreProperties[1]/ns0:title[1]" w:storeItemID="{6C3C8BC8-F283-45AE-878A-BAB7291924A1}"/>
        <w:text/>
      </w:sdtPr>
      <w:sdtContent>
        <w:r w:rsidR="00F05F0B">
          <w:rPr>
            <w:sz w:val="20"/>
            <w:szCs w:val="24"/>
          </w:rPr>
          <w:t>ONR’s Regulatory influence on the EPR Design in the UK</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B0B4" w14:textId="77777777" w:rsidR="002C05C7" w:rsidRPr="007944BA" w:rsidRDefault="00000000" w:rsidP="007944BA">
    <w:pPr>
      <w:pStyle w:val="Header"/>
      <w:rPr>
        <w:sz w:val="20"/>
        <w:szCs w:val="24"/>
      </w:rPr>
    </w:pPr>
    <w:sdt>
      <w:sdtPr>
        <w:rPr>
          <w:sz w:val="20"/>
          <w:szCs w:val="24"/>
        </w:rPr>
        <w:alias w:val="Title"/>
        <w:tag w:val=""/>
        <w:id w:val="-599103567"/>
        <w:placeholder>
          <w:docPart w:val="6B495171326B4CAE988324888C8FD21B"/>
        </w:placeholder>
        <w:dataBinding w:prefixMappings="xmlns:ns0='http://purl.org/dc/elements/1.1/' xmlns:ns1='http://schemas.openxmlformats.org/package/2006/metadata/core-properties' " w:xpath="/ns1:coreProperties[1]/ns0:title[1]" w:storeItemID="{6C3C8BC8-F283-45AE-878A-BAB7291924A1}"/>
        <w:text/>
      </w:sdtPr>
      <w:sdtContent>
        <w:r w:rsidR="002C05C7">
          <w:rPr>
            <w:sz w:val="20"/>
            <w:szCs w:val="24"/>
          </w:rPr>
          <w:t>ONR’s Regulatory influence on the EPR Design in the UK</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64F19"/>
    <w:multiLevelType w:val="hybridMultilevel"/>
    <w:tmpl w:val="73364C28"/>
    <w:lvl w:ilvl="0" w:tplc="FFFFFFFF">
      <w:start w:val="1"/>
      <w:numFmt w:val="bullet"/>
      <w:lvlText w:val=""/>
      <w:lvlJc w:val="left"/>
      <w:pPr>
        <w:ind w:left="720"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4D03A2"/>
    <w:multiLevelType w:val="hybridMultilevel"/>
    <w:tmpl w:val="E3B4085E"/>
    <w:lvl w:ilvl="0" w:tplc="0809000F">
      <w:start w:val="1"/>
      <w:numFmt w:val="decimal"/>
      <w:lvlText w:val="%1."/>
      <w:lvlJc w:val="left"/>
      <w:pPr>
        <w:ind w:left="720" w:hanging="360"/>
      </w:pPr>
      <w:rPr>
        <w:rFonts w:hint="default"/>
        <w:strike w:val="0"/>
        <w:dstrike w:val="0"/>
        <w:color w:val="07716C" w:themeColor="accent1"/>
        <w:sz w:val="24"/>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076141F1"/>
    <w:multiLevelType w:val="hybridMultilevel"/>
    <w:tmpl w:val="CBEA53CC"/>
    <w:lvl w:ilvl="0" w:tplc="FFFFFFFF">
      <w:start w:val="1"/>
      <w:numFmt w:val="bullet"/>
      <w:lvlText w:val=""/>
      <w:lvlJc w:val="left"/>
      <w:pPr>
        <w:ind w:left="360" w:hanging="360"/>
      </w:pPr>
      <w:rPr>
        <w:rFonts w:ascii="Symbol" w:hAnsi="Symbol" w:hint="default"/>
        <w:strike w:val="0"/>
        <w:dstrike w:val="0"/>
        <w:color w:val="07716C" w:themeColor="accent1"/>
        <w:sz w:val="24"/>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7C53CEF"/>
    <w:multiLevelType w:val="hybridMultilevel"/>
    <w:tmpl w:val="DDA6E028"/>
    <w:lvl w:ilvl="0" w:tplc="FFFFFFFF">
      <w:start w:val="1"/>
      <w:numFmt w:val="bullet"/>
      <w:lvlText w:val=""/>
      <w:lvlJc w:val="left"/>
      <w:pPr>
        <w:ind w:left="1146" w:hanging="360"/>
      </w:pPr>
      <w:rPr>
        <w:rFonts w:ascii="Symbol" w:hAnsi="Symbol" w:hint="default"/>
        <w:strike w:val="0"/>
        <w:dstrike w:val="0"/>
        <w:color w:val="07716C" w:themeColor="accent1"/>
        <w:sz w:val="24"/>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14DF5076"/>
    <w:multiLevelType w:val="hybridMultilevel"/>
    <w:tmpl w:val="B3AEA2DC"/>
    <w:lvl w:ilvl="0" w:tplc="FFFFFFFF">
      <w:start w:val="1"/>
      <w:numFmt w:val="bullet"/>
      <w:lvlText w:val=""/>
      <w:lvlJc w:val="left"/>
      <w:pPr>
        <w:ind w:left="360" w:hanging="360"/>
      </w:pPr>
      <w:rPr>
        <w:rFonts w:ascii="Symbol" w:hAnsi="Symbol" w:hint="default"/>
        <w:strike w:val="0"/>
        <w:dstrike w:val="0"/>
        <w:color w:val="07716C" w:themeColor="accent1"/>
        <w:sz w:val="24"/>
      </w:rPr>
    </w:lvl>
    <w:lvl w:ilvl="1" w:tplc="FFFFFFFF">
      <w:start w:val="1"/>
      <w:numFmt w:val="bullet"/>
      <w:lvlText w:val=""/>
      <w:lvlJc w:val="left"/>
      <w:pPr>
        <w:ind w:left="1440" w:hanging="360"/>
      </w:pPr>
      <w:rPr>
        <w:rFonts w:ascii="Symbol" w:hAnsi="Symbol" w:hint="default"/>
        <w:strike w:val="0"/>
        <w:dstrike w:val="0"/>
        <w:color w:val="07716C" w:themeColor="accent1"/>
        <w:sz w:val="2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4001EE"/>
    <w:multiLevelType w:val="hybridMultilevel"/>
    <w:tmpl w:val="74AA4054"/>
    <w:lvl w:ilvl="0" w:tplc="FFFFFFFF">
      <w:start w:val="1"/>
      <w:numFmt w:val="bullet"/>
      <w:lvlText w:val=""/>
      <w:lvlJc w:val="left"/>
      <w:pPr>
        <w:ind w:left="360" w:hanging="360"/>
      </w:pPr>
      <w:rPr>
        <w:rFonts w:ascii="Symbol" w:hAnsi="Symbol" w:hint="default"/>
        <w:strike w:val="0"/>
        <w:dstrike w:val="0"/>
        <w:color w:val="07716C" w:themeColor="accent1"/>
        <w:sz w:val="24"/>
      </w:rPr>
    </w:lvl>
    <w:lvl w:ilvl="1" w:tplc="FFFFFFFF">
      <w:start w:val="1"/>
      <w:numFmt w:val="bullet"/>
      <w:lvlText w:val=""/>
      <w:lvlJc w:val="left"/>
      <w:pPr>
        <w:ind w:left="1440" w:hanging="360"/>
      </w:pPr>
      <w:rPr>
        <w:rFonts w:ascii="Symbol" w:hAnsi="Symbol" w:hint="default"/>
        <w:strike w:val="0"/>
        <w:dstrike w:val="0"/>
        <w:color w:val="07716C" w:themeColor="accent1"/>
        <w:sz w:val="2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6D14A2"/>
    <w:multiLevelType w:val="multilevel"/>
    <w:tmpl w:val="B900BCF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5A4634"/>
    <w:multiLevelType w:val="hybridMultilevel"/>
    <w:tmpl w:val="816C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D41C89"/>
    <w:multiLevelType w:val="hybridMultilevel"/>
    <w:tmpl w:val="AFF6EBA4"/>
    <w:lvl w:ilvl="0" w:tplc="B66CE9E0">
      <w:start w:val="1"/>
      <w:numFmt w:val="upperLetter"/>
      <w:lvlText w:val="%1)"/>
      <w:lvlJc w:val="left"/>
      <w:pPr>
        <w:ind w:left="1020" w:hanging="360"/>
      </w:pPr>
    </w:lvl>
    <w:lvl w:ilvl="1" w:tplc="E52C8234">
      <w:start w:val="1"/>
      <w:numFmt w:val="upperLetter"/>
      <w:lvlText w:val="%2)"/>
      <w:lvlJc w:val="left"/>
      <w:pPr>
        <w:ind w:left="1020" w:hanging="360"/>
      </w:pPr>
    </w:lvl>
    <w:lvl w:ilvl="2" w:tplc="7F0EA816">
      <w:start w:val="1"/>
      <w:numFmt w:val="upperLetter"/>
      <w:lvlText w:val="%3)"/>
      <w:lvlJc w:val="left"/>
      <w:pPr>
        <w:ind w:left="1020" w:hanging="360"/>
      </w:pPr>
    </w:lvl>
    <w:lvl w:ilvl="3" w:tplc="D90AF002">
      <w:start w:val="1"/>
      <w:numFmt w:val="upperLetter"/>
      <w:lvlText w:val="%4)"/>
      <w:lvlJc w:val="left"/>
      <w:pPr>
        <w:ind w:left="1020" w:hanging="360"/>
      </w:pPr>
    </w:lvl>
    <w:lvl w:ilvl="4" w:tplc="1E60CB04">
      <w:start w:val="1"/>
      <w:numFmt w:val="upperLetter"/>
      <w:lvlText w:val="%5)"/>
      <w:lvlJc w:val="left"/>
      <w:pPr>
        <w:ind w:left="1020" w:hanging="360"/>
      </w:pPr>
    </w:lvl>
    <w:lvl w:ilvl="5" w:tplc="CFD6F05A">
      <w:start w:val="1"/>
      <w:numFmt w:val="upperLetter"/>
      <w:lvlText w:val="%6)"/>
      <w:lvlJc w:val="left"/>
      <w:pPr>
        <w:ind w:left="1020" w:hanging="360"/>
      </w:pPr>
    </w:lvl>
    <w:lvl w:ilvl="6" w:tplc="637C23C2">
      <w:start w:val="1"/>
      <w:numFmt w:val="upperLetter"/>
      <w:lvlText w:val="%7)"/>
      <w:lvlJc w:val="left"/>
      <w:pPr>
        <w:ind w:left="1020" w:hanging="360"/>
      </w:pPr>
    </w:lvl>
    <w:lvl w:ilvl="7" w:tplc="35101C24">
      <w:start w:val="1"/>
      <w:numFmt w:val="upperLetter"/>
      <w:lvlText w:val="%8)"/>
      <w:lvlJc w:val="left"/>
      <w:pPr>
        <w:ind w:left="1020" w:hanging="360"/>
      </w:pPr>
    </w:lvl>
    <w:lvl w:ilvl="8" w:tplc="F9283088">
      <w:start w:val="1"/>
      <w:numFmt w:val="upperLetter"/>
      <w:lvlText w:val="%9)"/>
      <w:lvlJc w:val="left"/>
      <w:pPr>
        <w:ind w:left="1020" w:hanging="360"/>
      </w:pPr>
    </w:lvl>
  </w:abstractNum>
  <w:abstractNum w:abstractNumId="22" w15:restartNumberingAfterBreak="0">
    <w:nsid w:val="3AA5161A"/>
    <w:multiLevelType w:val="hybridMultilevel"/>
    <w:tmpl w:val="335007E2"/>
    <w:lvl w:ilvl="0" w:tplc="0809000B">
      <w:start w:val="1"/>
      <w:numFmt w:val="bullet"/>
      <w:lvlText w:val=""/>
      <w:lvlJc w:val="left"/>
      <w:pPr>
        <w:ind w:left="1080" w:hanging="360"/>
      </w:pPr>
      <w:rPr>
        <w:rFonts w:ascii="Wingdings" w:hAnsi="Wingdings" w:hint="default"/>
        <w:strike w:val="0"/>
        <w:dstrike w:val="0"/>
        <w:color w:val="07716C" w:themeColor="accent1"/>
        <w:sz w:val="24"/>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C52543"/>
    <w:multiLevelType w:val="hybridMultilevel"/>
    <w:tmpl w:val="3E0EEF84"/>
    <w:lvl w:ilvl="0" w:tplc="2AEA9B4E">
      <w:start w:val="1"/>
      <w:numFmt w:val="decimal"/>
      <w:lvlText w:val="%1."/>
      <w:lvlJc w:val="left"/>
      <w:pPr>
        <w:ind w:left="720" w:hanging="360"/>
      </w:pPr>
      <w:rPr>
        <w:color w:val="07716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0A6E34"/>
    <w:multiLevelType w:val="hybridMultilevel"/>
    <w:tmpl w:val="1044746A"/>
    <w:lvl w:ilvl="0" w:tplc="FFFFFFFF">
      <w:start w:val="1"/>
      <w:numFmt w:val="bullet"/>
      <w:lvlText w:val=""/>
      <w:lvlJc w:val="left"/>
      <w:pPr>
        <w:ind w:left="1146" w:hanging="360"/>
      </w:pPr>
      <w:rPr>
        <w:rFonts w:ascii="Symbol" w:hAnsi="Symbol" w:hint="default"/>
        <w:strike w:val="0"/>
        <w:dstrike w:val="0"/>
        <w:color w:val="07716C" w:themeColor="accent1"/>
        <w:sz w:val="24"/>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F85A1D"/>
    <w:multiLevelType w:val="hybridMultilevel"/>
    <w:tmpl w:val="AC861DDA"/>
    <w:lvl w:ilvl="0" w:tplc="5550646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6C42F1D"/>
    <w:multiLevelType w:val="hybridMultilevel"/>
    <w:tmpl w:val="8E22182C"/>
    <w:lvl w:ilvl="0" w:tplc="B3BE1944">
      <w:start w:val="1"/>
      <w:numFmt w:val="bullet"/>
      <w:lvlText w:val=""/>
      <w:lvlJc w:val="left"/>
      <w:pPr>
        <w:ind w:left="720"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A7064D"/>
    <w:multiLevelType w:val="hybridMultilevel"/>
    <w:tmpl w:val="65FAA6A8"/>
    <w:lvl w:ilvl="0" w:tplc="FFFFFFFF">
      <w:start w:val="1"/>
      <w:numFmt w:val="bullet"/>
      <w:lvlText w:val=""/>
      <w:lvlJc w:val="left"/>
      <w:pPr>
        <w:ind w:left="360" w:hanging="360"/>
      </w:pPr>
      <w:rPr>
        <w:rFonts w:ascii="Symbol" w:hAnsi="Symbol" w:hint="default"/>
        <w:strike w:val="0"/>
        <w:dstrike w:val="0"/>
        <w:color w:val="07716C" w:themeColor="accent1"/>
        <w:sz w:val="24"/>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F6E214D"/>
    <w:multiLevelType w:val="hybridMultilevel"/>
    <w:tmpl w:val="7820E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8A0F99"/>
    <w:multiLevelType w:val="multilevel"/>
    <w:tmpl w:val="4B16F1C8"/>
    <w:lvl w:ilvl="0">
      <w:start w:val="1"/>
      <w:numFmt w:val="decimal"/>
      <w:pStyle w:val="NumList1"/>
      <w:lvlText w:val="%1."/>
      <w:lvlJc w:val="left"/>
      <w:pPr>
        <w:ind w:left="783" w:hanging="357"/>
      </w:pPr>
      <w:rPr>
        <w:rFonts w:hint="default"/>
        <w:color w:val="07716C"/>
      </w:rPr>
    </w:lvl>
    <w:lvl w:ilvl="1">
      <w:start w:val="1"/>
      <w:numFmt w:val="lowerLetter"/>
      <w:pStyle w:val="NumList2"/>
      <w:lvlText w:val="%2)"/>
      <w:lvlJc w:val="left"/>
      <w:pPr>
        <w:ind w:left="1140" w:hanging="357"/>
      </w:pPr>
      <w:rPr>
        <w:rFonts w:hint="default"/>
      </w:rPr>
    </w:lvl>
    <w:lvl w:ilvl="2">
      <w:start w:val="1"/>
      <w:numFmt w:val="lowerRoman"/>
      <w:lvlText w:val="%3)"/>
      <w:lvlJc w:val="left"/>
      <w:pPr>
        <w:ind w:left="1506" w:hanging="360"/>
      </w:pPr>
      <w:rPr>
        <w:rFonts w:hint="default"/>
      </w:rPr>
    </w:lvl>
    <w:lvl w:ilvl="3">
      <w:start w:val="1"/>
      <w:numFmt w:val="decimal"/>
      <w:lvlText w:val="(%4)"/>
      <w:lvlJc w:val="left"/>
      <w:pPr>
        <w:ind w:left="1866" w:hanging="360"/>
      </w:pPr>
      <w:rPr>
        <w:rFonts w:hint="default"/>
      </w:rPr>
    </w:lvl>
    <w:lvl w:ilvl="4">
      <w:start w:val="1"/>
      <w:numFmt w:val="lowerLetter"/>
      <w:lvlText w:val="(%5)"/>
      <w:lvlJc w:val="left"/>
      <w:pPr>
        <w:ind w:left="2226" w:hanging="360"/>
      </w:pPr>
      <w:rPr>
        <w:rFonts w:hint="default"/>
      </w:rPr>
    </w:lvl>
    <w:lvl w:ilvl="5">
      <w:start w:val="1"/>
      <w:numFmt w:val="lowerRoman"/>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lowerLetter"/>
      <w:lvlText w:val="%8."/>
      <w:lvlJc w:val="left"/>
      <w:pPr>
        <w:ind w:left="3306" w:hanging="360"/>
      </w:pPr>
      <w:rPr>
        <w:rFonts w:hint="default"/>
      </w:rPr>
    </w:lvl>
    <w:lvl w:ilvl="8">
      <w:start w:val="1"/>
      <w:numFmt w:val="lowerRoman"/>
      <w:lvlText w:val="%9."/>
      <w:lvlJc w:val="left"/>
      <w:pPr>
        <w:ind w:left="3666" w:hanging="360"/>
      </w:pPr>
      <w:rPr>
        <w:rFonts w:hint="default"/>
      </w:rPr>
    </w:lvl>
  </w:abstractNum>
  <w:abstractNum w:abstractNumId="33" w15:restartNumberingAfterBreak="0">
    <w:nsid w:val="75F46359"/>
    <w:multiLevelType w:val="hybridMultilevel"/>
    <w:tmpl w:val="99221D06"/>
    <w:lvl w:ilvl="0" w:tplc="897CC8F0">
      <w:start w:val="1"/>
      <w:numFmt w:val="bullet"/>
      <w:lvlText w:val=""/>
      <w:lvlJc w:val="left"/>
      <w:pPr>
        <w:ind w:left="360" w:hanging="360"/>
      </w:pPr>
      <w:rPr>
        <w:rFonts w:ascii="Symbol" w:hAnsi="Symbol" w:hint="default"/>
        <w:strike w:val="0"/>
        <w:dstrike w:val="0"/>
        <w:color w:val="07716C" w:themeColor="accent1"/>
        <w:sz w:val="24"/>
      </w:rPr>
    </w:lvl>
    <w:lvl w:ilvl="1" w:tplc="8012D3DE">
      <w:start w:val="1"/>
      <w:numFmt w:val="bullet"/>
      <w:lvlText w:val="o"/>
      <w:lvlJc w:val="left"/>
      <w:pPr>
        <w:ind w:left="1440" w:hanging="360"/>
      </w:pPr>
      <w:rPr>
        <w:rFonts w:ascii="Courier New" w:hAnsi="Courier New" w:cs="Courier New" w:hint="default"/>
      </w:rPr>
    </w:lvl>
    <w:lvl w:ilvl="2" w:tplc="F946A45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DC76EA"/>
    <w:multiLevelType w:val="hybridMultilevel"/>
    <w:tmpl w:val="747421C4"/>
    <w:lvl w:ilvl="0" w:tplc="7F5ED4D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416429">
    <w:abstractNumId w:val="9"/>
  </w:num>
  <w:num w:numId="2" w16cid:durableId="69929542">
    <w:abstractNumId w:val="7"/>
  </w:num>
  <w:num w:numId="3" w16cid:durableId="1190558762">
    <w:abstractNumId w:val="6"/>
  </w:num>
  <w:num w:numId="4" w16cid:durableId="1628926090">
    <w:abstractNumId w:val="5"/>
  </w:num>
  <w:num w:numId="5" w16cid:durableId="149490911">
    <w:abstractNumId w:val="4"/>
  </w:num>
  <w:num w:numId="6" w16cid:durableId="1089348604">
    <w:abstractNumId w:val="8"/>
  </w:num>
  <w:num w:numId="7" w16cid:durableId="135026482">
    <w:abstractNumId w:val="3"/>
  </w:num>
  <w:num w:numId="8" w16cid:durableId="1665818624">
    <w:abstractNumId w:val="2"/>
  </w:num>
  <w:num w:numId="9" w16cid:durableId="2094352777">
    <w:abstractNumId w:val="1"/>
  </w:num>
  <w:num w:numId="10" w16cid:durableId="964241002">
    <w:abstractNumId w:val="0"/>
  </w:num>
  <w:num w:numId="11" w16cid:durableId="2143112502">
    <w:abstractNumId w:val="15"/>
  </w:num>
  <w:num w:numId="12" w16cid:durableId="60257907">
    <w:abstractNumId w:val="33"/>
  </w:num>
  <w:num w:numId="13" w16cid:durableId="1608417226">
    <w:abstractNumId w:val="23"/>
  </w:num>
  <w:num w:numId="14" w16cid:durableId="163669635">
    <w:abstractNumId w:val="16"/>
  </w:num>
  <w:num w:numId="15" w16cid:durableId="3670241">
    <w:abstractNumId w:val="33"/>
    <w:lvlOverride w:ilvl="0">
      <w:startOverride w:val="1"/>
    </w:lvlOverride>
  </w:num>
  <w:num w:numId="16" w16cid:durableId="851527019">
    <w:abstractNumId w:val="23"/>
    <w:lvlOverride w:ilvl="0">
      <w:startOverride w:val="1"/>
    </w:lvlOverride>
  </w:num>
  <w:num w:numId="17" w16cid:durableId="963923671">
    <w:abstractNumId w:val="16"/>
    <w:lvlOverride w:ilvl="0">
      <w:startOverride w:val="1"/>
    </w:lvlOverride>
  </w:num>
  <w:num w:numId="18" w16cid:durableId="1002318250">
    <w:abstractNumId w:val="32"/>
  </w:num>
  <w:num w:numId="19" w16cid:durableId="820578261">
    <w:abstractNumId w:val="26"/>
  </w:num>
  <w:num w:numId="20" w16cid:durableId="899245430">
    <w:abstractNumId w:val="19"/>
  </w:num>
  <w:num w:numId="21" w16cid:durableId="991130896">
    <w:abstractNumId w:val="28"/>
  </w:num>
  <w:num w:numId="22" w16cid:durableId="1936132370">
    <w:abstractNumId w:val="17"/>
  </w:num>
  <w:num w:numId="23" w16cid:durableId="4584952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8662347">
    <w:abstractNumId w:val="20"/>
  </w:num>
  <w:num w:numId="25" w16cid:durableId="564871883">
    <w:abstractNumId w:val="22"/>
  </w:num>
  <w:num w:numId="26" w16cid:durableId="1206216174">
    <w:abstractNumId w:val="27"/>
  </w:num>
  <w:num w:numId="27" w16cid:durableId="18233456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91007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782920">
    <w:abstractNumId w:val="19"/>
  </w:num>
  <w:num w:numId="30" w16cid:durableId="2016882905">
    <w:abstractNumId w:val="30"/>
  </w:num>
  <w:num w:numId="31" w16cid:durableId="1857498297">
    <w:abstractNumId w:val="12"/>
  </w:num>
  <w:num w:numId="32" w16cid:durableId="145437074">
    <w:abstractNumId w:val="11"/>
  </w:num>
  <w:num w:numId="33" w16cid:durableId="552815913">
    <w:abstractNumId w:val="21"/>
  </w:num>
  <w:num w:numId="34" w16cid:durableId="681323622">
    <w:abstractNumId w:val="19"/>
  </w:num>
  <w:num w:numId="35" w16cid:durableId="834999389">
    <w:abstractNumId w:val="19"/>
  </w:num>
  <w:num w:numId="36" w16cid:durableId="2055301273">
    <w:abstractNumId w:val="19"/>
  </w:num>
  <w:num w:numId="37" w16cid:durableId="882398912">
    <w:abstractNumId w:val="24"/>
  </w:num>
  <w:num w:numId="38" w16cid:durableId="726539071">
    <w:abstractNumId w:val="31"/>
  </w:num>
  <w:num w:numId="39" w16cid:durableId="1984918630">
    <w:abstractNumId w:val="34"/>
  </w:num>
  <w:num w:numId="40" w16cid:durableId="2072607207">
    <w:abstractNumId w:val="14"/>
  </w:num>
  <w:num w:numId="41" w16cid:durableId="1124273223">
    <w:abstractNumId w:val="18"/>
  </w:num>
  <w:num w:numId="42" w16cid:durableId="1716850734">
    <w:abstractNumId w:val="33"/>
  </w:num>
  <w:num w:numId="43" w16cid:durableId="418332642">
    <w:abstractNumId w:val="13"/>
  </w:num>
  <w:num w:numId="44" w16cid:durableId="190457516">
    <w:abstractNumId w:val="25"/>
  </w:num>
  <w:num w:numId="45" w16cid:durableId="1955356323">
    <w:abstractNumId w:val="29"/>
  </w:num>
  <w:num w:numId="46" w16cid:durableId="7457624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8E7"/>
    <w:rsid w:val="00000D11"/>
    <w:rsid w:val="00001529"/>
    <w:rsid w:val="00001631"/>
    <w:rsid w:val="000016A0"/>
    <w:rsid w:val="0000181B"/>
    <w:rsid w:val="00001A46"/>
    <w:rsid w:val="00001FBE"/>
    <w:rsid w:val="00002389"/>
    <w:rsid w:val="00002F03"/>
    <w:rsid w:val="00004C16"/>
    <w:rsid w:val="00006470"/>
    <w:rsid w:val="000109F6"/>
    <w:rsid w:val="00010DB5"/>
    <w:rsid w:val="00011177"/>
    <w:rsid w:val="0001204B"/>
    <w:rsid w:val="00014814"/>
    <w:rsid w:val="000151FD"/>
    <w:rsid w:val="000154D3"/>
    <w:rsid w:val="0001631F"/>
    <w:rsid w:val="00017BE0"/>
    <w:rsid w:val="00017E1D"/>
    <w:rsid w:val="00020919"/>
    <w:rsid w:val="00020B49"/>
    <w:rsid w:val="00020E1C"/>
    <w:rsid w:val="0002244E"/>
    <w:rsid w:val="0002269D"/>
    <w:rsid w:val="00022DD0"/>
    <w:rsid w:val="00023021"/>
    <w:rsid w:val="000236E6"/>
    <w:rsid w:val="00023D97"/>
    <w:rsid w:val="00024273"/>
    <w:rsid w:val="00024522"/>
    <w:rsid w:val="00024B2E"/>
    <w:rsid w:val="00024B61"/>
    <w:rsid w:val="000254A0"/>
    <w:rsid w:val="00027F4F"/>
    <w:rsid w:val="00030430"/>
    <w:rsid w:val="0003078E"/>
    <w:rsid w:val="00030BF6"/>
    <w:rsid w:val="00031B89"/>
    <w:rsid w:val="000323B0"/>
    <w:rsid w:val="000325DE"/>
    <w:rsid w:val="00032840"/>
    <w:rsid w:val="000345CF"/>
    <w:rsid w:val="00034C01"/>
    <w:rsid w:val="00035A7E"/>
    <w:rsid w:val="00036729"/>
    <w:rsid w:val="0003693D"/>
    <w:rsid w:val="00036B07"/>
    <w:rsid w:val="00037A8E"/>
    <w:rsid w:val="00040057"/>
    <w:rsid w:val="00040A43"/>
    <w:rsid w:val="00042EE7"/>
    <w:rsid w:val="00043346"/>
    <w:rsid w:val="0004438D"/>
    <w:rsid w:val="0004440F"/>
    <w:rsid w:val="00045256"/>
    <w:rsid w:val="00045602"/>
    <w:rsid w:val="000462B3"/>
    <w:rsid w:val="00046FFE"/>
    <w:rsid w:val="00047CFB"/>
    <w:rsid w:val="0005035B"/>
    <w:rsid w:val="00050D51"/>
    <w:rsid w:val="00050DAA"/>
    <w:rsid w:val="000520F5"/>
    <w:rsid w:val="00052999"/>
    <w:rsid w:val="00052C8A"/>
    <w:rsid w:val="00053996"/>
    <w:rsid w:val="00053C56"/>
    <w:rsid w:val="000541F9"/>
    <w:rsid w:val="000548C8"/>
    <w:rsid w:val="0005494F"/>
    <w:rsid w:val="00054E0F"/>
    <w:rsid w:val="00056106"/>
    <w:rsid w:val="00056951"/>
    <w:rsid w:val="00056B8C"/>
    <w:rsid w:val="00056EE0"/>
    <w:rsid w:val="00057018"/>
    <w:rsid w:val="000576AE"/>
    <w:rsid w:val="00057C90"/>
    <w:rsid w:val="00060198"/>
    <w:rsid w:val="00060B1A"/>
    <w:rsid w:val="000611C3"/>
    <w:rsid w:val="0006252F"/>
    <w:rsid w:val="00063B08"/>
    <w:rsid w:val="0006513E"/>
    <w:rsid w:val="000658B7"/>
    <w:rsid w:val="000658E1"/>
    <w:rsid w:val="00065B32"/>
    <w:rsid w:val="00065C24"/>
    <w:rsid w:val="00066088"/>
    <w:rsid w:val="00066321"/>
    <w:rsid w:val="000705A9"/>
    <w:rsid w:val="00071C14"/>
    <w:rsid w:val="00072B92"/>
    <w:rsid w:val="00073ABC"/>
    <w:rsid w:val="00073EF7"/>
    <w:rsid w:val="000751DE"/>
    <w:rsid w:val="00075605"/>
    <w:rsid w:val="00075C66"/>
    <w:rsid w:val="0007752F"/>
    <w:rsid w:val="00080774"/>
    <w:rsid w:val="000807AF"/>
    <w:rsid w:val="00080FB5"/>
    <w:rsid w:val="000817D4"/>
    <w:rsid w:val="0008258B"/>
    <w:rsid w:val="000826DC"/>
    <w:rsid w:val="00082879"/>
    <w:rsid w:val="00082D13"/>
    <w:rsid w:val="000845E4"/>
    <w:rsid w:val="00084607"/>
    <w:rsid w:val="00084956"/>
    <w:rsid w:val="000879DE"/>
    <w:rsid w:val="0009084D"/>
    <w:rsid w:val="00091EEA"/>
    <w:rsid w:val="00092C09"/>
    <w:rsid w:val="000934AF"/>
    <w:rsid w:val="00093F78"/>
    <w:rsid w:val="000949D5"/>
    <w:rsid w:val="00094AE6"/>
    <w:rsid w:val="00095105"/>
    <w:rsid w:val="00095485"/>
    <w:rsid w:val="00095893"/>
    <w:rsid w:val="00095F08"/>
    <w:rsid w:val="000964BF"/>
    <w:rsid w:val="0009656B"/>
    <w:rsid w:val="000A0099"/>
    <w:rsid w:val="000A05D2"/>
    <w:rsid w:val="000A105C"/>
    <w:rsid w:val="000A16AA"/>
    <w:rsid w:val="000A1C97"/>
    <w:rsid w:val="000A21E5"/>
    <w:rsid w:val="000A41B2"/>
    <w:rsid w:val="000A52E0"/>
    <w:rsid w:val="000A56D8"/>
    <w:rsid w:val="000A6226"/>
    <w:rsid w:val="000A6414"/>
    <w:rsid w:val="000A6ABE"/>
    <w:rsid w:val="000A6BDA"/>
    <w:rsid w:val="000B00C7"/>
    <w:rsid w:val="000B0E4D"/>
    <w:rsid w:val="000B1911"/>
    <w:rsid w:val="000B1F23"/>
    <w:rsid w:val="000B2431"/>
    <w:rsid w:val="000B2FD7"/>
    <w:rsid w:val="000B3564"/>
    <w:rsid w:val="000B3DB6"/>
    <w:rsid w:val="000B3EE2"/>
    <w:rsid w:val="000B42A8"/>
    <w:rsid w:val="000B46A4"/>
    <w:rsid w:val="000B4B1D"/>
    <w:rsid w:val="000B4C62"/>
    <w:rsid w:val="000B57D8"/>
    <w:rsid w:val="000B5DAA"/>
    <w:rsid w:val="000C1B6F"/>
    <w:rsid w:val="000C22EA"/>
    <w:rsid w:val="000C2530"/>
    <w:rsid w:val="000C2DDC"/>
    <w:rsid w:val="000C3E17"/>
    <w:rsid w:val="000C4B69"/>
    <w:rsid w:val="000C6406"/>
    <w:rsid w:val="000C67DC"/>
    <w:rsid w:val="000C6E48"/>
    <w:rsid w:val="000D06CF"/>
    <w:rsid w:val="000D0C78"/>
    <w:rsid w:val="000D2F79"/>
    <w:rsid w:val="000D2FD4"/>
    <w:rsid w:val="000D33CA"/>
    <w:rsid w:val="000D3C04"/>
    <w:rsid w:val="000D462F"/>
    <w:rsid w:val="000D569C"/>
    <w:rsid w:val="000D77C0"/>
    <w:rsid w:val="000E0090"/>
    <w:rsid w:val="000E03FE"/>
    <w:rsid w:val="000E0EEB"/>
    <w:rsid w:val="000E1F65"/>
    <w:rsid w:val="000E2BAB"/>
    <w:rsid w:val="000E4304"/>
    <w:rsid w:val="000E435B"/>
    <w:rsid w:val="000E5AB7"/>
    <w:rsid w:val="000E5C25"/>
    <w:rsid w:val="000E6610"/>
    <w:rsid w:val="000E6A53"/>
    <w:rsid w:val="000ED448"/>
    <w:rsid w:val="000F03FD"/>
    <w:rsid w:val="000F0620"/>
    <w:rsid w:val="000F0756"/>
    <w:rsid w:val="000F12F1"/>
    <w:rsid w:val="000F14F6"/>
    <w:rsid w:val="000F1B7B"/>
    <w:rsid w:val="000F21A0"/>
    <w:rsid w:val="000F2BAD"/>
    <w:rsid w:val="000F2ED4"/>
    <w:rsid w:val="000F328D"/>
    <w:rsid w:val="000F3AAC"/>
    <w:rsid w:val="000F3CED"/>
    <w:rsid w:val="000F3FAE"/>
    <w:rsid w:val="000F5C08"/>
    <w:rsid w:val="000F668E"/>
    <w:rsid w:val="000F6905"/>
    <w:rsid w:val="001019FA"/>
    <w:rsid w:val="00101C22"/>
    <w:rsid w:val="001028E8"/>
    <w:rsid w:val="001031FC"/>
    <w:rsid w:val="001049B2"/>
    <w:rsid w:val="00104D37"/>
    <w:rsid w:val="001060FB"/>
    <w:rsid w:val="001066C4"/>
    <w:rsid w:val="001101A6"/>
    <w:rsid w:val="001101E1"/>
    <w:rsid w:val="00112BF9"/>
    <w:rsid w:val="00113653"/>
    <w:rsid w:val="00113A74"/>
    <w:rsid w:val="00114167"/>
    <w:rsid w:val="0011593E"/>
    <w:rsid w:val="001160BF"/>
    <w:rsid w:val="00116621"/>
    <w:rsid w:val="00116766"/>
    <w:rsid w:val="001208E3"/>
    <w:rsid w:val="00122955"/>
    <w:rsid w:val="00122FCC"/>
    <w:rsid w:val="00123576"/>
    <w:rsid w:val="00124C2B"/>
    <w:rsid w:val="00125454"/>
    <w:rsid w:val="00125C75"/>
    <w:rsid w:val="00126752"/>
    <w:rsid w:val="00130537"/>
    <w:rsid w:val="00130B30"/>
    <w:rsid w:val="00130D59"/>
    <w:rsid w:val="00132493"/>
    <w:rsid w:val="00133002"/>
    <w:rsid w:val="001345A2"/>
    <w:rsid w:val="00134A05"/>
    <w:rsid w:val="00134AFC"/>
    <w:rsid w:val="00134FA6"/>
    <w:rsid w:val="0013515E"/>
    <w:rsid w:val="00136802"/>
    <w:rsid w:val="00136CA3"/>
    <w:rsid w:val="00136E7A"/>
    <w:rsid w:val="00136EED"/>
    <w:rsid w:val="0013787C"/>
    <w:rsid w:val="0013797A"/>
    <w:rsid w:val="00140333"/>
    <w:rsid w:val="00140AAF"/>
    <w:rsid w:val="00140E1C"/>
    <w:rsid w:val="00142288"/>
    <w:rsid w:val="00142289"/>
    <w:rsid w:val="0014232D"/>
    <w:rsid w:val="00142EF3"/>
    <w:rsid w:val="001431AD"/>
    <w:rsid w:val="00144032"/>
    <w:rsid w:val="001457A9"/>
    <w:rsid w:val="0014637C"/>
    <w:rsid w:val="00147AE4"/>
    <w:rsid w:val="0015041D"/>
    <w:rsid w:val="00152569"/>
    <w:rsid w:val="00152867"/>
    <w:rsid w:val="00153ACE"/>
    <w:rsid w:val="0015404D"/>
    <w:rsid w:val="001550A0"/>
    <w:rsid w:val="00155426"/>
    <w:rsid w:val="00155B1C"/>
    <w:rsid w:val="001560B9"/>
    <w:rsid w:val="00156417"/>
    <w:rsid w:val="001571E5"/>
    <w:rsid w:val="00157DFF"/>
    <w:rsid w:val="00160BA5"/>
    <w:rsid w:val="00161379"/>
    <w:rsid w:val="001617EC"/>
    <w:rsid w:val="0016202F"/>
    <w:rsid w:val="0016252E"/>
    <w:rsid w:val="00163189"/>
    <w:rsid w:val="0016355F"/>
    <w:rsid w:val="00163759"/>
    <w:rsid w:val="00163AAC"/>
    <w:rsid w:val="00164ED0"/>
    <w:rsid w:val="00166528"/>
    <w:rsid w:val="00166661"/>
    <w:rsid w:val="001672FA"/>
    <w:rsid w:val="001701F0"/>
    <w:rsid w:val="00170D54"/>
    <w:rsid w:val="0017113E"/>
    <w:rsid w:val="0017249F"/>
    <w:rsid w:val="00172C7C"/>
    <w:rsid w:val="001734D4"/>
    <w:rsid w:val="00173AC5"/>
    <w:rsid w:val="001750E1"/>
    <w:rsid w:val="00175FA4"/>
    <w:rsid w:val="00176128"/>
    <w:rsid w:val="00176EE7"/>
    <w:rsid w:val="00177427"/>
    <w:rsid w:val="00177666"/>
    <w:rsid w:val="001802A9"/>
    <w:rsid w:val="001804F3"/>
    <w:rsid w:val="00180813"/>
    <w:rsid w:val="00181B96"/>
    <w:rsid w:val="00181FC6"/>
    <w:rsid w:val="0018261F"/>
    <w:rsid w:val="0018295E"/>
    <w:rsid w:val="00182A58"/>
    <w:rsid w:val="0018368E"/>
    <w:rsid w:val="0018377D"/>
    <w:rsid w:val="001849CA"/>
    <w:rsid w:val="001853E5"/>
    <w:rsid w:val="00185410"/>
    <w:rsid w:val="00186020"/>
    <w:rsid w:val="00186B97"/>
    <w:rsid w:val="00186F35"/>
    <w:rsid w:val="001905FB"/>
    <w:rsid w:val="00192148"/>
    <w:rsid w:val="00192352"/>
    <w:rsid w:val="00193419"/>
    <w:rsid w:val="0019421F"/>
    <w:rsid w:val="001943A2"/>
    <w:rsid w:val="0019450F"/>
    <w:rsid w:val="00194D0B"/>
    <w:rsid w:val="00195CFF"/>
    <w:rsid w:val="001961C1"/>
    <w:rsid w:val="001966AC"/>
    <w:rsid w:val="001A02E3"/>
    <w:rsid w:val="001A0802"/>
    <w:rsid w:val="001A1531"/>
    <w:rsid w:val="001A2E4B"/>
    <w:rsid w:val="001A3D27"/>
    <w:rsid w:val="001A4792"/>
    <w:rsid w:val="001A4CDB"/>
    <w:rsid w:val="001A6660"/>
    <w:rsid w:val="001A7002"/>
    <w:rsid w:val="001A7C46"/>
    <w:rsid w:val="001B11DF"/>
    <w:rsid w:val="001B1402"/>
    <w:rsid w:val="001B1496"/>
    <w:rsid w:val="001B15F9"/>
    <w:rsid w:val="001B1826"/>
    <w:rsid w:val="001B1AC2"/>
    <w:rsid w:val="001B1D32"/>
    <w:rsid w:val="001B28E1"/>
    <w:rsid w:val="001B3BA4"/>
    <w:rsid w:val="001B4473"/>
    <w:rsid w:val="001B5359"/>
    <w:rsid w:val="001B63DD"/>
    <w:rsid w:val="001B6F94"/>
    <w:rsid w:val="001B73B3"/>
    <w:rsid w:val="001B7A1F"/>
    <w:rsid w:val="001C0B1C"/>
    <w:rsid w:val="001C117C"/>
    <w:rsid w:val="001C13A1"/>
    <w:rsid w:val="001C15C8"/>
    <w:rsid w:val="001C1E54"/>
    <w:rsid w:val="001C2473"/>
    <w:rsid w:val="001C2D93"/>
    <w:rsid w:val="001C3536"/>
    <w:rsid w:val="001C38FA"/>
    <w:rsid w:val="001C4537"/>
    <w:rsid w:val="001C4D63"/>
    <w:rsid w:val="001C507C"/>
    <w:rsid w:val="001C5170"/>
    <w:rsid w:val="001C5D65"/>
    <w:rsid w:val="001C6959"/>
    <w:rsid w:val="001C6B66"/>
    <w:rsid w:val="001C6F39"/>
    <w:rsid w:val="001C7B7B"/>
    <w:rsid w:val="001D0183"/>
    <w:rsid w:val="001D0DE0"/>
    <w:rsid w:val="001D12AD"/>
    <w:rsid w:val="001D1BE7"/>
    <w:rsid w:val="001D2F7E"/>
    <w:rsid w:val="001D4119"/>
    <w:rsid w:val="001D4876"/>
    <w:rsid w:val="001D500B"/>
    <w:rsid w:val="001D57C1"/>
    <w:rsid w:val="001D5AFF"/>
    <w:rsid w:val="001D5E46"/>
    <w:rsid w:val="001D666F"/>
    <w:rsid w:val="001D66C1"/>
    <w:rsid w:val="001D6EBD"/>
    <w:rsid w:val="001D71BB"/>
    <w:rsid w:val="001D74B4"/>
    <w:rsid w:val="001D7A37"/>
    <w:rsid w:val="001E03E1"/>
    <w:rsid w:val="001E13AA"/>
    <w:rsid w:val="001E1B1B"/>
    <w:rsid w:val="001E2911"/>
    <w:rsid w:val="001E2F16"/>
    <w:rsid w:val="001E33E0"/>
    <w:rsid w:val="001E359E"/>
    <w:rsid w:val="001E39C7"/>
    <w:rsid w:val="001E452A"/>
    <w:rsid w:val="001E4B00"/>
    <w:rsid w:val="001E5503"/>
    <w:rsid w:val="001E589A"/>
    <w:rsid w:val="001E6277"/>
    <w:rsid w:val="001E751D"/>
    <w:rsid w:val="001E7D8E"/>
    <w:rsid w:val="001F0445"/>
    <w:rsid w:val="001F059F"/>
    <w:rsid w:val="001F098D"/>
    <w:rsid w:val="001F1815"/>
    <w:rsid w:val="001F186E"/>
    <w:rsid w:val="001F1DFE"/>
    <w:rsid w:val="001F2B2D"/>
    <w:rsid w:val="001F316F"/>
    <w:rsid w:val="001F3176"/>
    <w:rsid w:val="001F417E"/>
    <w:rsid w:val="001F4A5F"/>
    <w:rsid w:val="001F4DE8"/>
    <w:rsid w:val="001F6559"/>
    <w:rsid w:val="001F6566"/>
    <w:rsid w:val="001F684D"/>
    <w:rsid w:val="001F6F9B"/>
    <w:rsid w:val="001F77BA"/>
    <w:rsid w:val="0020061D"/>
    <w:rsid w:val="00200811"/>
    <w:rsid w:val="00200835"/>
    <w:rsid w:val="00200CA1"/>
    <w:rsid w:val="002016A8"/>
    <w:rsid w:val="00203AC4"/>
    <w:rsid w:val="00203C8D"/>
    <w:rsid w:val="00203E55"/>
    <w:rsid w:val="00203FB0"/>
    <w:rsid w:val="00205BA7"/>
    <w:rsid w:val="00205E98"/>
    <w:rsid w:val="00206615"/>
    <w:rsid w:val="00206B1D"/>
    <w:rsid w:val="00207DE7"/>
    <w:rsid w:val="00207E08"/>
    <w:rsid w:val="00210609"/>
    <w:rsid w:val="002110B3"/>
    <w:rsid w:val="00211DB2"/>
    <w:rsid w:val="00212037"/>
    <w:rsid w:val="00212D21"/>
    <w:rsid w:val="00213295"/>
    <w:rsid w:val="0021338D"/>
    <w:rsid w:val="00214B3F"/>
    <w:rsid w:val="00214D43"/>
    <w:rsid w:val="00215C8D"/>
    <w:rsid w:val="00216B77"/>
    <w:rsid w:val="00216CC4"/>
    <w:rsid w:val="00220A37"/>
    <w:rsid w:val="00221AB1"/>
    <w:rsid w:val="00222165"/>
    <w:rsid w:val="00222344"/>
    <w:rsid w:val="00223090"/>
    <w:rsid w:val="002238B4"/>
    <w:rsid w:val="002253C6"/>
    <w:rsid w:val="0022590D"/>
    <w:rsid w:val="002262F0"/>
    <w:rsid w:val="00226D0E"/>
    <w:rsid w:val="002271A0"/>
    <w:rsid w:val="002272A3"/>
    <w:rsid w:val="0022736D"/>
    <w:rsid w:val="002275D2"/>
    <w:rsid w:val="002277F6"/>
    <w:rsid w:val="002317B7"/>
    <w:rsid w:val="002319AB"/>
    <w:rsid w:val="002319AC"/>
    <w:rsid w:val="002325EB"/>
    <w:rsid w:val="002325EC"/>
    <w:rsid w:val="00232D60"/>
    <w:rsid w:val="002338F2"/>
    <w:rsid w:val="00234342"/>
    <w:rsid w:val="002348E1"/>
    <w:rsid w:val="00234A12"/>
    <w:rsid w:val="00234B20"/>
    <w:rsid w:val="00234B24"/>
    <w:rsid w:val="00236534"/>
    <w:rsid w:val="00236C61"/>
    <w:rsid w:val="0023771E"/>
    <w:rsid w:val="002377F1"/>
    <w:rsid w:val="0024040D"/>
    <w:rsid w:val="0024098E"/>
    <w:rsid w:val="00240A61"/>
    <w:rsid w:val="00240EFF"/>
    <w:rsid w:val="002411AA"/>
    <w:rsid w:val="002415FE"/>
    <w:rsid w:val="00241612"/>
    <w:rsid w:val="00242649"/>
    <w:rsid w:val="0024315D"/>
    <w:rsid w:val="002436C5"/>
    <w:rsid w:val="00243774"/>
    <w:rsid w:val="002438C2"/>
    <w:rsid w:val="002440D5"/>
    <w:rsid w:val="00244B27"/>
    <w:rsid w:val="00245261"/>
    <w:rsid w:val="00245565"/>
    <w:rsid w:val="00246582"/>
    <w:rsid w:val="002465C7"/>
    <w:rsid w:val="002469D4"/>
    <w:rsid w:val="00247B2F"/>
    <w:rsid w:val="00247CE0"/>
    <w:rsid w:val="00251CD7"/>
    <w:rsid w:val="0025222B"/>
    <w:rsid w:val="00254646"/>
    <w:rsid w:val="00254659"/>
    <w:rsid w:val="0025485A"/>
    <w:rsid w:val="00254CA6"/>
    <w:rsid w:val="00255825"/>
    <w:rsid w:val="00255FA3"/>
    <w:rsid w:val="002570C7"/>
    <w:rsid w:val="00257288"/>
    <w:rsid w:val="0025787D"/>
    <w:rsid w:val="002601D0"/>
    <w:rsid w:val="00260816"/>
    <w:rsid w:val="00261FB6"/>
    <w:rsid w:val="002629F8"/>
    <w:rsid w:val="00263396"/>
    <w:rsid w:val="00263460"/>
    <w:rsid w:val="002634EE"/>
    <w:rsid w:val="00263D53"/>
    <w:rsid w:val="00264F0B"/>
    <w:rsid w:val="00264FD1"/>
    <w:rsid w:val="002659FA"/>
    <w:rsid w:val="00266270"/>
    <w:rsid w:val="00266329"/>
    <w:rsid w:val="0026650C"/>
    <w:rsid w:val="00266FF7"/>
    <w:rsid w:val="00267815"/>
    <w:rsid w:val="002715E5"/>
    <w:rsid w:val="002742D8"/>
    <w:rsid w:val="002771B4"/>
    <w:rsid w:val="00277299"/>
    <w:rsid w:val="00277380"/>
    <w:rsid w:val="00277BD5"/>
    <w:rsid w:val="00280954"/>
    <w:rsid w:val="00280DDF"/>
    <w:rsid w:val="0028150E"/>
    <w:rsid w:val="002816AB"/>
    <w:rsid w:val="002822C3"/>
    <w:rsid w:val="00282D5F"/>
    <w:rsid w:val="0028368B"/>
    <w:rsid w:val="00284228"/>
    <w:rsid w:val="00284F0E"/>
    <w:rsid w:val="002860D7"/>
    <w:rsid w:val="002869C1"/>
    <w:rsid w:val="00286D11"/>
    <w:rsid w:val="0028784B"/>
    <w:rsid w:val="00290CA1"/>
    <w:rsid w:val="00291693"/>
    <w:rsid w:val="00291776"/>
    <w:rsid w:val="002917FF"/>
    <w:rsid w:val="00292675"/>
    <w:rsid w:val="00292ADF"/>
    <w:rsid w:val="00292E2C"/>
    <w:rsid w:val="00293BD0"/>
    <w:rsid w:val="002949C3"/>
    <w:rsid w:val="0029517B"/>
    <w:rsid w:val="002953C4"/>
    <w:rsid w:val="002953CD"/>
    <w:rsid w:val="00295733"/>
    <w:rsid w:val="002958A4"/>
    <w:rsid w:val="0029639E"/>
    <w:rsid w:val="00296612"/>
    <w:rsid w:val="002974BB"/>
    <w:rsid w:val="002A0DEC"/>
    <w:rsid w:val="002A2740"/>
    <w:rsid w:val="002A30CF"/>
    <w:rsid w:val="002A3275"/>
    <w:rsid w:val="002A3399"/>
    <w:rsid w:val="002A363D"/>
    <w:rsid w:val="002A47B0"/>
    <w:rsid w:val="002A5000"/>
    <w:rsid w:val="002A55DF"/>
    <w:rsid w:val="002A5D26"/>
    <w:rsid w:val="002A6405"/>
    <w:rsid w:val="002A6CDF"/>
    <w:rsid w:val="002B1C53"/>
    <w:rsid w:val="002B271C"/>
    <w:rsid w:val="002B307E"/>
    <w:rsid w:val="002B32F6"/>
    <w:rsid w:val="002B400A"/>
    <w:rsid w:val="002B40B3"/>
    <w:rsid w:val="002B53CD"/>
    <w:rsid w:val="002B54E2"/>
    <w:rsid w:val="002B6792"/>
    <w:rsid w:val="002B6D01"/>
    <w:rsid w:val="002B7075"/>
    <w:rsid w:val="002B7C38"/>
    <w:rsid w:val="002B7EE8"/>
    <w:rsid w:val="002B7F74"/>
    <w:rsid w:val="002C007F"/>
    <w:rsid w:val="002C05C7"/>
    <w:rsid w:val="002C0B29"/>
    <w:rsid w:val="002C1FEE"/>
    <w:rsid w:val="002C25D7"/>
    <w:rsid w:val="002C595A"/>
    <w:rsid w:val="002C5C47"/>
    <w:rsid w:val="002C5EBF"/>
    <w:rsid w:val="002C655C"/>
    <w:rsid w:val="002C70CF"/>
    <w:rsid w:val="002C7120"/>
    <w:rsid w:val="002C7F03"/>
    <w:rsid w:val="002D0D80"/>
    <w:rsid w:val="002D1FD9"/>
    <w:rsid w:val="002D2A8D"/>
    <w:rsid w:val="002D2D28"/>
    <w:rsid w:val="002D2DF7"/>
    <w:rsid w:val="002D3E9D"/>
    <w:rsid w:val="002D46B6"/>
    <w:rsid w:val="002D576A"/>
    <w:rsid w:val="002D5A51"/>
    <w:rsid w:val="002D6494"/>
    <w:rsid w:val="002D6792"/>
    <w:rsid w:val="002E02FE"/>
    <w:rsid w:val="002E0BE4"/>
    <w:rsid w:val="002E12BF"/>
    <w:rsid w:val="002E2FDF"/>
    <w:rsid w:val="002E3142"/>
    <w:rsid w:val="002E3B58"/>
    <w:rsid w:val="002E3E8A"/>
    <w:rsid w:val="002E3F66"/>
    <w:rsid w:val="002E4059"/>
    <w:rsid w:val="002E4525"/>
    <w:rsid w:val="002E4774"/>
    <w:rsid w:val="002E47DA"/>
    <w:rsid w:val="002E5867"/>
    <w:rsid w:val="002E58C6"/>
    <w:rsid w:val="002E5BD7"/>
    <w:rsid w:val="002E5C17"/>
    <w:rsid w:val="002E6A6A"/>
    <w:rsid w:val="002E6D11"/>
    <w:rsid w:val="002E6EFD"/>
    <w:rsid w:val="002E7138"/>
    <w:rsid w:val="002F2BEA"/>
    <w:rsid w:val="002F3397"/>
    <w:rsid w:val="002F42CA"/>
    <w:rsid w:val="002F549F"/>
    <w:rsid w:val="002F5EEF"/>
    <w:rsid w:val="002F6645"/>
    <w:rsid w:val="002F6DFF"/>
    <w:rsid w:val="003000E6"/>
    <w:rsid w:val="0030089F"/>
    <w:rsid w:val="003020D6"/>
    <w:rsid w:val="00302781"/>
    <w:rsid w:val="003028EA"/>
    <w:rsid w:val="00303267"/>
    <w:rsid w:val="0030380D"/>
    <w:rsid w:val="00304F2F"/>
    <w:rsid w:val="00307E33"/>
    <w:rsid w:val="003105EA"/>
    <w:rsid w:val="0031096C"/>
    <w:rsid w:val="00310D93"/>
    <w:rsid w:val="0031140A"/>
    <w:rsid w:val="00312411"/>
    <w:rsid w:val="00312F48"/>
    <w:rsid w:val="00314A20"/>
    <w:rsid w:val="00314C22"/>
    <w:rsid w:val="003154F1"/>
    <w:rsid w:val="00315762"/>
    <w:rsid w:val="0031615F"/>
    <w:rsid w:val="0031685F"/>
    <w:rsid w:val="00316B66"/>
    <w:rsid w:val="00316C8D"/>
    <w:rsid w:val="00317512"/>
    <w:rsid w:val="00320196"/>
    <w:rsid w:val="00320E34"/>
    <w:rsid w:val="00321FBE"/>
    <w:rsid w:val="00322099"/>
    <w:rsid w:val="00322478"/>
    <w:rsid w:val="003227E7"/>
    <w:rsid w:val="00322985"/>
    <w:rsid w:val="003230F2"/>
    <w:rsid w:val="00323E71"/>
    <w:rsid w:val="003249ED"/>
    <w:rsid w:val="00325505"/>
    <w:rsid w:val="00325637"/>
    <w:rsid w:val="003263D1"/>
    <w:rsid w:val="00326F77"/>
    <w:rsid w:val="00330DD6"/>
    <w:rsid w:val="00331AB8"/>
    <w:rsid w:val="003321C6"/>
    <w:rsid w:val="003329A9"/>
    <w:rsid w:val="00332D3E"/>
    <w:rsid w:val="003335AF"/>
    <w:rsid w:val="00333ABC"/>
    <w:rsid w:val="0033667E"/>
    <w:rsid w:val="00336EBC"/>
    <w:rsid w:val="00337009"/>
    <w:rsid w:val="00337156"/>
    <w:rsid w:val="00337DD2"/>
    <w:rsid w:val="00337FA6"/>
    <w:rsid w:val="003401B0"/>
    <w:rsid w:val="00341C40"/>
    <w:rsid w:val="003425B0"/>
    <w:rsid w:val="00342616"/>
    <w:rsid w:val="00343018"/>
    <w:rsid w:val="00344AD9"/>
    <w:rsid w:val="00344E2F"/>
    <w:rsid w:val="00344EBD"/>
    <w:rsid w:val="00345505"/>
    <w:rsid w:val="00345923"/>
    <w:rsid w:val="00346C8E"/>
    <w:rsid w:val="0034754E"/>
    <w:rsid w:val="003477B9"/>
    <w:rsid w:val="00350988"/>
    <w:rsid w:val="00350BD7"/>
    <w:rsid w:val="00352084"/>
    <w:rsid w:val="0035252A"/>
    <w:rsid w:val="00352892"/>
    <w:rsid w:val="00352F0A"/>
    <w:rsid w:val="00353872"/>
    <w:rsid w:val="00353909"/>
    <w:rsid w:val="00353BB1"/>
    <w:rsid w:val="0035404E"/>
    <w:rsid w:val="003546EA"/>
    <w:rsid w:val="003548D5"/>
    <w:rsid w:val="00355247"/>
    <w:rsid w:val="0035558F"/>
    <w:rsid w:val="003563C0"/>
    <w:rsid w:val="003565A3"/>
    <w:rsid w:val="00357336"/>
    <w:rsid w:val="00357917"/>
    <w:rsid w:val="003612E2"/>
    <w:rsid w:val="0036188A"/>
    <w:rsid w:val="00361A41"/>
    <w:rsid w:val="00361E7E"/>
    <w:rsid w:val="0036240C"/>
    <w:rsid w:val="00363774"/>
    <w:rsid w:val="00365028"/>
    <w:rsid w:val="003656F6"/>
    <w:rsid w:val="00365EDA"/>
    <w:rsid w:val="00366037"/>
    <w:rsid w:val="00366A3B"/>
    <w:rsid w:val="003676AE"/>
    <w:rsid w:val="00367BD5"/>
    <w:rsid w:val="003709C2"/>
    <w:rsid w:val="00370C94"/>
    <w:rsid w:val="0037284A"/>
    <w:rsid w:val="00372A99"/>
    <w:rsid w:val="00372C2B"/>
    <w:rsid w:val="00373966"/>
    <w:rsid w:val="00375426"/>
    <w:rsid w:val="00376120"/>
    <w:rsid w:val="003763F7"/>
    <w:rsid w:val="003765D1"/>
    <w:rsid w:val="00376F3A"/>
    <w:rsid w:val="00377139"/>
    <w:rsid w:val="00380995"/>
    <w:rsid w:val="003809F8"/>
    <w:rsid w:val="00381828"/>
    <w:rsid w:val="003829CE"/>
    <w:rsid w:val="00382CDC"/>
    <w:rsid w:val="00384513"/>
    <w:rsid w:val="00387144"/>
    <w:rsid w:val="00387795"/>
    <w:rsid w:val="00390327"/>
    <w:rsid w:val="0039087C"/>
    <w:rsid w:val="003910ED"/>
    <w:rsid w:val="003911D7"/>
    <w:rsid w:val="0039259E"/>
    <w:rsid w:val="00392CDB"/>
    <w:rsid w:val="00393066"/>
    <w:rsid w:val="00393A5D"/>
    <w:rsid w:val="00393B78"/>
    <w:rsid w:val="003952AE"/>
    <w:rsid w:val="00395814"/>
    <w:rsid w:val="003959EE"/>
    <w:rsid w:val="003960B0"/>
    <w:rsid w:val="00397197"/>
    <w:rsid w:val="0039733C"/>
    <w:rsid w:val="003975B8"/>
    <w:rsid w:val="003A00F6"/>
    <w:rsid w:val="003A01E9"/>
    <w:rsid w:val="003A02BF"/>
    <w:rsid w:val="003A281C"/>
    <w:rsid w:val="003A4D72"/>
    <w:rsid w:val="003A4DC6"/>
    <w:rsid w:val="003A54BD"/>
    <w:rsid w:val="003A5B93"/>
    <w:rsid w:val="003A74CE"/>
    <w:rsid w:val="003A7E1C"/>
    <w:rsid w:val="003B0E42"/>
    <w:rsid w:val="003B15EE"/>
    <w:rsid w:val="003B1D0F"/>
    <w:rsid w:val="003B2270"/>
    <w:rsid w:val="003B3479"/>
    <w:rsid w:val="003B3E80"/>
    <w:rsid w:val="003B43D8"/>
    <w:rsid w:val="003B4996"/>
    <w:rsid w:val="003B6B64"/>
    <w:rsid w:val="003B76D7"/>
    <w:rsid w:val="003B7DA9"/>
    <w:rsid w:val="003C0306"/>
    <w:rsid w:val="003C114C"/>
    <w:rsid w:val="003C1A56"/>
    <w:rsid w:val="003C2051"/>
    <w:rsid w:val="003C3BE4"/>
    <w:rsid w:val="003C465D"/>
    <w:rsid w:val="003C5574"/>
    <w:rsid w:val="003C57E0"/>
    <w:rsid w:val="003C5C44"/>
    <w:rsid w:val="003C5DBC"/>
    <w:rsid w:val="003C7020"/>
    <w:rsid w:val="003C7C1C"/>
    <w:rsid w:val="003C7DEA"/>
    <w:rsid w:val="003D18E2"/>
    <w:rsid w:val="003D398C"/>
    <w:rsid w:val="003D495D"/>
    <w:rsid w:val="003D4C70"/>
    <w:rsid w:val="003D6680"/>
    <w:rsid w:val="003D6B54"/>
    <w:rsid w:val="003D6F84"/>
    <w:rsid w:val="003D740E"/>
    <w:rsid w:val="003D7CD7"/>
    <w:rsid w:val="003E0406"/>
    <w:rsid w:val="003E0727"/>
    <w:rsid w:val="003E098E"/>
    <w:rsid w:val="003E1BF7"/>
    <w:rsid w:val="003E20CB"/>
    <w:rsid w:val="003E2AB7"/>
    <w:rsid w:val="003E2D25"/>
    <w:rsid w:val="003E2F68"/>
    <w:rsid w:val="003E2FA7"/>
    <w:rsid w:val="003E2FAE"/>
    <w:rsid w:val="003E5884"/>
    <w:rsid w:val="003E6300"/>
    <w:rsid w:val="003E67E7"/>
    <w:rsid w:val="003E744B"/>
    <w:rsid w:val="003E7887"/>
    <w:rsid w:val="003E7C82"/>
    <w:rsid w:val="003F0400"/>
    <w:rsid w:val="003F0B34"/>
    <w:rsid w:val="003F12C6"/>
    <w:rsid w:val="003F2465"/>
    <w:rsid w:val="003F26B9"/>
    <w:rsid w:val="003F28BB"/>
    <w:rsid w:val="003F439D"/>
    <w:rsid w:val="003F5B94"/>
    <w:rsid w:val="003F5D8C"/>
    <w:rsid w:val="00401115"/>
    <w:rsid w:val="00401C16"/>
    <w:rsid w:val="00401E06"/>
    <w:rsid w:val="00401F46"/>
    <w:rsid w:val="0040200B"/>
    <w:rsid w:val="00403125"/>
    <w:rsid w:val="00405212"/>
    <w:rsid w:val="00405951"/>
    <w:rsid w:val="00406A2E"/>
    <w:rsid w:val="004071E5"/>
    <w:rsid w:val="00407CF7"/>
    <w:rsid w:val="0041196A"/>
    <w:rsid w:val="00411B93"/>
    <w:rsid w:val="00411E8C"/>
    <w:rsid w:val="00412901"/>
    <w:rsid w:val="00412A44"/>
    <w:rsid w:val="00413616"/>
    <w:rsid w:val="00413A86"/>
    <w:rsid w:val="0041450D"/>
    <w:rsid w:val="00414E7F"/>
    <w:rsid w:val="004153E2"/>
    <w:rsid w:val="00415ED6"/>
    <w:rsid w:val="0041614D"/>
    <w:rsid w:val="00416CEC"/>
    <w:rsid w:val="00417844"/>
    <w:rsid w:val="00417C61"/>
    <w:rsid w:val="00417CAF"/>
    <w:rsid w:val="00417EAE"/>
    <w:rsid w:val="00420636"/>
    <w:rsid w:val="00420A11"/>
    <w:rsid w:val="004212EC"/>
    <w:rsid w:val="00422265"/>
    <w:rsid w:val="00422474"/>
    <w:rsid w:val="00422D37"/>
    <w:rsid w:val="00423507"/>
    <w:rsid w:val="00423CAD"/>
    <w:rsid w:val="00423D00"/>
    <w:rsid w:val="00427178"/>
    <w:rsid w:val="00427CF5"/>
    <w:rsid w:val="0043083A"/>
    <w:rsid w:val="004319CB"/>
    <w:rsid w:val="004342ED"/>
    <w:rsid w:val="004343C5"/>
    <w:rsid w:val="00434F4F"/>
    <w:rsid w:val="00435424"/>
    <w:rsid w:val="00435A48"/>
    <w:rsid w:val="0043692B"/>
    <w:rsid w:val="004373A7"/>
    <w:rsid w:val="0043781C"/>
    <w:rsid w:val="00437D94"/>
    <w:rsid w:val="0044030C"/>
    <w:rsid w:val="0044088F"/>
    <w:rsid w:val="00440A14"/>
    <w:rsid w:val="00440C0A"/>
    <w:rsid w:val="00440D10"/>
    <w:rsid w:val="004411BE"/>
    <w:rsid w:val="00441979"/>
    <w:rsid w:val="00441996"/>
    <w:rsid w:val="004428BA"/>
    <w:rsid w:val="004430DD"/>
    <w:rsid w:val="00443822"/>
    <w:rsid w:val="00444F9B"/>
    <w:rsid w:val="00445703"/>
    <w:rsid w:val="00450725"/>
    <w:rsid w:val="00450D1A"/>
    <w:rsid w:val="00451624"/>
    <w:rsid w:val="00452C17"/>
    <w:rsid w:val="00453B6C"/>
    <w:rsid w:val="00454191"/>
    <w:rsid w:val="004545E8"/>
    <w:rsid w:val="00454B2A"/>
    <w:rsid w:val="00454B7E"/>
    <w:rsid w:val="004551FB"/>
    <w:rsid w:val="00455724"/>
    <w:rsid w:val="00456A71"/>
    <w:rsid w:val="0045709A"/>
    <w:rsid w:val="00457402"/>
    <w:rsid w:val="00461200"/>
    <w:rsid w:val="00461AD2"/>
    <w:rsid w:val="004626BF"/>
    <w:rsid w:val="00462A43"/>
    <w:rsid w:val="00462AA7"/>
    <w:rsid w:val="00462B74"/>
    <w:rsid w:val="00463539"/>
    <w:rsid w:val="0046395B"/>
    <w:rsid w:val="004645C7"/>
    <w:rsid w:val="004648A4"/>
    <w:rsid w:val="00464D27"/>
    <w:rsid w:val="00464FA6"/>
    <w:rsid w:val="00470235"/>
    <w:rsid w:val="004707BF"/>
    <w:rsid w:val="00471380"/>
    <w:rsid w:val="004718A5"/>
    <w:rsid w:val="00471B1C"/>
    <w:rsid w:val="00472901"/>
    <w:rsid w:val="00473F44"/>
    <w:rsid w:val="004743CF"/>
    <w:rsid w:val="00474E8F"/>
    <w:rsid w:val="00475777"/>
    <w:rsid w:val="00476FFA"/>
    <w:rsid w:val="004772DB"/>
    <w:rsid w:val="004774E2"/>
    <w:rsid w:val="004777C0"/>
    <w:rsid w:val="004779F6"/>
    <w:rsid w:val="00477B51"/>
    <w:rsid w:val="004831A7"/>
    <w:rsid w:val="00483EB4"/>
    <w:rsid w:val="00484C39"/>
    <w:rsid w:val="004850CD"/>
    <w:rsid w:val="004852A2"/>
    <w:rsid w:val="00485694"/>
    <w:rsid w:val="00485D88"/>
    <w:rsid w:val="00486FA3"/>
    <w:rsid w:val="004870A3"/>
    <w:rsid w:val="00487396"/>
    <w:rsid w:val="00490597"/>
    <w:rsid w:val="004906F6"/>
    <w:rsid w:val="004911CB"/>
    <w:rsid w:val="00491CAA"/>
    <w:rsid w:val="00492D48"/>
    <w:rsid w:val="004932C3"/>
    <w:rsid w:val="00494862"/>
    <w:rsid w:val="00494DCD"/>
    <w:rsid w:val="00494E13"/>
    <w:rsid w:val="00494EB0"/>
    <w:rsid w:val="00494F0D"/>
    <w:rsid w:val="00496420"/>
    <w:rsid w:val="00496BFD"/>
    <w:rsid w:val="00496FB4"/>
    <w:rsid w:val="00497FC0"/>
    <w:rsid w:val="004A1108"/>
    <w:rsid w:val="004A1447"/>
    <w:rsid w:val="004A16C9"/>
    <w:rsid w:val="004A2680"/>
    <w:rsid w:val="004A2A6F"/>
    <w:rsid w:val="004A3DF2"/>
    <w:rsid w:val="004A49D8"/>
    <w:rsid w:val="004A4AFF"/>
    <w:rsid w:val="004A4F3E"/>
    <w:rsid w:val="004A6B81"/>
    <w:rsid w:val="004A74BB"/>
    <w:rsid w:val="004A7FC8"/>
    <w:rsid w:val="004B0F11"/>
    <w:rsid w:val="004B2BDA"/>
    <w:rsid w:val="004B31EA"/>
    <w:rsid w:val="004B47C1"/>
    <w:rsid w:val="004B5078"/>
    <w:rsid w:val="004B7393"/>
    <w:rsid w:val="004B7AD2"/>
    <w:rsid w:val="004C05DC"/>
    <w:rsid w:val="004C0C08"/>
    <w:rsid w:val="004C1357"/>
    <w:rsid w:val="004C1A5E"/>
    <w:rsid w:val="004C33CA"/>
    <w:rsid w:val="004C361D"/>
    <w:rsid w:val="004C3F75"/>
    <w:rsid w:val="004C4891"/>
    <w:rsid w:val="004C4A60"/>
    <w:rsid w:val="004C53E8"/>
    <w:rsid w:val="004C5825"/>
    <w:rsid w:val="004C6DF0"/>
    <w:rsid w:val="004C7D89"/>
    <w:rsid w:val="004D0C95"/>
    <w:rsid w:val="004D16D7"/>
    <w:rsid w:val="004D1760"/>
    <w:rsid w:val="004D2A8E"/>
    <w:rsid w:val="004D2C89"/>
    <w:rsid w:val="004D46C6"/>
    <w:rsid w:val="004D610F"/>
    <w:rsid w:val="004D61DD"/>
    <w:rsid w:val="004D6FC0"/>
    <w:rsid w:val="004E0B7A"/>
    <w:rsid w:val="004E0D1F"/>
    <w:rsid w:val="004E13D6"/>
    <w:rsid w:val="004E20DB"/>
    <w:rsid w:val="004E2B39"/>
    <w:rsid w:val="004E3932"/>
    <w:rsid w:val="004E42E2"/>
    <w:rsid w:val="004E4BF3"/>
    <w:rsid w:val="004E5606"/>
    <w:rsid w:val="004E59B0"/>
    <w:rsid w:val="004E6120"/>
    <w:rsid w:val="004E7529"/>
    <w:rsid w:val="004E7682"/>
    <w:rsid w:val="004F18D6"/>
    <w:rsid w:val="004F1E79"/>
    <w:rsid w:val="004F1FBF"/>
    <w:rsid w:val="004F26A7"/>
    <w:rsid w:val="004F2970"/>
    <w:rsid w:val="004F2991"/>
    <w:rsid w:val="004F457E"/>
    <w:rsid w:val="004F519F"/>
    <w:rsid w:val="004F5BEF"/>
    <w:rsid w:val="004F5F33"/>
    <w:rsid w:val="004F6D2C"/>
    <w:rsid w:val="004F6E71"/>
    <w:rsid w:val="004F6FCD"/>
    <w:rsid w:val="004F7498"/>
    <w:rsid w:val="004F7642"/>
    <w:rsid w:val="0050103A"/>
    <w:rsid w:val="005014D5"/>
    <w:rsid w:val="005021B1"/>
    <w:rsid w:val="00502DF7"/>
    <w:rsid w:val="00502E2D"/>
    <w:rsid w:val="005032C1"/>
    <w:rsid w:val="00503E50"/>
    <w:rsid w:val="00503EF4"/>
    <w:rsid w:val="00505F79"/>
    <w:rsid w:val="005072DD"/>
    <w:rsid w:val="00507FDB"/>
    <w:rsid w:val="0051064F"/>
    <w:rsid w:val="005107DA"/>
    <w:rsid w:val="00510AFC"/>
    <w:rsid w:val="005116B9"/>
    <w:rsid w:val="00511B0F"/>
    <w:rsid w:val="00512DA6"/>
    <w:rsid w:val="005131BF"/>
    <w:rsid w:val="00514C2D"/>
    <w:rsid w:val="00515215"/>
    <w:rsid w:val="00515411"/>
    <w:rsid w:val="005162A4"/>
    <w:rsid w:val="0052025B"/>
    <w:rsid w:val="005218BF"/>
    <w:rsid w:val="005221DE"/>
    <w:rsid w:val="0052265A"/>
    <w:rsid w:val="005228E4"/>
    <w:rsid w:val="00522A22"/>
    <w:rsid w:val="0052336C"/>
    <w:rsid w:val="005233DC"/>
    <w:rsid w:val="005237F8"/>
    <w:rsid w:val="005238C9"/>
    <w:rsid w:val="00523E6A"/>
    <w:rsid w:val="00524488"/>
    <w:rsid w:val="00526587"/>
    <w:rsid w:val="00530436"/>
    <w:rsid w:val="00532A9B"/>
    <w:rsid w:val="005355BF"/>
    <w:rsid w:val="005359FE"/>
    <w:rsid w:val="0053619A"/>
    <w:rsid w:val="0053718B"/>
    <w:rsid w:val="005377FA"/>
    <w:rsid w:val="005407C9"/>
    <w:rsid w:val="00540B02"/>
    <w:rsid w:val="00540F69"/>
    <w:rsid w:val="005413A6"/>
    <w:rsid w:val="00541A84"/>
    <w:rsid w:val="00541EC7"/>
    <w:rsid w:val="0054260E"/>
    <w:rsid w:val="00542A3E"/>
    <w:rsid w:val="005431F4"/>
    <w:rsid w:val="005437C5"/>
    <w:rsid w:val="00543808"/>
    <w:rsid w:val="0054488A"/>
    <w:rsid w:val="00544971"/>
    <w:rsid w:val="00545C55"/>
    <w:rsid w:val="00545D84"/>
    <w:rsid w:val="00550834"/>
    <w:rsid w:val="00551D81"/>
    <w:rsid w:val="00553099"/>
    <w:rsid w:val="0055388E"/>
    <w:rsid w:val="00555015"/>
    <w:rsid w:val="00555F11"/>
    <w:rsid w:val="00557CC3"/>
    <w:rsid w:val="00560F4C"/>
    <w:rsid w:val="0056271A"/>
    <w:rsid w:val="005637C4"/>
    <w:rsid w:val="00563825"/>
    <w:rsid w:val="00563FCA"/>
    <w:rsid w:val="00564A62"/>
    <w:rsid w:val="00564D6A"/>
    <w:rsid w:val="00565208"/>
    <w:rsid w:val="005657AE"/>
    <w:rsid w:val="005665A7"/>
    <w:rsid w:val="00566E8D"/>
    <w:rsid w:val="005672A9"/>
    <w:rsid w:val="00570951"/>
    <w:rsid w:val="00570F68"/>
    <w:rsid w:val="0057143D"/>
    <w:rsid w:val="0057257C"/>
    <w:rsid w:val="005728F2"/>
    <w:rsid w:val="00572C7A"/>
    <w:rsid w:val="005754AE"/>
    <w:rsid w:val="005754E8"/>
    <w:rsid w:val="00575B08"/>
    <w:rsid w:val="00575C8B"/>
    <w:rsid w:val="005762EE"/>
    <w:rsid w:val="00576AB4"/>
    <w:rsid w:val="00577FB5"/>
    <w:rsid w:val="005806BC"/>
    <w:rsid w:val="00580C44"/>
    <w:rsid w:val="00580FAA"/>
    <w:rsid w:val="00581A7C"/>
    <w:rsid w:val="00581DC0"/>
    <w:rsid w:val="00583887"/>
    <w:rsid w:val="00583CC1"/>
    <w:rsid w:val="00584A27"/>
    <w:rsid w:val="00584F89"/>
    <w:rsid w:val="0058503F"/>
    <w:rsid w:val="005852D1"/>
    <w:rsid w:val="00586296"/>
    <w:rsid w:val="00586556"/>
    <w:rsid w:val="005871D0"/>
    <w:rsid w:val="00587A22"/>
    <w:rsid w:val="005928D4"/>
    <w:rsid w:val="0059299D"/>
    <w:rsid w:val="00595C8C"/>
    <w:rsid w:val="005963CA"/>
    <w:rsid w:val="00597747"/>
    <w:rsid w:val="00597BC7"/>
    <w:rsid w:val="00597FDB"/>
    <w:rsid w:val="005A126F"/>
    <w:rsid w:val="005A12CB"/>
    <w:rsid w:val="005A1491"/>
    <w:rsid w:val="005A157A"/>
    <w:rsid w:val="005A257A"/>
    <w:rsid w:val="005A2ACC"/>
    <w:rsid w:val="005A34A1"/>
    <w:rsid w:val="005A4CDD"/>
    <w:rsid w:val="005A72C2"/>
    <w:rsid w:val="005B0D6B"/>
    <w:rsid w:val="005B128D"/>
    <w:rsid w:val="005B2BAF"/>
    <w:rsid w:val="005B3DE2"/>
    <w:rsid w:val="005B43E8"/>
    <w:rsid w:val="005B4E6A"/>
    <w:rsid w:val="005B52FA"/>
    <w:rsid w:val="005B57DF"/>
    <w:rsid w:val="005B57E4"/>
    <w:rsid w:val="005B5ABD"/>
    <w:rsid w:val="005B6E72"/>
    <w:rsid w:val="005B7F2F"/>
    <w:rsid w:val="005C0C68"/>
    <w:rsid w:val="005C12E0"/>
    <w:rsid w:val="005C140A"/>
    <w:rsid w:val="005C1997"/>
    <w:rsid w:val="005C1E52"/>
    <w:rsid w:val="005C45F8"/>
    <w:rsid w:val="005C5D43"/>
    <w:rsid w:val="005C5EF2"/>
    <w:rsid w:val="005C62F2"/>
    <w:rsid w:val="005C6763"/>
    <w:rsid w:val="005C6D1B"/>
    <w:rsid w:val="005C7AE4"/>
    <w:rsid w:val="005D045C"/>
    <w:rsid w:val="005D0D4A"/>
    <w:rsid w:val="005D1A02"/>
    <w:rsid w:val="005D2078"/>
    <w:rsid w:val="005D24FB"/>
    <w:rsid w:val="005D3164"/>
    <w:rsid w:val="005D386D"/>
    <w:rsid w:val="005D45B2"/>
    <w:rsid w:val="005D4890"/>
    <w:rsid w:val="005D6E74"/>
    <w:rsid w:val="005D6F4C"/>
    <w:rsid w:val="005D749C"/>
    <w:rsid w:val="005E0344"/>
    <w:rsid w:val="005E0D63"/>
    <w:rsid w:val="005E0DEC"/>
    <w:rsid w:val="005E1F5B"/>
    <w:rsid w:val="005E3609"/>
    <w:rsid w:val="005E440B"/>
    <w:rsid w:val="005E4A9B"/>
    <w:rsid w:val="005E5372"/>
    <w:rsid w:val="005E57AE"/>
    <w:rsid w:val="005E5CA2"/>
    <w:rsid w:val="005E6562"/>
    <w:rsid w:val="005E699D"/>
    <w:rsid w:val="005E7D76"/>
    <w:rsid w:val="005F0B28"/>
    <w:rsid w:val="005F0CD5"/>
    <w:rsid w:val="005F1990"/>
    <w:rsid w:val="005F1F55"/>
    <w:rsid w:val="005F218D"/>
    <w:rsid w:val="005F2754"/>
    <w:rsid w:val="005F284F"/>
    <w:rsid w:val="005F2C85"/>
    <w:rsid w:val="005F34D6"/>
    <w:rsid w:val="005F37E4"/>
    <w:rsid w:val="005F42BA"/>
    <w:rsid w:val="005F5598"/>
    <w:rsid w:val="005F5E9B"/>
    <w:rsid w:val="005F5EB8"/>
    <w:rsid w:val="005F610B"/>
    <w:rsid w:val="005F6925"/>
    <w:rsid w:val="005F6A0A"/>
    <w:rsid w:val="005F75FC"/>
    <w:rsid w:val="005F780B"/>
    <w:rsid w:val="0060003A"/>
    <w:rsid w:val="00600249"/>
    <w:rsid w:val="00600BAD"/>
    <w:rsid w:val="00600D28"/>
    <w:rsid w:val="00601331"/>
    <w:rsid w:val="00601957"/>
    <w:rsid w:val="00601E82"/>
    <w:rsid w:val="006033DE"/>
    <w:rsid w:val="00603821"/>
    <w:rsid w:val="00605312"/>
    <w:rsid w:val="00605692"/>
    <w:rsid w:val="00605ADB"/>
    <w:rsid w:val="00606408"/>
    <w:rsid w:val="00607551"/>
    <w:rsid w:val="00610D01"/>
    <w:rsid w:val="00610D80"/>
    <w:rsid w:val="00611894"/>
    <w:rsid w:val="00611B1A"/>
    <w:rsid w:val="00611C9F"/>
    <w:rsid w:val="00612212"/>
    <w:rsid w:val="00612497"/>
    <w:rsid w:val="00612BB3"/>
    <w:rsid w:val="00615840"/>
    <w:rsid w:val="00615C3B"/>
    <w:rsid w:val="00616143"/>
    <w:rsid w:val="0061646E"/>
    <w:rsid w:val="0061649B"/>
    <w:rsid w:val="006166D0"/>
    <w:rsid w:val="00616836"/>
    <w:rsid w:val="00616CC6"/>
    <w:rsid w:val="00617629"/>
    <w:rsid w:val="006179E9"/>
    <w:rsid w:val="00620CE0"/>
    <w:rsid w:val="0062221E"/>
    <w:rsid w:val="00622E0D"/>
    <w:rsid w:val="00622F76"/>
    <w:rsid w:val="00623ADE"/>
    <w:rsid w:val="00623D58"/>
    <w:rsid w:val="006248DE"/>
    <w:rsid w:val="00625717"/>
    <w:rsid w:val="0062586E"/>
    <w:rsid w:val="00627442"/>
    <w:rsid w:val="00627555"/>
    <w:rsid w:val="00627AC2"/>
    <w:rsid w:val="00627D13"/>
    <w:rsid w:val="00627D20"/>
    <w:rsid w:val="006309CA"/>
    <w:rsid w:val="0063175E"/>
    <w:rsid w:val="006321C9"/>
    <w:rsid w:val="006322A0"/>
    <w:rsid w:val="00632620"/>
    <w:rsid w:val="00632CF8"/>
    <w:rsid w:val="006331C9"/>
    <w:rsid w:val="006332A8"/>
    <w:rsid w:val="00633D6F"/>
    <w:rsid w:val="006340BB"/>
    <w:rsid w:val="006343C7"/>
    <w:rsid w:val="006346D0"/>
    <w:rsid w:val="00634FB0"/>
    <w:rsid w:val="00635785"/>
    <w:rsid w:val="00635D8B"/>
    <w:rsid w:val="006361FD"/>
    <w:rsid w:val="006366A9"/>
    <w:rsid w:val="006370C1"/>
    <w:rsid w:val="006413F6"/>
    <w:rsid w:val="0064226F"/>
    <w:rsid w:val="00642513"/>
    <w:rsid w:val="00642D46"/>
    <w:rsid w:val="00642DDB"/>
    <w:rsid w:val="006437BD"/>
    <w:rsid w:val="00643908"/>
    <w:rsid w:val="00644FFA"/>
    <w:rsid w:val="0064561F"/>
    <w:rsid w:val="006457A6"/>
    <w:rsid w:val="00646587"/>
    <w:rsid w:val="006465B9"/>
    <w:rsid w:val="0064783D"/>
    <w:rsid w:val="00647BD9"/>
    <w:rsid w:val="00647F20"/>
    <w:rsid w:val="00650E46"/>
    <w:rsid w:val="006510BB"/>
    <w:rsid w:val="006519FD"/>
    <w:rsid w:val="00651BBD"/>
    <w:rsid w:val="00652692"/>
    <w:rsid w:val="00653298"/>
    <w:rsid w:val="006534FC"/>
    <w:rsid w:val="006543B5"/>
    <w:rsid w:val="006573A4"/>
    <w:rsid w:val="006575E0"/>
    <w:rsid w:val="00657D1C"/>
    <w:rsid w:val="00660304"/>
    <w:rsid w:val="00660409"/>
    <w:rsid w:val="0066094A"/>
    <w:rsid w:val="006616F1"/>
    <w:rsid w:val="00661EAD"/>
    <w:rsid w:val="00663A7C"/>
    <w:rsid w:val="0066409A"/>
    <w:rsid w:val="00664FB9"/>
    <w:rsid w:val="006662BD"/>
    <w:rsid w:val="006662F4"/>
    <w:rsid w:val="0066742F"/>
    <w:rsid w:val="00667DF2"/>
    <w:rsid w:val="00670DF1"/>
    <w:rsid w:val="00671186"/>
    <w:rsid w:val="00671345"/>
    <w:rsid w:val="0067157A"/>
    <w:rsid w:val="00671894"/>
    <w:rsid w:val="0067204F"/>
    <w:rsid w:val="006721DF"/>
    <w:rsid w:val="00672254"/>
    <w:rsid w:val="006723B0"/>
    <w:rsid w:val="00672847"/>
    <w:rsid w:val="00672A9B"/>
    <w:rsid w:val="006739F3"/>
    <w:rsid w:val="006749AA"/>
    <w:rsid w:val="00674FF7"/>
    <w:rsid w:val="00675884"/>
    <w:rsid w:val="006761ED"/>
    <w:rsid w:val="00676C2C"/>
    <w:rsid w:val="00676D97"/>
    <w:rsid w:val="00676E16"/>
    <w:rsid w:val="006801E9"/>
    <w:rsid w:val="00680430"/>
    <w:rsid w:val="006806BB"/>
    <w:rsid w:val="00680C44"/>
    <w:rsid w:val="006814C1"/>
    <w:rsid w:val="00682B3E"/>
    <w:rsid w:val="00682DD3"/>
    <w:rsid w:val="00683CA7"/>
    <w:rsid w:val="00684C6C"/>
    <w:rsid w:val="00685321"/>
    <w:rsid w:val="006857CA"/>
    <w:rsid w:val="006862A6"/>
    <w:rsid w:val="00686A0D"/>
    <w:rsid w:val="0068762A"/>
    <w:rsid w:val="00690A32"/>
    <w:rsid w:val="006911FD"/>
    <w:rsid w:val="00691DAD"/>
    <w:rsid w:val="006920C6"/>
    <w:rsid w:val="0069210A"/>
    <w:rsid w:val="0069307B"/>
    <w:rsid w:val="00693150"/>
    <w:rsid w:val="0069362F"/>
    <w:rsid w:val="00693A3A"/>
    <w:rsid w:val="00694377"/>
    <w:rsid w:val="00694AD7"/>
    <w:rsid w:val="00694B6D"/>
    <w:rsid w:val="006954A5"/>
    <w:rsid w:val="006963CA"/>
    <w:rsid w:val="00696468"/>
    <w:rsid w:val="00696598"/>
    <w:rsid w:val="006967FC"/>
    <w:rsid w:val="00696BAE"/>
    <w:rsid w:val="00696EE0"/>
    <w:rsid w:val="00697737"/>
    <w:rsid w:val="00697980"/>
    <w:rsid w:val="00697A18"/>
    <w:rsid w:val="006A02EA"/>
    <w:rsid w:val="006A1937"/>
    <w:rsid w:val="006A19EF"/>
    <w:rsid w:val="006A2826"/>
    <w:rsid w:val="006A43D5"/>
    <w:rsid w:val="006A443C"/>
    <w:rsid w:val="006A525B"/>
    <w:rsid w:val="006A526A"/>
    <w:rsid w:val="006A65B3"/>
    <w:rsid w:val="006A7169"/>
    <w:rsid w:val="006A75FC"/>
    <w:rsid w:val="006A7752"/>
    <w:rsid w:val="006A77BD"/>
    <w:rsid w:val="006B08DA"/>
    <w:rsid w:val="006B16CA"/>
    <w:rsid w:val="006B188B"/>
    <w:rsid w:val="006B1FD0"/>
    <w:rsid w:val="006B32F2"/>
    <w:rsid w:val="006B43A5"/>
    <w:rsid w:val="006B44CB"/>
    <w:rsid w:val="006B4A80"/>
    <w:rsid w:val="006B5FDD"/>
    <w:rsid w:val="006B64C4"/>
    <w:rsid w:val="006C045F"/>
    <w:rsid w:val="006C04B0"/>
    <w:rsid w:val="006C0880"/>
    <w:rsid w:val="006C0F76"/>
    <w:rsid w:val="006C3100"/>
    <w:rsid w:val="006C4196"/>
    <w:rsid w:val="006C5CCE"/>
    <w:rsid w:val="006C630C"/>
    <w:rsid w:val="006C63B0"/>
    <w:rsid w:val="006C76A2"/>
    <w:rsid w:val="006C792E"/>
    <w:rsid w:val="006D116C"/>
    <w:rsid w:val="006D1945"/>
    <w:rsid w:val="006D1D98"/>
    <w:rsid w:val="006D4803"/>
    <w:rsid w:val="006D71DF"/>
    <w:rsid w:val="006D7AD1"/>
    <w:rsid w:val="006D7E50"/>
    <w:rsid w:val="006E26E2"/>
    <w:rsid w:val="006E2B12"/>
    <w:rsid w:val="006E3ED1"/>
    <w:rsid w:val="006E40E0"/>
    <w:rsid w:val="006E5635"/>
    <w:rsid w:val="006E5CD0"/>
    <w:rsid w:val="006E6D48"/>
    <w:rsid w:val="006E74A2"/>
    <w:rsid w:val="006E77E9"/>
    <w:rsid w:val="006E7C42"/>
    <w:rsid w:val="006F034F"/>
    <w:rsid w:val="006F168A"/>
    <w:rsid w:val="006F3431"/>
    <w:rsid w:val="006F3532"/>
    <w:rsid w:val="006F36A2"/>
    <w:rsid w:val="006F3EA9"/>
    <w:rsid w:val="006F4B2C"/>
    <w:rsid w:val="006F5076"/>
    <w:rsid w:val="006F5348"/>
    <w:rsid w:val="006F6009"/>
    <w:rsid w:val="006F63CD"/>
    <w:rsid w:val="006F765D"/>
    <w:rsid w:val="006F7A35"/>
    <w:rsid w:val="006F7F06"/>
    <w:rsid w:val="007002B0"/>
    <w:rsid w:val="007004EB"/>
    <w:rsid w:val="00700BDE"/>
    <w:rsid w:val="0070226D"/>
    <w:rsid w:val="0070321D"/>
    <w:rsid w:val="00703975"/>
    <w:rsid w:val="00703A45"/>
    <w:rsid w:val="0070556D"/>
    <w:rsid w:val="007068BA"/>
    <w:rsid w:val="00707061"/>
    <w:rsid w:val="0071149C"/>
    <w:rsid w:val="00711DC7"/>
    <w:rsid w:val="00713AF4"/>
    <w:rsid w:val="007143C2"/>
    <w:rsid w:val="00714954"/>
    <w:rsid w:val="007154C5"/>
    <w:rsid w:val="007159BE"/>
    <w:rsid w:val="007164B2"/>
    <w:rsid w:val="00716AB1"/>
    <w:rsid w:val="0072013A"/>
    <w:rsid w:val="00721978"/>
    <w:rsid w:val="00721D63"/>
    <w:rsid w:val="00722106"/>
    <w:rsid w:val="007237C9"/>
    <w:rsid w:val="00724952"/>
    <w:rsid w:val="00725539"/>
    <w:rsid w:val="00725E40"/>
    <w:rsid w:val="007269AD"/>
    <w:rsid w:val="00726E60"/>
    <w:rsid w:val="007305A7"/>
    <w:rsid w:val="00731177"/>
    <w:rsid w:val="00732B5D"/>
    <w:rsid w:val="00732BBC"/>
    <w:rsid w:val="00732C7B"/>
    <w:rsid w:val="00733281"/>
    <w:rsid w:val="00733529"/>
    <w:rsid w:val="0073470E"/>
    <w:rsid w:val="00734D2B"/>
    <w:rsid w:val="007351E8"/>
    <w:rsid w:val="00735257"/>
    <w:rsid w:val="0073676B"/>
    <w:rsid w:val="00736AEE"/>
    <w:rsid w:val="00737705"/>
    <w:rsid w:val="0074063C"/>
    <w:rsid w:val="007408D4"/>
    <w:rsid w:val="007411C3"/>
    <w:rsid w:val="007420AC"/>
    <w:rsid w:val="00742617"/>
    <w:rsid w:val="00742AB9"/>
    <w:rsid w:val="00743392"/>
    <w:rsid w:val="00743AAA"/>
    <w:rsid w:val="007466F0"/>
    <w:rsid w:val="00746FAC"/>
    <w:rsid w:val="0074700E"/>
    <w:rsid w:val="0074708D"/>
    <w:rsid w:val="007504A5"/>
    <w:rsid w:val="00751E96"/>
    <w:rsid w:val="00752604"/>
    <w:rsid w:val="00754036"/>
    <w:rsid w:val="0075411F"/>
    <w:rsid w:val="00755A4A"/>
    <w:rsid w:val="00756048"/>
    <w:rsid w:val="00756655"/>
    <w:rsid w:val="00757417"/>
    <w:rsid w:val="00757E42"/>
    <w:rsid w:val="00760AC9"/>
    <w:rsid w:val="00761646"/>
    <w:rsid w:val="00761921"/>
    <w:rsid w:val="00761E58"/>
    <w:rsid w:val="00761F70"/>
    <w:rsid w:val="00762A41"/>
    <w:rsid w:val="0076309B"/>
    <w:rsid w:val="0076537E"/>
    <w:rsid w:val="00766144"/>
    <w:rsid w:val="007670EE"/>
    <w:rsid w:val="00767FBB"/>
    <w:rsid w:val="00770853"/>
    <w:rsid w:val="00770E36"/>
    <w:rsid w:val="00770E5A"/>
    <w:rsid w:val="00770F78"/>
    <w:rsid w:val="007710A7"/>
    <w:rsid w:val="007710BE"/>
    <w:rsid w:val="00771923"/>
    <w:rsid w:val="007722A5"/>
    <w:rsid w:val="00772C00"/>
    <w:rsid w:val="00773129"/>
    <w:rsid w:val="0077363F"/>
    <w:rsid w:val="007739DC"/>
    <w:rsid w:val="007745A4"/>
    <w:rsid w:val="00774638"/>
    <w:rsid w:val="00776130"/>
    <w:rsid w:val="00776191"/>
    <w:rsid w:val="007775F7"/>
    <w:rsid w:val="00777A8F"/>
    <w:rsid w:val="00777C35"/>
    <w:rsid w:val="00780895"/>
    <w:rsid w:val="00780BCC"/>
    <w:rsid w:val="00782F96"/>
    <w:rsid w:val="00783314"/>
    <w:rsid w:val="00783535"/>
    <w:rsid w:val="00783AFA"/>
    <w:rsid w:val="007841C8"/>
    <w:rsid w:val="0078493C"/>
    <w:rsid w:val="007853DF"/>
    <w:rsid w:val="00785427"/>
    <w:rsid w:val="007854A6"/>
    <w:rsid w:val="00785AFA"/>
    <w:rsid w:val="00785C93"/>
    <w:rsid w:val="00785DF8"/>
    <w:rsid w:val="00786F51"/>
    <w:rsid w:val="007879D9"/>
    <w:rsid w:val="00787EBB"/>
    <w:rsid w:val="00790540"/>
    <w:rsid w:val="00790554"/>
    <w:rsid w:val="00790D15"/>
    <w:rsid w:val="007919EF"/>
    <w:rsid w:val="00791B49"/>
    <w:rsid w:val="00792139"/>
    <w:rsid w:val="00793492"/>
    <w:rsid w:val="007944BA"/>
    <w:rsid w:val="00794BB7"/>
    <w:rsid w:val="0079551D"/>
    <w:rsid w:val="00795723"/>
    <w:rsid w:val="00795DEA"/>
    <w:rsid w:val="007964DB"/>
    <w:rsid w:val="007966DF"/>
    <w:rsid w:val="007968CA"/>
    <w:rsid w:val="0079699B"/>
    <w:rsid w:val="0079751F"/>
    <w:rsid w:val="00797552"/>
    <w:rsid w:val="00797C02"/>
    <w:rsid w:val="00797C06"/>
    <w:rsid w:val="00797C2A"/>
    <w:rsid w:val="007A1CAF"/>
    <w:rsid w:val="007A2182"/>
    <w:rsid w:val="007A268B"/>
    <w:rsid w:val="007A3198"/>
    <w:rsid w:val="007A3A3B"/>
    <w:rsid w:val="007A43FF"/>
    <w:rsid w:val="007A51C8"/>
    <w:rsid w:val="007A76A6"/>
    <w:rsid w:val="007A7901"/>
    <w:rsid w:val="007B0591"/>
    <w:rsid w:val="007B1B57"/>
    <w:rsid w:val="007B2A2D"/>
    <w:rsid w:val="007B2E4B"/>
    <w:rsid w:val="007B38C2"/>
    <w:rsid w:val="007B3918"/>
    <w:rsid w:val="007B3C06"/>
    <w:rsid w:val="007B3E66"/>
    <w:rsid w:val="007B465F"/>
    <w:rsid w:val="007B4BC3"/>
    <w:rsid w:val="007B57B8"/>
    <w:rsid w:val="007B5C87"/>
    <w:rsid w:val="007B6982"/>
    <w:rsid w:val="007B6C73"/>
    <w:rsid w:val="007B76E4"/>
    <w:rsid w:val="007B7821"/>
    <w:rsid w:val="007B7B80"/>
    <w:rsid w:val="007C0432"/>
    <w:rsid w:val="007C09C3"/>
    <w:rsid w:val="007C16D3"/>
    <w:rsid w:val="007C1F0D"/>
    <w:rsid w:val="007C1FF6"/>
    <w:rsid w:val="007C2CBD"/>
    <w:rsid w:val="007C2F0D"/>
    <w:rsid w:val="007C3B7A"/>
    <w:rsid w:val="007C3C1D"/>
    <w:rsid w:val="007C402C"/>
    <w:rsid w:val="007C5221"/>
    <w:rsid w:val="007C7106"/>
    <w:rsid w:val="007C7BD1"/>
    <w:rsid w:val="007D06E4"/>
    <w:rsid w:val="007D0930"/>
    <w:rsid w:val="007D0DAE"/>
    <w:rsid w:val="007D199A"/>
    <w:rsid w:val="007D261E"/>
    <w:rsid w:val="007D2EBE"/>
    <w:rsid w:val="007D38AB"/>
    <w:rsid w:val="007D4107"/>
    <w:rsid w:val="007D4146"/>
    <w:rsid w:val="007D4EE1"/>
    <w:rsid w:val="007D5E94"/>
    <w:rsid w:val="007D7AF5"/>
    <w:rsid w:val="007E15F0"/>
    <w:rsid w:val="007E1996"/>
    <w:rsid w:val="007E1A84"/>
    <w:rsid w:val="007E1C07"/>
    <w:rsid w:val="007E27E0"/>
    <w:rsid w:val="007E3307"/>
    <w:rsid w:val="007E4028"/>
    <w:rsid w:val="007E4D45"/>
    <w:rsid w:val="007E5002"/>
    <w:rsid w:val="007E515A"/>
    <w:rsid w:val="007E6928"/>
    <w:rsid w:val="007E6E73"/>
    <w:rsid w:val="007E7982"/>
    <w:rsid w:val="007F011C"/>
    <w:rsid w:val="007F142B"/>
    <w:rsid w:val="007F21C4"/>
    <w:rsid w:val="007F24B6"/>
    <w:rsid w:val="007F3207"/>
    <w:rsid w:val="007F4390"/>
    <w:rsid w:val="007F463F"/>
    <w:rsid w:val="007F4A75"/>
    <w:rsid w:val="007F5F9B"/>
    <w:rsid w:val="007F76EA"/>
    <w:rsid w:val="00801B7E"/>
    <w:rsid w:val="00803357"/>
    <w:rsid w:val="00803D94"/>
    <w:rsid w:val="0080441D"/>
    <w:rsid w:val="008046C5"/>
    <w:rsid w:val="00804C3F"/>
    <w:rsid w:val="00804D7B"/>
    <w:rsid w:val="00804ECF"/>
    <w:rsid w:val="0080638D"/>
    <w:rsid w:val="0080674F"/>
    <w:rsid w:val="008075D2"/>
    <w:rsid w:val="00812A8D"/>
    <w:rsid w:val="008130E7"/>
    <w:rsid w:val="008137E5"/>
    <w:rsid w:val="00813800"/>
    <w:rsid w:val="00813BB6"/>
    <w:rsid w:val="00814D3B"/>
    <w:rsid w:val="00821BD5"/>
    <w:rsid w:val="00821D98"/>
    <w:rsid w:val="008224D8"/>
    <w:rsid w:val="008229BA"/>
    <w:rsid w:val="00823BD2"/>
    <w:rsid w:val="00824151"/>
    <w:rsid w:val="008244BF"/>
    <w:rsid w:val="00825091"/>
    <w:rsid w:val="008261E5"/>
    <w:rsid w:val="008267D9"/>
    <w:rsid w:val="008272AA"/>
    <w:rsid w:val="008272B4"/>
    <w:rsid w:val="008273ED"/>
    <w:rsid w:val="0082773A"/>
    <w:rsid w:val="00830ACC"/>
    <w:rsid w:val="008315BD"/>
    <w:rsid w:val="008326A2"/>
    <w:rsid w:val="00832F9D"/>
    <w:rsid w:val="008338C9"/>
    <w:rsid w:val="008354B6"/>
    <w:rsid w:val="00835A31"/>
    <w:rsid w:val="00836E9F"/>
    <w:rsid w:val="00837D1C"/>
    <w:rsid w:val="0084090D"/>
    <w:rsid w:val="00840931"/>
    <w:rsid w:val="00840E2C"/>
    <w:rsid w:val="00841346"/>
    <w:rsid w:val="008418C9"/>
    <w:rsid w:val="00842A58"/>
    <w:rsid w:val="00842CAE"/>
    <w:rsid w:val="00843804"/>
    <w:rsid w:val="0084406B"/>
    <w:rsid w:val="00844623"/>
    <w:rsid w:val="00844F6E"/>
    <w:rsid w:val="00845390"/>
    <w:rsid w:val="00845FAA"/>
    <w:rsid w:val="0084601B"/>
    <w:rsid w:val="008467D1"/>
    <w:rsid w:val="00846904"/>
    <w:rsid w:val="00847237"/>
    <w:rsid w:val="00847DA3"/>
    <w:rsid w:val="00847E51"/>
    <w:rsid w:val="008501F7"/>
    <w:rsid w:val="00851BBA"/>
    <w:rsid w:val="00851CA3"/>
    <w:rsid w:val="00851EA7"/>
    <w:rsid w:val="008606F0"/>
    <w:rsid w:val="00860837"/>
    <w:rsid w:val="00862B71"/>
    <w:rsid w:val="00862D49"/>
    <w:rsid w:val="00862F10"/>
    <w:rsid w:val="00863BEF"/>
    <w:rsid w:val="00863C62"/>
    <w:rsid w:val="00863DFB"/>
    <w:rsid w:val="00865489"/>
    <w:rsid w:val="0086553D"/>
    <w:rsid w:val="008658F8"/>
    <w:rsid w:val="008664B2"/>
    <w:rsid w:val="008677FF"/>
    <w:rsid w:val="0087024F"/>
    <w:rsid w:val="00870612"/>
    <w:rsid w:val="00870BD7"/>
    <w:rsid w:val="008734C9"/>
    <w:rsid w:val="00873881"/>
    <w:rsid w:val="00874FEB"/>
    <w:rsid w:val="00875101"/>
    <w:rsid w:val="008757E4"/>
    <w:rsid w:val="00875BD1"/>
    <w:rsid w:val="0087690B"/>
    <w:rsid w:val="00876AEE"/>
    <w:rsid w:val="008801F9"/>
    <w:rsid w:val="008808E7"/>
    <w:rsid w:val="00881B6F"/>
    <w:rsid w:val="00881F27"/>
    <w:rsid w:val="00882805"/>
    <w:rsid w:val="00882AA4"/>
    <w:rsid w:val="00883366"/>
    <w:rsid w:val="00883E22"/>
    <w:rsid w:val="008840FA"/>
    <w:rsid w:val="00884E43"/>
    <w:rsid w:val="008852FE"/>
    <w:rsid w:val="00885DDA"/>
    <w:rsid w:val="008879BB"/>
    <w:rsid w:val="00887C57"/>
    <w:rsid w:val="00887EC6"/>
    <w:rsid w:val="00890606"/>
    <w:rsid w:val="0089084C"/>
    <w:rsid w:val="00891B61"/>
    <w:rsid w:val="00891B6D"/>
    <w:rsid w:val="00892ED7"/>
    <w:rsid w:val="00892EFC"/>
    <w:rsid w:val="00893409"/>
    <w:rsid w:val="0089364C"/>
    <w:rsid w:val="00893D9F"/>
    <w:rsid w:val="008942F5"/>
    <w:rsid w:val="008945BB"/>
    <w:rsid w:val="008947F2"/>
    <w:rsid w:val="00894C0F"/>
    <w:rsid w:val="008951AC"/>
    <w:rsid w:val="00895B84"/>
    <w:rsid w:val="008971EB"/>
    <w:rsid w:val="00897258"/>
    <w:rsid w:val="00897910"/>
    <w:rsid w:val="00897AB5"/>
    <w:rsid w:val="008A07C5"/>
    <w:rsid w:val="008A0C60"/>
    <w:rsid w:val="008A0F5E"/>
    <w:rsid w:val="008A14D3"/>
    <w:rsid w:val="008A172D"/>
    <w:rsid w:val="008A1DE3"/>
    <w:rsid w:val="008A2379"/>
    <w:rsid w:val="008A2D58"/>
    <w:rsid w:val="008A31BD"/>
    <w:rsid w:val="008A31F6"/>
    <w:rsid w:val="008A3525"/>
    <w:rsid w:val="008A3546"/>
    <w:rsid w:val="008A380F"/>
    <w:rsid w:val="008A3E2B"/>
    <w:rsid w:val="008A421F"/>
    <w:rsid w:val="008A4329"/>
    <w:rsid w:val="008A578E"/>
    <w:rsid w:val="008A6130"/>
    <w:rsid w:val="008A6B29"/>
    <w:rsid w:val="008A74C0"/>
    <w:rsid w:val="008A7AEF"/>
    <w:rsid w:val="008B0D71"/>
    <w:rsid w:val="008B1519"/>
    <w:rsid w:val="008B2309"/>
    <w:rsid w:val="008B2C21"/>
    <w:rsid w:val="008B3950"/>
    <w:rsid w:val="008B4187"/>
    <w:rsid w:val="008B43BA"/>
    <w:rsid w:val="008B49F3"/>
    <w:rsid w:val="008B60AB"/>
    <w:rsid w:val="008B6E74"/>
    <w:rsid w:val="008B7BCC"/>
    <w:rsid w:val="008C0112"/>
    <w:rsid w:val="008C02CF"/>
    <w:rsid w:val="008C0B06"/>
    <w:rsid w:val="008C390E"/>
    <w:rsid w:val="008C50C3"/>
    <w:rsid w:val="008C582C"/>
    <w:rsid w:val="008C6FB9"/>
    <w:rsid w:val="008C7094"/>
    <w:rsid w:val="008C72D6"/>
    <w:rsid w:val="008C7819"/>
    <w:rsid w:val="008C7B59"/>
    <w:rsid w:val="008D00A1"/>
    <w:rsid w:val="008D01B5"/>
    <w:rsid w:val="008D0CA1"/>
    <w:rsid w:val="008D2B97"/>
    <w:rsid w:val="008D2D49"/>
    <w:rsid w:val="008D2EB7"/>
    <w:rsid w:val="008D49A5"/>
    <w:rsid w:val="008D4DA6"/>
    <w:rsid w:val="008D5B88"/>
    <w:rsid w:val="008D5DB9"/>
    <w:rsid w:val="008D5EE0"/>
    <w:rsid w:val="008D6687"/>
    <w:rsid w:val="008D6B03"/>
    <w:rsid w:val="008D6C81"/>
    <w:rsid w:val="008D7127"/>
    <w:rsid w:val="008E093B"/>
    <w:rsid w:val="008E14D0"/>
    <w:rsid w:val="008E5300"/>
    <w:rsid w:val="008E5496"/>
    <w:rsid w:val="008E613B"/>
    <w:rsid w:val="008E6CF0"/>
    <w:rsid w:val="008E7FC0"/>
    <w:rsid w:val="008F0B26"/>
    <w:rsid w:val="008F0D45"/>
    <w:rsid w:val="008F103C"/>
    <w:rsid w:val="008F1299"/>
    <w:rsid w:val="008F1439"/>
    <w:rsid w:val="008F2342"/>
    <w:rsid w:val="008F2ADB"/>
    <w:rsid w:val="008F48A5"/>
    <w:rsid w:val="008F4D85"/>
    <w:rsid w:val="008F51D0"/>
    <w:rsid w:val="008F569A"/>
    <w:rsid w:val="008F5CEE"/>
    <w:rsid w:val="008F7051"/>
    <w:rsid w:val="008F710B"/>
    <w:rsid w:val="009001F1"/>
    <w:rsid w:val="00902745"/>
    <w:rsid w:val="00902AD1"/>
    <w:rsid w:val="00902C1B"/>
    <w:rsid w:val="00903118"/>
    <w:rsid w:val="00903390"/>
    <w:rsid w:val="009033A9"/>
    <w:rsid w:val="009036E6"/>
    <w:rsid w:val="0090403A"/>
    <w:rsid w:val="009049D9"/>
    <w:rsid w:val="0090581D"/>
    <w:rsid w:val="0090737D"/>
    <w:rsid w:val="00907E9F"/>
    <w:rsid w:val="00907EB8"/>
    <w:rsid w:val="00907EDC"/>
    <w:rsid w:val="009105B6"/>
    <w:rsid w:val="00910A76"/>
    <w:rsid w:val="00911561"/>
    <w:rsid w:val="00913257"/>
    <w:rsid w:val="00913AFF"/>
    <w:rsid w:val="0091439C"/>
    <w:rsid w:val="00914A54"/>
    <w:rsid w:val="00914BB0"/>
    <w:rsid w:val="00914F5A"/>
    <w:rsid w:val="00916409"/>
    <w:rsid w:val="00917D01"/>
    <w:rsid w:val="00920572"/>
    <w:rsid w:val="00920BF2"/>
    <w:rsid w:val="009216C8"/>
    <w:rsid w:val="00923F6C"/>
    <w:rsid w:val="00924AF2"/>
    <w:rsid w:val="009257BE"/>
    <w:rsid w:val="00925920"/>
    <w:rsid w:val="00926EDB"/>
    <w:rsid w:val="00927A95"/>
    <w:rsid w:val="00931B82"/>
    <w:rsid w:val="0093204F"/>
    <w:rsid w:val="0093263E"/>
    <w:rsid w:val="009349A9"/>
    <w:rsid w:val="00935058"/>
    <w:rsid w:val="009351DA"/>
    <w:rsid w:val="0093641B"/>
    <w:rsid w:val="00936C52"/>
    <w:rsid w:val="00936EB2"/>
    <w:rsid w:val="00937325"/>
    <w:rsid w:val="00937C65"/>
    <w:rsid w:val="00940733"/>
    <w:rsid w:val="00941A25"/>
    <w:rsid w:val="009423AC"/>
    <w:rsid w:val="00944BE5"/>
    <w:rsid w:val="0094584C"/>
    <w:rsid w:val="00945EC4"/>
    <w:rsid w:val="00946C6B"/>
    <w:rsid w:val="00947945"/>
    <w:rsid w:val="009500CE"/>
    <w:rsid w:val="0095093D"/>
    <w:rsid w:val="00950C06"/>
    <w:rsid w:val="009533DC"/>
    <w:rsid w:val="0095489B"/>
    <w:rsid w:val="00954BC8"/>
    <w:rsid w:val="00954CF8"/>
    <w:rsid w:val="00955893"/>
    <w:rsid w:val="00955B06"/>
    <w:rsid w:val="00956551"/>
    <w:rsid w:val="00956AF0"/>
    <w:rsid w:val="00960229"/>
    <w:rsid w:val="00960BEC"/>
    <w:rsid w:val="009614B2"/>
    <w:rsid w:val="0096167A"/>
    <w:rsid w:val="00962191"/>
    <w:rsid w:val="009623CA"/>
    <w:rsid w:val="00963076"/>
    <w:rsid w:val="00963687"/>
    <w:rsid w:val="009640EC"/>
    <w:rsid w:val="009652FA"/>
    <w:rsid w:val="00965BFF"/>
    <w:rsid w:val="00966EC9"/>
    <w:rsid w:val="00966FB9"/>
    <w:rsid w:val="009671CD"/>
    <w:rsid w:val="00967666"/>
    <w:rsid w:val="00967FAB"/>
    <w:rsid w:val="00971396"/>
    <w:rsid w:val="009718F9"/>
    <w:rsid w:val="00971C59"/>
    <w:rsid w:val="00972F49"/>
    <w:rsid w:val="0097358D"/>
    <w:rsid w:val="00974AB0"/>
    <w:rsid w:val="009751A9"/>
    <w:rsid w:val="009757BE"/>
    <w:rsid w:val="009767AA"/>
    <w:rsid w:val="00977F33"/>
    <w:rsid w:val="009805F2"/>
    <w:rsid w:val="00980CAE"/>
    <w:rsid w:val="00980E51"/>
    <w:rsid w:val="00980F9C"/>
    <w:rsid w:val="00981623"/>
    <w:rsid w:val="009832BE"/>
    <w:rsid w:val="00983771"/>
    <w:rsid w:val="009843FA"/>
    <w:rsid w:val="00984539"/>
    <w:rsid w:val="009849EB"/>
    <w:rsid w:val="009856C8"/>
    <w:rsid w:val="0098632B"/>
    <w:rsid w:val="009879A6"/>
    <w:rsid w:val="00987E1B"/>
    <w:rsid w:val="009906B4"/>
    <w:rsid w:val="009917BA"/>
    <w:rsid w:val="00991EEC"/>
    <w:rsid w:val="009926FD"/>
    <w:rsid w:val="00995369"/>
    <w:rsid w:val="009955A8"/>
    <w:rsid w:val="009963DF"/>
    <w:rsid w:val="00997845"/>
    <w:rsid w:val="00997A6E"/>
    <w:rsid w:val="00997BFB"/>
    <w:rsid w:val="00997C1A"/>
    <w:rsid w:val="00997E4E"/>
    <w:rsid w:val="009A0E9B"/>
    <w:rsid w:val="009A1908"/>
    <w:rsid w:val="009A2B34"/>
    <w:rsid w:val="009A3020"/>
    <w:rsid w:val="009A3F8B"/>
    <w:rsid w:val="009A48C8"/>
    <w:rsid w:val="009A5404"/>
    <w:rsid w:val="009A6C49"/>
    <w:rsid w:val="009A6D04"/>
    <w:rsid w:val="009A7348"/>
    <w:rsid w:val="009A76F8"/>
    <w:rsid w:val="009B06D2"/>
    <w:rsid w:val="009B09B5"/>
    <w:rsid w:val="009B217F"/>
    <w:rsid w:val="009B2232"/>
    <w:rsid w:val="009B31BD"/>
    <w:rsid w:val="009B3525"/>
    <w:rsid w:val="009B462C"/>
    <w:rsid w:val="009B4724"/>
    <w:rsid w:val="009B4F10"/>
    <w:rsid w:val="009B65AC"/>
    <w:rsid w:val="009B6954"/>
    <w:rsid w:val="009B6CBB"/>
    <w:rsid w:val="009B6E94"/>
    <w:rsid w:val="009B7301"/>
    <w:rsid w:val="009B7718"/>
    <w:rsid w:val="009C023B"/>
    <w:rsid w:val="009C0612"/>
    <w:rsid w:val="009C097D"/>
    <w:rsid w:val="009C0B89"/>
    <w:rsid w:val="009C10F2"/>
    <w:rsid w:val="009C135D"/>
    <w:rsid w:val="009C13AE"/>
    <w:rsid w:val="009C15F3"/>
    <w:rsid w:val="009C1B52"/>
    <w:rsid w:val="009C3689"/>
    <w:rsid w:val="009C5295"/>
    <w:rsid w:val="009C6750"/>
    <w:rsid w:val="009C7395"/>
    <w:rsid w:val="009C785B"/>
    <w:rsid w:val="009D03CD"/>
    <w:rsid w:val="009D0421"/>
    <w:rsid w:val="009D19C1"/>
    <w:rsid w:val="009D2949"/>
    <w:rsid w:val="009D4EB6"/>
    <w:rsid w:val="009D6014"/>
    <w:rsid w:val="009D6034"/>
    <w:rsid w:val="009D6614"/>
    <w:rsid w:val="009D6D7C"/>
    <w:rsid w:val="009D7434"/>
    <w:rsid w:val="009E07C2"/>
    <w:rsid w:val="009E0E52"/>
    <w:rsid w:val="009E1C25"/>
    <w:rsid w:val="009E298C"/>
    <w:rsid w:val="009E32BB"/>
    <w:rsid w:val="009E39D5"/>
    <w:rsid w:val="009E42BA"/>
    <w:rsid w:val="009E4C95"/>
    <w:rsid w:val="009E4DFA"/>
    <w:rsid w:val="009E5698"/>
    <w:rsid w:val="009E6025"/>
    <w:rsid w:val="009E66B4"/>
    <w:rsid w:val="009E7302"/>
    <w:rsid w:val="009E74F5"/>
    <w:rsid w:val="009F2C38"/>
    <w:rsid w:val="009F46D2"/>
    <w:rsid w:val="009F4EC4"/>
    <w:rsid w:val="009F5855"/>
    <w:rsid w:val="009F5BC3"/>
    <w:rsid w:val="009F5E71"/>
    <w:rsid w:val="009F65C2"/>
    <w:rsid w:val="009F72F9"/>
    <w:rsid w:val="009F7396"/>
    <w:rsid w:val="009F7905"/>
    <w:rsid w:val="00A00205"/>
    <w:rsid w:val="00A0035E"/>
    <w:rsid w:val="00A00AF0"/>
    <w:rsid w:val="00A02418"/>
    <w:rsid w:val="00A02E15"/>
    <w:rsid w:val="00A03D9F"/>
    <w:rsid w:val="00A03F2D"/>
    <w:rsid w:val="00A04049"/>
    <w:rsid w:val="00A04120"/>
    <w:rsid w:val="00A04290"/>
    <w:rsid w:val="00A04807"/>
    <w:rsid w:val="00A049D8"/>
    <w:rsid w:val="00A058E8"/>
    <w:rsid w:val="00A06C90"/>
    <w:rsid w:val="00A06DD7"/>
    <w:rsid w:val="00A079EE"/>
    <w:rsid w:val="00A07D05"/>
    <w:rsid w:val="00A07F96"/>
    <w:rsid w:val="00A104A3"/>
    <w:rsid w:val="00A10AD8"/>
    <w:rsid w:val="00A110BA"/>
    <w:rsid w:val="00A11515"/>
    <w:rsid w:val="00A13A7E"/>
    <w:rsid w:val="00A14056"/>
    <w:rsid w:val="00A14B5A"/>
    <w:rsid w:val="00A15D6C"/>
    <w:rsid w:val="00A16010"/>
    <w:rsid w:val="00A16BD0"/>
    <w:rsid w:val="00A1702E"/>
    <w:rsid w:val="00A171E2"/>
    <w:rsid w:val="00A17286"/>
    <w:rsid w:val="00A17925"/>
    <w:rsid w:val="00A211B8"/>
    <w:rsid w:val="00A215F4"/>
    <w:rsid w:val="00A225F1"/>
    <w:rsid w:val="00A23525"/>
    <w:rsid w:val="00A23B26"/>
    <w:rsid w:val="00A2498B"/>
    <w:rsid w:val="00A24E3E"/>
    <w:rsid w:val="00A26117"/>
    <w:rsid w:val="00A2735D"/>
    <w:rsid w:val="00A309D6"/>
    <w:rsid w:val="00A30E30"/>
    <w:rsid w:val="00A30FDB"/>
    <w:rsid w:val="00A31332"/>
    <w:rsid w:val="00A31F6D"/>
    <w:rsid w:val="00A32A4D"/>
    <w:rsid w:val="00A332B3"/>
    <w:rsid w:val="00A3343C"/>
    <w:rsid w:val="00A340F7"/>
    <w:rsid w:val="00A34661"/>
    <w:rsid w:val="00A34996"/>
    <w:rsid w:val="00A34BCA"/>
    <w:rsid w:val="00A34DFB"/>
    <w:rsid w:val="00A34E6A"/>
    <w:rsid w:val="00A34F04"/>
    <w:rsid w:val="00A3567F"/>
    <w:rsid w:val="00A35A46"/>
    <w:rsid w:val="00A35A91"/>
    <w:rsid w:val="00A36D07"/>
    <w:rsid w:val="00A37179"/>
    <w:rsid w:val="00A37698"/>
    <w:rsid w:val="00A41C4A"/>
    <w:rsid w:val="00A41C6A"/>
    <w:rsid w:val="00A41E72"/>
    <w:rsid w:val="00A41ED3"/>
    <w:rsid w:val="00A4379E"/>
    <w:rsid w:val="00A43BA3"/>
    <w:rsid w:val="00A452D7"/>
    <w:rsid w:val="00A4574F"/>
    <w:rsid w:val="00A46983"/>
    <w:rsid w:val="00A5011D"/>
    <w:rsid w:val="00A5067E"/>
    <w:rsid w:val="00A5100A"/>
    <w:rsid w:val="00A51301"/>
    <w:rsid w:val="00A51557"/>
    <w:rsid w:val="00A51832"/>
    <w:rsid w:val="00A51913"/>
    <w:rsid w:val="00A5246D"/>
    <w:rsid w:val="00A52B92"/>
    <w:rsid w:val="00A53A92"/>
    <w:rsid w:val="00A54CEA"/>
    <w:rsid w:val="00A556FB"/>
    <w:rsid w:val="00A55793"/>
    <w:rsid w:val="00A55D2A"/>
    <w:rsid w:val="00A561A8"/>
    <w:rsid w:val="00A5665C"/>
    <w:rsid w:val="00A57201"/>
    <w:rsid w:val="00A57277"/>
    <w:rsid w:val="00A574E8"/>
    <w:rsid w:val="00A57B86"/>
    <w:rsid w:val="00A60557"/>
    <w:rsid w:val="00A617A5"/>
    <w:rsid w:val="00A624A9"/>
    <w:rsid w:val="00A62D5A"/>
    <w:rsid w:val="00A63229"/>
    <w:rsid w:val="00A637A8"/>
    <w:rsid w:val="00A63DB8"/>
    <w:rsid w:val="00A63F19"/>
    <w:rsid w:val="00A647F3"/>
    <w:rsid w:val="00A64C17"/>
    <w:rsid w:val="00A66F32"/>
    <w:rsid w:val="00A70565"/>
    <w:rsid w:val="00A7137D"/>
    <w:rsid w:val="00A720BA"/>
    <w:rsid w:val="00A7240F"/>
    <w:rsid w:val="00A727F2"/>
    <w:rsid w:val="00A73106"/>
    <w:rsid w:val="00A7318B"/>
    <w:rsid w:val="00A74442"/>
    <w:rsid w:val="00A746EB"/>
    <w:rsid w:val="00A75639"/>
    <w:rsid w:val="00A80C17"/>
    <w:rsid w:val="00A80C47"/>
    <w:rsid w:val="00A81335"/>
    <w:rsid w:val="00A81CBE"/>
    <w:rsid w:val="00A81D82"/>
    <w:rsid w:val="00A83192"/>
    <w:rsid w:val="00A833F8"/>
    <w:rsid w:val="00A8424B"/>
    <w:rsid w:val="00A85A55"/>
    <w:rsid w:val="00A8666A"/>
    <w:rsid w:val="00A86B47"/>
    <w:rsid w:val="00A86E0B"/>
    <w:rsid w:val="00A875A8"/>
    <w:rsid w:val="00A87F2E"/>
    <w:rsid w:val="00A901D6"/>
    <w:rsid w:val="00A904AC"/>
    <w:rsid w:val="00A90D9E"/>
    <w:rsid w:val="00A910C5"/>
    <w:rsid w:val="00A9118F"/>
    <w:rsid w:val="00A91A66"/>
    <w:rsid w:val="00A9229C"/>
    <w:rsid w:val="00A93E33"/>
    <w:rsid w:val="00A95EC3"/>
    <w:rsid w:val="00A9715F"/>
    <w:rsid w:val="00A974BF"/>
    <w:rsid w:val="00A97C89"/>
    <w:rsid w:val="00AA021C"/>
    <w:rsid w:val="00AA07D3"/>
    <w:rsid w:val="00AA0964"/>
    <w:rsid w:val="00AA1073"/>
    <w:rsid w:val="00AA11A5"/>
    <w:rsid w:val="00AA2F90"/>
    <w:rsid w:val="00AA4202"/>
    <w:rsid w:val="00AA4A4C"/>
    <w:rsid w:val="00AA6825"/>
    <w:rsid w:val="00AA6A8D"/>
    <w:rsid w:val="00AA77B9"/>
    <w:rsid w:val="00AA7A08"/>
    <w:rsid w:val="00AB0669"/>
    <w:rsid w:val="00AB074E"/>
    <w:rsid w:val="00AB0FD4"/>
    <w:rsid w:val="00AB2118"/>
    <w:rsid w:val="00AB24C1"/>
    <w:rsid w:val="00AB40D6"/>
    <w:rsid w:val="00AB5C3F"/>
    <w:rsid w:val="00AB636F"/>
    <w:rsid w:val="00AB6970"/>
    <w:rsid w:val="00AB6D20"/>
    <w:rsid w:val="00AB6DF9"/>
    <w:rsid w:val="00AB6F89"/>
    <w:rsid w:val="00AB7237"/>
    <w:rsid w:val="00AC024B"/>
    <w:rsid w:val="00AC1939"/>
    <w:rsid w:val="00AC1E7F"/>
    <w:rsid w:val="00AC1FDD"/>
    <w:rsid w:val="00AC287F"/>
    <w:rsid w:val="00AC2AD7"/>
    <w:rsid w:val="00AC2F4E"/>
    <w:rsid w:val="00AC3009"/>
    <w:rsid w:val="00AC317C"/>
    <w:rsid w:val="00AC43AD"/>
    <w:rsid w:val="00AC45B0"/>
    <w:rsid w:val="00AC51C3"/>
    <w:rsid w:val="00AC5247"/>
    <w:rsid w:val="00AC6985"/>
    <w:rsid w:val="00AC69D4"/>
    <w:rsid w:val="00AC6D1A"/>
    <w:rsid w:val="00AC7C05"/>
    <w:rsid w:val="00AD0924"/>
    <w:rsid w:val="00AD167C"/>
    <w:rsid w:val="00AD17C7"/>
    <w:rsid w:val="00AD1C0C"/>
    <w:rsid w:val="00AD35B0"/>
    <w:rsid w:val="00AD3D5A"/>
    <w:rsid w:val="00AD4041"/>
    <w:rsid w:val="00AD431F"/>
    <w:rsid w:val="00AD4BEF"/>
    <w:rsid w:val="00AD5BA0"/>
    <w:rsid w:val="00AD7965"/>
    <w:rsid w:val="00AE0278"/>
    <w:rsid w:val="00AE0A5B"/>
    <w:rsid w:val="00AE0B52"/>
    <w:rsid w:val="00AE23D5"/>
    <w:rsid w:val="00AE2AD4"/>
    <w:rsid w:val="00AE302B"/>
    <w:rsid w:val="00AE30F8"/>
    <w:rsid w:val="00AE343C"/>
    <w:rsid w:val="00AE487D"/>
    <w:rsid w:val="00AF07C3"/>
    <w:rsid w:val="00AF08C4"/>
    <w:rsid w:val="00AF0A8D"/>
    <w:rsid w:val="00AF196F"/>
    <w:rsid w:val="00AF20D6"/>
    <w:rsid w:val="00AF20F5"/>
    <w:rsid w:val="00AF2832"/>
    <w:rsid w:val="00AF2B4A"/>
    <w:rsid w:val="00AF4C86"/>
    <w:rsid w:val="00AF6346"/>
    <w:rsid w:val="00AF69A6"/>
    <w:rsid w:val="00AF70C9"/>
    <w:rsid w:val="00AF7370"/>
    <w:rsid w:val="00B00359"/>
    <w:rsid w:val="00B0067A"/>
    <w:rsid w:val="00B01387"/>
    <w:rsid w:val="00B017CF"/>
    <w:rsid w:val="00B0347D"/>
    <w:rsid w:val="00B03802"/>
    <w:rsid w:val="00B0429D"/>
    <w:rsid w:val="00B044A1"/>
    <w:rsid w:val="00B04C66"/>
    <w:rsid w:val="00B050BD"/>
    <w:rsid w:val="00B05E99"/>
    <w:rsid w:val="00B06629"/>
    <w:rsid w:val="00B07A95"/>
    <w:rsid w:val="00B115B6"/>
    <w:rsid w:val="00B11B29"/>
    <w:rsid w:val="00B143A7"/>
    <w:rsid w:val="00B16BE5"/>
    <w:rsid w:val="00B173C7"/>
    <w:rsid w:val="00B173D4"/>
    <w:rsid w:val="00B17B3F"/>
    <w:rsid w:val="00B21183"/>
    <w:rsid w:val="00B2190C"/>
    <w:rsid w:val="00B21A83"/>
    <w:rsid w:val="00B23145"/>
    <w:rsid w:val="00B234E7"/>
    <w:rsid w:val="00B23FA1"/>
    <w:rsid w:val="00B2455B"/>
    <w:rsid w:val="00B25228"/>
    <w:rsid w:val="00B25734"/>
    <w:rsid w:val="00B259DF"/>
    <w:rsid w:val="00B2666F"/>
    <w:rsid w:val="00B272F5"/>
    <w:rsid w:val="00B27CD3"/>
    <w:rsid w:val="00B31367"/>
    <w:rsid w:val="00B32771"/>
    <w:rsid w:val="00B32B20"/>
    <w:rsid w:val="00B3370D"/>
    <w:rsid w:val="00B3463B"/>
    <w:rsid w:val="00B34951"/>
    <w:rsid w:val="00B355B6"/>
    <w:rsid w:val="00B3669C"/>
    <w:rsid w:val="00B36B78"/>
    <w:rsid w:val="00B40F28"/>
    <w:rsid w:val="00B419F9"/>
    <w:rsid w:val="00B41D1A"/>
    <w:rsid w:val="00B42E09"/>
    <w:rsid w:val="00B43014"/>
    <w:rsid w:val="00B4452D"/>
    <w:rsid w:val="00B44B1F"/>
    <w:rsid w:val="00B4620C"/>
    <w:rsid w:val="00B46DA2"/>
    <w:rsid w:val="00B47097"/>
    <w:rsid w:val="00B470D5"/>
    <w:rsid w:val="00B471CE"/>
    <w:rsid w:val="00B471E8"/>
    <w:rsid w:val="00B473B3"/>
    <w:rsid w:val="00B50473"/>
    <w:rsid w:val="00B51484"/>
    <w:rsid w:val="00B5194F"/>
    <w:rsid w:val="00B53763"/>
    <w:rsid w:val="00B545D7"/>
    <w:rsid w:val="00B54D79"/>
    <w:rsid w:val="00B558B4"/>
    <w:rsid w:val="00B563BB"/>
    <w:rsid w:val="00B56474"/>
    <w:rsid w:val="00B564DB"/>
    <w:rsid w:val="00B56726"/>
    <w:rsid w:val="00B575D5"/>
    <w:rsid w:val="00B57899"/>
    <w:rsid w:val="00B60974"/>
    <w:rsid w:val="00B61BCA"/>
    <w:rsid w:val="00B61C22"/>
    <w:rsid w:val="00B621FB"/>
    <w:rsid w:val="00B63299"/>
    <w:rsid w:val="00B63594"/>
    <w:rsid w:val="00B64141"/>
    <w:rsid w:val="00B641F8"/>
    <w:rsid w:val="00B649B4"/>
    <w:rsid w:val="00B64E72"/>
    <w:rsid w:val="00B65091"/>
    <w:rsid w:val="00B655C1"/>
    <w:rsid w:val="00B65913"/>
    <w:rsid w:val="00B66B87"/>
    <w:rsid w:val="00B67067"/>
    <w:rsid w:val="00B677A1"/>
    <w:rsid w:val="00B678A9"/>
    <w:rsid w:val="00B679C8"/>
    <w:rsid w:val="00B67E94"/>
    <w:rsid w:val="00B706CD"/>
    <w:rsid w:val="00B715EA"/>
    <w:rsid w:val="00B722D8"/>
    <w:rsid w:val="00B7257A"/>
    <w:rsid w:val="00B726D8"/>
    <w:rsid w:val="00B73E8B"/>
    <w:rsid w:val="00B74031"/>
    <w:rsid w:val="00B744EA"/>
    <w:rsid w:val="00B75396"/>
    <w:rsid w:val="00B75F33"/>
    <w:rsid w:val="00B764FB"/>
    <w:rsid w:val="00B766D5"/>
    <w:rsid w:val="00B77781"/>
    <w:rsid w:val="00B77913"/>
    <w:rsid w:val="00B8093D"/>
    <w:rsid w:val="00B80AC3"/>
    <w:rsid w:val="00B81803"/>
    <w:rsid w:val="00B81BD1"/>
    <w:rsid w:val="00B824FB"/>
    <w:rsid w:val="00B82646"/>
    <w:rsid w:val="00B82DA9"/>
    <w:rsid w:val="00B83701"/>
    <w:rsid w:val="00B84597"/>
    <w:rsid w:val="00B84886"/>
    <w:rsid w:val="00B84925"/>
    <w:rsid w:val="00B85130"/>
    <w:rsid w:val="00B877CF"/>
    <w:rsid w:val="00B91078"/>
    <w:rsid w:val="00B91243"/>
    <w:rsid w:val="00B9159D"/>
    <w:rsid w:val="00B92814"/>
    <w:rsid w:val="00B92B5B"/>
    <w:rsid w:val="00B94E77"/>
    <w:rsid w:val="00B95FBB"/>
    <w:rsid w:val="00B97359"/>
    <w:rsid w:val="00B97A8F"/>
    <w:rsid w:val="00BA0495"/>
    <w:rsid w:val="00BA129F"/>
    <w:rsid w:val="00BA1AE1"/>
    <w:rsid w:val="00BA1F33"/>
    <w:rsid w:val="00BA3DE0"/>
    <w:rsid w:val="00BA3F73"/>
    <w:rsid w:val="00BA4693"/>
    <w:rsid w:val="00BA46A4"/>
    <w:rsid w:val="00BA4E58"/>
    <w:rsid w:val="00BA6683"/>
    <w:rsid w:val="00BA6699"/>
    <w:rsid w:val="00BA683B"/>
    <w:rsid w:val="00BA7074"/>
    <w:rsid w:val="00BB0E8C"/>
    <w:rsid w:val="00BB1EBF"/>
    <w:rsid w:val="00BB28CE"/>
    <w:rsid w:val="00BB336B"/>
    <w:rsid w:val="00BB536D"/>
    <w:rsid w:val="00BB5A1C"/>
    <w:rsid w:val="00BB70B1"/>
    <w:rsid w:val="00BB7829"/>
    <w:rsid w:val="00BC052F"/>
    <w:rsid w:val="00BC0759"/>
    <w:rsid w:val="00BC0A93"/>
    <w:rsid w:val="00BC0DD3"/>
    <w:rsid w:val="00BC1162"/>
    <w:rsid w:val="00BC1301"/>
    <w:rsid w:val="00BC1BC7"/>
    <w:rsid w:val="00BC2E46"/>
    <w:rsid w:val="00BC48AA"/>
    <w:rsid w:val="00BC5848"/>
    <w:rsid w:val="00BC599C"/>
    <w:rsid w:val="00BC6028"/>
    <w:rsid w:val="00BC61C7"/>
    <w:rsid w:val="00BC6853"/>
    <w:rsid w:val="00BC732D"/>
    <w:rsid w:val="00BC78AD"/>
    <w:rsid w:val="00BD1457"/>
    <w:rsid w:val="00BD4C04"/>
    <w:rsid w:val="00BD5C97"/>
    <w:rsid w:val="00BD5E71"/>
    <w:rsid w:val="00BD622C"/>
    <w:rsid w:val="00BD6378"/>
    <w:rsid w:val="00BD68D2"/>
    <w:rsid w:val="00BE0D0E"/>
    <w:rsid w:val="00BE1A8F"/>
    <w:rsid w:val="00BE2074"/>
    <w:rsid w:val="00BE2AD9"/>
    <w:rsid w:val="00BE3392"/>
    <w:rsid w:val="00BE4A3E"/>
    <w:rsid w:val="00BE4B37"/>
    <w:rsid w:val="00BE5875"/>
    <w:rsid w:val="00BE5F6C"/>
    <w:rsid w:val="00BE6988"/>
    <w:rsid w:val="00BE6F25"/>
    <w:rsid w:val="00BE74A5"/>
    <w:rsid w:val="00BE76C2"/>
    <w:rsid w:val="00BF1032"/>
    <w:rsid w:val="00BF27FE"/>
    <w:rsid w:val="00BF49C7"/>
    <w:rsid w:val="00BF49DD"/>
    <w:rsid w:val="00BF5502"/>
    <w:rsid w:val="00BF5FD4"/>
    <w:rsid w:val="00BF6133"/>
    <w:rsid w:val="00BF6A52"/>
    <w:rsid w:val="00BF7791"/>
    <w:rsid w:val="00BF7818"/>
    <w:rsid w:val="00C00FB8"/>
    <w:rsid w:val="00C02A4F"/>
    <w:rsid w:val="00C02C6C"/>
    <w:rsid w:val="00C0335E"/>
    <w:rsid w:val="00C034A5"/>
    <w:rsid w:val="00C037C0"/>
    <w:rsid w:val="00C0419E"/>
    <w:rsid w:val="00C043B3"/>
    <w:rsid w:val="00C053BE"/>
    <w:rsid w:val="00C079AB"/>
    <w:rsid w:val="00C07C66"/>
    <w:rsid w:val="00C07F70"/>
    <w:rsid w:val="00C10332"/>
    <w:rsid w:val="00C103AB"/>
    <w:rsid w:val="00C10452"/>
    <w:rsid w:val="00C10E61"/>
    <w:rsid w:val="00C11B1A"/>
    <w:rsid w:val="00C1295E"/>
    <w:rsid w:val="00C13AED"/>
    <w:rsid w:val="00C13BBC"/>
    <w:rsid w:val="00C14787"/>
    <w:rsid w:val="00C14EB1"/>
    <w:rsid w:val="00C14FFC"/>
    <w:rsid w:val="00C1596D"/>
    <w:rsid w:val="00C15B8D"/>
    <w:rsid w:val="00C16461"/>
    <w:rsid w:val="00C169D2"/>
    <w:rsid w:val="00C17010"/>
    <w:rsid w:val="00C17FE9"/>
    <w:rsid w:val="00C20140"/>
    <w:rsid w:val="00C202C0"/>
    <w:rsid w:val="00C20562"/>
    <w:rsid w:val="00C215C3"/>
    <w:rsid w:val="00C2192D"/>
    <w:rsid w:val="00C22F0E"/>
    <w:rsid w:val="00C23032"/>
    <w:rsid w:val="00C23607"/>
    <w:rsid w:val="00C236B0"/>
    <w:rsid w:val="00C23A96"/>
    <w:rsid w:val="00C247CE"/>
    <w:rsid w:val="00C249C6"/>
    <w:rsid w:val="00C25CEB"/>
    <w:rsid w:val="00C25DE4"/>
    <w:rsid w:val="00C25F24"/>
    <w:rsid w:val="00C26521"/>
    <w:rsid w:val="00C2724C"/>
    <w:rsid w:val="00C27417"/>
    <w:rsid w:val="00C275A2"/>
    <w:rsid w:val="00C27B70"/>
    <w:rsid w:val="00C308DF"/>
    <w:rsid w:val="00C315C7"/>
    <w:rsid w:val="00C3226A"/>
    <w:rsid w:val="00C325CF"/>
    <w:rsid w:val="00C32A10"/>
    <w:rsid w:val="00C32CC1"/>
    <w:rsid w:val="00C32DCC"/>
    <w:rsid w:val="00C32FE9"/>
    <w:rsid w:val="00C33D79"/>
    <w:rsid w:val="00C34596"/>
    <w:rsid w:val="00C3497B"/>
    <w:rsid w:val="00C34C82"/>
    <w:rsid w:val="00C34FCF"/>
    <w:rsid w:val="00C358AB"/>
    <w:rsid w:val="00C364BB"/>
    <w:rsid w:val="00C3774A"/>
    <w:rsid w:val="00C417BA"/>
    <w:rsid w:val="00C41EBD"/>
    <w:rsid w:val="00C426EC"/>
    <w:rsid w:val="00C426FC"/>
    <w:rsid w:val="00C42F57"/>
    <w:rsid w:val="00C4486A"/>
    <w:rsid w:val="00C4551E"/>
    <w:rsid w:val="00C45D2D"/>
    <w:rsid w:val="00C46C16"/>
    <w:rsid w:val="00C470C4"/>
    <w:rsid w:val="00C5032E"/>
    <w:rsid w:val="00C50455"/>
    <w:rsid w:val="00C507C1"/>
    <w:rsid w:val="00C5155F"/>
    <w:rsid w:val="00C5174E"/>
    <w:rsid w:val="00C520E4"/>
    <w:rsid w:val="00C52239"/>
    <w:rsid w:val="00C52D99"/>
    <w:rsid w:val="00C54B07"/>
    <w:rsid w:val="00C553C6"/>
    <w:rsid w:val="00C574DC"/>
    <w:rsid w:val="00C57964"/>
    <w:rsid w:val="00C6035C"/>
    <w:rsid w:val="00C60897"/>
    <w:rsid w:val="00C60EAD"/>
    <w:rsid w:val="00C61317"/>
    <w:rsid w:val="00C634CD"/>
    <w:rsid w:val="00C63FBF"/>
    <w:rsid w:val="00C645EA"/>
    <w:rsid w:val="00C6483C"/>
    <w:rsid w:val="00C64A99"/>
    <w:rsid w:val="00C64AE9"/>
    <w:rsid w:val="00C65499"/>
    <w:rsid w:val="00C6582A"/>
    <w:rsid w:val="00C65B01"/>
    <w:rsid w:val="00C66077"/>
    <w:rsid w:val="00C67291"/>
    <w:rsid w:val="00C67BC5"/>
    <w:rsid w:val="00C70CFF"/>
    <w:rsid w:val="00C710D6"/>
    <w:rsid w:val="00C718FE"/>
    <w:rsid w:val="00C729E3"/>
    <w:rsid w:val="00C729F3"/>
    <w:rsid w:val="00C72FD8"/>
    <w:rsid w:val="00C746E9"/>
    <w:rsid w:val="00C74FC6"/>
    <w:rsid w:val="00C75769"/>
    <w:rsid w:val="00C75CDC"/>
    <w:rsid w:val="00C75FB2"/>
    <w:rsid w:val="00C76333"/>
    <w:rsid w:val="00C768F3"/>
    <w:rsid w:val="00C77EB9"/>
    <w:rsid w:val="00C818EA"/>
    <w:rsid w:val="00C81E44"/>
    <w:rsid w:val="00C824BC"/>
    <w:rsid w:val="00C83BC7"/>
    <w:rsid w:val="00C84081"/>
    <w:rsid w:val="00C843A1"/>
    <w:rsid w:val="00C84B4C"/>
    <w:rsid w:val="00C853A2"/>
    <w:rsid w:val="00C86CEC"/>
    <w:rsid w:val="00C86E2E"/>
    <w:rsid w:val="00C8773D"/>
    <w:rsid w:val="00C87ABB"/>
    <w:rsid w:val="00C87BBC"/>
    <w:rsid w:val="00C90062"/>
    <w:rsid w:val="00C9033D"/>
    <w:rsid w:val="00C908F9"/>
    <w:rsid w:val="00C91244"/>
    <w:rsid w:val="00C91831"/>
    <w:rsid w:val="00C934CC"/>
    <w:rsid w:val="00C93E8B"/>
    <w:rsid w:val="00C93FD2"/>
    <w:rsid w:val="00C940A9"/>
    <w:rsid w:val="00C9455D"/>
    <w:rsid w:val="00C94BEA"/>
    <w:rsid w:val="00C95069"/>
    <w:rsid w:val="00C953DF"/>
    <w:rsid w:val="00C958CC"/>
    <w:rsid w:val="00C959AB"/>
    <w:rsid w:val="00C95B83"/>
    <w:rsid w:val="00C9633B"/>
    <w:rsid w:val="00C967D4"/>
    <w:rsid w:val="00CA1D5F"/>
    <w:rsid w:val="00CA1FD4"/>
    <w:rsid w:val="00CA2080"/>
    <w:rsid w:val="00CA21D2"/>
    <w:rsid w:val="00CA225A"/>
    <w:rsid w:val="00CA28E2"/>
    <w:rsid w:val="00CA3634"/>
    <w:rsid w:val="00CA3F79"/>
    <w:rsid w:val="00CA46A8"/>
    <w:rsid w:val="00CA46DB"/>
    <w:rsid w:val="00CA4901"/>
    <w:rsid w:val="00CA4C6D"/>
    <w:rsid w:val="00CA4CA6"/>
    <w:rsid w:val="00CA5478"/>
    <w:rsid w:val="00CA554C"/>
    <w:rsid w:val="00CA57C1"/>
    <w:rsid w:val="00CA5A0C"/>
    <w:rsid w:val="00CA5A78"/>
    <w:rsid w:val="00CA6292"/>
    <w:rsid w:val="00CA7DAC"/>
    <w:rsid w:val="00CA7F33"/>
    <w:rsid w:val="00CB0B77"/>
    <w:rsid w:val="00CB0D2E"/>
    <w:rsid w:val="00CB1C18"/>
    <w:rsid w:val="00CB26C7"/>
    <w:rsid w:val="00CB340A"/>
    <w:rsid w:val="00CB3CA9"/>
    <w:rsid w:val="00CB611A"/>
    <w:rsid w:val="00CB684C"/>
    <w:rsid w:val="00CB7FEC"/>
    <w:rsid w:val="00CC0204"/>
    <w:rsid w:val="00CC0356"/>
    <w:rsid w:val="00CC1BB1"/>
    <w:rsid w:val="00CC1C7C"/>
    <w:rsid w:val="00CC2804"/>
    <w:rsid w:val="00CC35FB"/>
    <w:rsid w:val="00CC3A1D"/>
    <w:rsid w:val="00CC419F"/>
    <w:rsid w:val="00CC4AD9"/>
    <w:rsid w:val="00CC4C05"/>
    <w:rsid w:val="00CC50BD"/>
    <w:rsid w:val="00CC57B3"/>
    <w:rsid w:val="00CC7003"/>
    <w:rsid w:val="00CC75AA"/>
    <w:rsid w:val="00CD03A7"/>
    <w:rsid w:val="00CD083E"/>
    <w:rsid w:val="00CD0CAF"/>
    <w:rsid w:val="00CD12F0"/>
    <w:rsid w:val="00CD153E"/>
    <w:rsid w:val="00CD16D2"/>
    <w:rsid w:val="00CD1A98"/>
    <w:rsid w:val="00CD30D1"/>
    <w:rsid w:val="00CD41C8"/>
    <w:rsid w:val="00CD43CF"/>
    <w:rsid w:val="00CD45B6"/>
    <w:rsid w:val="00CD4EF2"/>
    <w:rsid w:val="00CD5401"/>
    <w:rsid w:val="00CD671A"/>
    <w:rsid w:val="00CD681F"/>
    <w:rsid w:val="00CE1E11"/>
    <w:rsid w:val="00CE2709"/>
    <w:rsid w:val="00CE28D9"/>
    <w:rsid w:val="00CE2D64"/>
    <w:rsid w:val="00CE4152"/>
    <w:rsid w:val="00CE44E8"/>
    <w:rsid w:val="00CE5269"/>
    <w:rsid w:val="00CE55C9"/>
    <w:rsid w:val="00CE5C72"/>
    <w:rsid w:val="00CE5CB7"/>
    <w:rsid w:val="00CE6198"/>
    <w:rsid w:val="00CE6364"/>
    <w:rsid w:val="00CE6E44"/>
    <w:rsid w:val="00CE7428"/>
    <w:rsid w:val="00CE74AC"/>
    <w:rsid w:val="00CE7BA1"/>
    <w:rsid w:val="00CF0138"/>
    <w:rsid w:val="00CF262C"/>
    <w:rsid w:val="00CF2D86"/>
    <w:rsid w:val="00CF3292"/>
    <w:rsid w:val="00CF3631"/>
    <w:rsid w:val="00CF3C8D"/>
    <w:rsid w:val="00CF40CE"/>
    <w:rsid w:val="00CF4D32"/>
    <w:rsid w:val="00CF5F70"/>
    <w:rsid w:val="00CF6230"/>
    <w:rsid w:val="00CF6BB6"/>
    <w:rsid w:val="00D00B54"/>
    <w:rsid w:val="00D017FC"/>
    <w:rsid w:val="00D01B96"/>
    <w:rsid w:val="00D01EB6"/>
    <w:rsid w:val="00D0226A"/>
    <w:rsid w:val="00D03570"/>
    <w:rsid w:val="00D03D59"/>
    <w:rsid w:val="00D0449D"/>
    <w:rsid w:val="00D044D7"/>
    <w:rsid w:val="00D04A7A"/>
    <w:rsid w:val="00D04DB8"/>
    <w:rsid w:val="00D10AFC"/>
    <w:rsid w:val="00D11BD7"/>
    <w:rsid w:val="00D1279F"/>
    <w:rsid w:val="00D12E14"/>
    <w:rsid w:val="00D13147"/>
    <w:rsid w:val="00D132CB"/>
    <w:rsid w:val="00D13413"/>
    <w:rsid w:val="00D13533"/>
    <w:rsid w:val="00D13921"/>
    <w:rsid w:val="00D13E29"/>
    <w:rsid w:val="00D14192"/>
    <w:rsid w:val="00D14D44"/>
    <w:rsid w:val="00D14F30"/>
    <w:rsid w:val="00D15427"/>
    <w:rsid w:val="00D16B25"/>
    <w:rsid w:val="00D17AEB"/>
    <w:rsid w:val="00D2093D"/>
    <w:rsid w:val="00D21BDD"/>
    <w:rsid w:val="00D21D4A"/>
    <w:rsid w:val="00D2247A"/>
    <w:rsid w:val="00D239CE"/>
    <w:rsid w:val="00D23C9B"/>
    <w:rsid w:val="00D242B1"/>
    <w:rsid w:val="00D24E1C"/>
    <w:rsid w:val="00D25BF2"/>
    <w:rsid w:val="00D262B9"/>
    <w:rsid w:val="00D27689"/>
    <w:rsid w:val="00D303AA"/>
    <w:rsid w:val="00D3217B"/>
    <w:rsid w:val="00D32307"/>
    <w:rsid w:val="00D32408"/>
    <w:rsid w:val="00D328B2"/>
    <w:rsid w:val="00D33579"/>
    <w:rsid w:val="00D33E70"/>
    <w:rsid w:val="00D340EE"/>
    <w:rsid w:val="00D352D3"/>
    <w:rsid w:val="00D35442"/>
    <w:rsid w:val="00D36157"/>
    <w:rsid w:val="00D36164"/>
    <w:rsid w:val="00D37173"/>
    <w:rsid w:val="00D3720F"/>
    <w:rsid w:val="00D37428"/>
    <w:rsid w:val="00D37F67"/>
    <w:rsid w:val="00D41650"/>
    <w:rsid w:val="00D41E51"/>
    <w:rsid w:val="00D42797"/>
    <w:rsid w:val="00D431F4"/>
    <w:rsid w:val="00D437EA"/>
    <w:rsid w:val="00D43D21"/>
    <w:rsid w:val="00D44263"/>
    <w:rsid w:val="00D4454E"/>
    <w:rsid w:val="00D4553A"/>
    <w:rsid w:val="00D456D3"/>
    <w:rsid w:val="00D46031"/>
    <w:rsid w:val="00D463FF"/>
    <w:rsid w:val="00D4649B"/>
    <w:rsid w:val="00D464A4"/>
    <w:rsid w:val="00D46D7B"/>
    <w:rsid w:val="00D46DDF"/>
    <w:rsid w:val="00D50CAB"/>
    <w:rsid w:val="00D50D30"/>
    <w:rsid w:val="00D530B2"/>
    <w:rsid w:val="00D53355"/>
    <w:rsid w:val="00D53DC2"/>
    <w:rsid w:val="00D54D8D"/>
    <w:rsid w:val="00D55560"/>
    <w:rsid w:val="00D5561D"/>
    <w:rsid w:val="00D55A9F"/>
    <w:rsid w:val="00D55C62"/>
    <w:rsid w:val="00D56126"/>
    <w:rsid w:val="00D561BF"/>
    <w:rsid w:val="00D56F0E"/>
    <w:rsid w:val="00D5715A"/>
    <w:rsid w:val="00D57393"/>
    <w:rsid w:val="00D57708"/>
    <w:rsid w:val="00D605E2"/>
    <w:rsid w:val="00D60F1A"/>
    <w:rsid w:val="00D61DC6"/>
    <w:rsid w:val="00D61E30"/>
    <w:rsid w:val="00D61F34"/>
    <w:rsid w:val="00D621AF"/>
    <w:rsid w:val="00D62E66"/>
    <w:rsid w:val="00D64CFC"/>
    <w:rsid w:val="00D65258"/>
    <w:rsid w:val="00D67682"/>
    <w:rsid w:val="00D71687"/>
    <w:rsid w:val="00D71C6D"/>
    <w:rsid w:val="00D728BD"/>
    <w:rsid w:val="00D72CAB"/>
    <w:rsid w:val="00D739E2"/>
    <w:rsid w:val="00D73BCB"/>
    <w:rsid w:val="00D73CB6"/>
    <w:rsid w:val="00D74110"/>
    <w:rsid w:val="00D74813"/>
    <w:rsid w:val="00D74AE3"/>
    <w:rsid w:val="00D74C8A"/>
    <w:rsid w:val="00D7584A"/>
    <w:rsid w:val="00D77172"/>
    <w:rsid w:val="00D803D3"/>
    <w:rsid w:val="00D8083B"/>
    <w:rsid w:val="00D80CA9"/>
    <w:rsid w:val="00D825C3"/>
    <w:rsid w:val="00D832BE"/>
    <w:rsid w:val="00D84EEF"/>
    <w:rsid w:val="00D858C9"/>
    <w:rsid w:val="00D85981"/>
    <w:rsid w:val="00D85CEF"/>
    <w:rsid w:val="00D8677A"/>
    <w:rsid w:val="00D872A7"/>
    <w:rsid w:val="00D872F2"/>
    <w:rsid w:val="00D874CA"/>
    <w:rsid w:val="00D87B5D"/>
    <w:rsid w:val="00D87FF0"/>
    <w:rsid w:val="00D902ED"/>
    <w:rsid w:val="00D917DC"/>
    <w:rsid w:val="00D9291A"/>
    <w:rsid w:val="00D93344"/>
    <w:rsid w:val="00D93D4C"/>
    <w:rsid w:val="00D941E0"/>
    <w:rsid w:val="00D94DB4"/>
    <w:rsid w:val="00D95EEF"/>
    <w:rsid w:val="00D9602D"/>
    <w:rsid w:val="00D965ED"/>
    <w:rsid w:val="00D96658"/>
    <w:rsid w:val="00D970FF"/>
    <w:rsid w:val="00D9711C"/>
    <w:rsid w:val="00D97273"/>
    <w:rsid w:val="00D9779F"/>
    <w:rsid w:val="00D9797A"/>
    <w:rsid w:val="00D97DEC"/>
    <w:rsid w:val="00DA05F6"/>
    <w:rsid w:val="00DA06FE"/>
    <w:rsid w:val="00DA0A19"/>
    <w:rsid w:val="00DA1C5A"/>
    <w:rsid w:val="00DA2F49"/>
    <w:rsid w:val="00DA30BC"/>
    <w:rsid w:val="00DA313E"/>
    <w:rsid w:val="00DA38A5"/>
    <w:rsid w:val="00DA3995"/>
    <w:rsid w:val="00DA3CDE"/>
    <w:rsid w:val="00DA5589"/>
    <w:rsid w:val="00DA5737"/>
    <w:rsid w:val="00DA69C2"/>
    <w:rsid w:val="00DA6D70"/>
    <w:rsid w:val="00DB0209"/>
    <w:rsid w:val="00DB0599"/>
    <w:rsid w:val="00DB112D"/>
    <w:rsid w:val="00DB1C53"/>
    <w:rsid w:val="00DB415B"/>
    <w:rsid w:val="00DB418E"/>
    <w:rsid w:val="00DB4205"/>
    <w:rsid w:val="00DB430E"/>
    <w:rsid w:val="00DB50FA"/>
    <w:rsid w:val="00DB5B77"/>
    <w:rsid w:val="00DB6050"/>
    <w:rsid w:val="00DB67DB"/>
    <w:rsid w:val="00DB70E6"/>
    <w:rsid w:val="00DC0162"/>
    <w:rsid w:val="00DC04E7"/>
    <w:rsid w:val="00DC05DA"/>
    <w:rsid w:val="00DC0C90"/>
    <w:rsid w:val="00DC2BF1"/>
    <w:rsid w:val="00DC2C34"/>
    <w:rsid w:val="00DC3C3C"/>
    <w:rsid w:val="00DC4007"/>
    <w:rsid w:val="00DC435D"/>
    <w:rsid w:val="00DC4DF9"/>
    <w:rsid w:val="00DC5565"/>
    <w:rsid w:val="00DC5C9B"/>
    <w:rsid w:val="00DC5EB7"/>
    <w:rsid w:val="00DC61FD"/>
    <w:rsid w:val="00DC6CBD"/>
    <w:rsid w:val="00DC748F"/>
    <w:rsid w:val="00DC78C3"/>
    <w:rsid w:val="00DC7F6B"/>
    <w:rsid w:val="00DD002D"/>
    <w:rsid w:val="00DD0986"/>
    <w:rsid w:val="00DD10AB"/>
    <w:rsid w:val="00DD1A2A"/>
    <w:rsid w:val="00DD1BC4"/>
    <w:rsid w:val="00DD1FD9"/>
    <w:rsid w:val="00DD2772"/>
    <w:rsid w:val="00DD2934"/>
    <w:rsid w:val="00DD2D74"/>
    <w:rsid w:val="00DD408A"/>
    <w:rsid w:val="00DD62D0"/>
    <w:rsid w:val="00DD658A"/>
    <w:rsid w:val="00DE0C68"/>
    <w:rsid w:val="00DE15B5"/>
    <w:rsid w:val="00DE201C"/>
    <w:rsid w:val="00DE2C87"/>
    <w:rsid w:val="00DE30FA"/>
    <w:rsid w:val="00DE459A"/>
    <w:rsid w:val="00DE5623"/>
    <w:rsid w:val="00DE632C"/>
    <w:rsid w:val="00DE7B88"/>
    <w:rsid w:val="00DF0731"/>
    <w:rsid w:val="00DF1DBA"/>
    <w:rsid w:val="00DF27DA"/>
    <w:rsid w:val="00DF2DA6"/>
    <w:rsid w:val="00DF2FB0"/>
    <w:rsid w:val="00DF426D"/>
    <w:rsid w:val="00DF4DBE"/>
    <w:rsid w:val="00DF5C8C"/>
    <w:rsid w:val="00DF5DF3"/>
    <w:rsid w:val="00DF67BE"/>
    <w:rsid w:val="00DF686C"/>
    <w:rsid w:val="00DF6D5E"/>
    <w:rsid w:val="00DF7331"/>
    <w:rsid w:val="00DF75B2"/>
    <w:rsid w:val="00DF7E90"/>
    <w:rsid w:val="00E01549"/>
    <w:rsid w:val="00E01F09"/>
    <w:rsid w:val="00E02D62"/>
    <w:rsid w:val="00E05A39"/>
    <w:rsid w:val="00E062E7"/>
    <w:rsid w:val="00E0716B"/>
    <w:rsid w:val="00E100F4"/>
    <w:rsid w:val="00E11426"/>
    <w:rsid w:val="00E1337B"/>
    <w:rsid w:val="00E1410A"/>
    <w:rsid w:val="00E142E4"/>
    <w:rsid w:val="00E1478C"/>
    <w:rsid w:val="00E166F8"/>
    <w:rsid w:val="00E16DCA"/>
    <w:rsid w:val="00E17195"/>
    <w:rsid w:val="00E20888"/>
    <w:rsid w:val="00E208E7"/>
    <w:rsid w:val="00E21DDA"/>
    <w:rsid w:val="00E22107"/>
    <w:rsid w:val="00E22517"/>
    <w:rsid w:val="00E2258D"/>
    <w:rsid w:val="00E2299D"/>
    <w:rsid w:val="00E25118"/>
    <w:rsid w:val="00E256EC"/>
    <w:rsid w:val="00E260ED"/>
    <w:rsid w:val="00E2717E"/>
    <w:rsid w:val="00E27E9F"/>
    <w:rsid w:val="00E27F00"/>
    <w:rsid w:val="00E30D11"/>
    <w:rsid w:val="00E3157E"/>
    <w:rsid w:val="00E31E88"/>
    <w:rsid w:val="00E31EED"/>
    <w:rsid w:val="00E333D7"/>
    <w:rsid w:val="00E337F5"/>
    <w:rsid w:val="00E33DED"/>
    <w:rsid w:val="00E34637"/>
    <w:rsid w:val="00E34A28"/>
    <w:rsid w:val="00E34CDA"/>
    <w:rsid w:val="00E351AF"/>
    <w:rsid w:val="00E35B09"/>
    <w:rsid w:val="00E37CF6"/>
    <w:rsid w:val="00E40311"/>
    <w:rsid w:val="00E40820"/>
    <w:rsid w:val="00E43EC0"/>
    <w:rsid w:val="00E45419"/>
    <w:rsid w:val="00E456DF"/>
    <w:rsid w:val="00E458D5"/>
    <w:rsid w:val="00E4658F"/>
    <w:rsid w:val="00E4677D"/>
    <w:rsid w:val="00E47A31"/>
    <w:rsid w:val="00E50F67"/>
    <w:rsid w:val="00E52456"/>
    <w:rsid w:val="00E527E3"/>
    <w:rsid w:val="00E53894"/>
    <w:rsid w:val="00E53980"/>
    <w:rsid w:val="00E5464B"/>
    <w:rsid w:val="00E54A67"/>
    <w:rsid w:val="00E55398"/>
    <w:rsid w:val="00E55B39"/>
    <w:rsid w:val="00E55C9A"/>
    <w:rsid w:val="00E5652C"/>
    <w:rsid w:val="00E569D6"/>
    <w:rsid w:val="00E57BA2"/>
    <w:rsid w:val="00E60659"/>
    <w:rsid w:val="00E61C0D"/>
    <w:rsid w:val="00E6203E"/>
    <w:rsid w:val="00E626C0"/>
    <w:rsid w:val="00E62E04"/>
    <w:rsid w:val="00E63005"/>
    <w:rsid w:val="00E63EB4"/>
    <w:rsid w:val="00E64DB0"/>
    <w:rsid w:val="00E65927"/>
    <w:rsid w:val="00E65BEA"/>
    <w:rsid w:val="00E65DD7"/>
    <w:rsid w:val="00E66160"/>
    <w:rsid w:val="00E66C83"/>
    <w:rsid w:val="00E6709A"/>
    <w:rsid w:val="00E67219"/>
    <w:rsid w:val="00E70329"/>
    <w:rsid w:val="00E709D7"/>
    <w:rsid w:val="00E71329"/>
    <w:rsid w:val="00E72DBD"/>
    <w:rsid w:val="00E746AA"/>
    <w:rsid w:val="00E74AB4"/>
    <w:rsid w:val="00E76DE4"/>
    <w:rsid w:val="00E77477"/>
    <w:rsid w:val="00E77584"/>
    <w:rsid w:val="00E77CC9"/>
    <w:rsid w:val="00E802C3"/>
    <w:rsid w:val="00E81196"/>
    <w:rsid w:val="00E8363B"/>
    <w:rsid w:val="00E83D25"/>
    <w:rsid w:val="00E83DE5"/>
    <w:rsid w:val="00E84966"/>
    <w:rsid w:val="00E84C3D"/>
    <w:rsid w:val="00E84D74"/>
    <w:rsid w:val="00E90B4E"/>
    <w:rsid w:val="00E920A7"/>
    <w:rsid w:val="00E922F1"/>
    <w:rsid w:val="00E92383"/>
    <w:rsid w:val="00E92495"/>
    <w:rsid w:val="00E9278D"/>
    <w:rsid w:val="00E93558"/>
    <w:rsid w:val="00E93D3F"/>
    <w:rsid w:val="00E946F7"/>
    <w:rsid w:val="00E955CB"/>
    <w:rsid w:val="00E960D7"/>
    <w:rsid w:val="00E97966"/>
    <w:rsid w:val="00EA02FE"/>
    <w:rsid w:val="00EA046E"/>
    <w:rsid w:val="00EA1B3A"/>
    <w:rsid w:val="00EA2109"/>
    <w:rsid w:val="00EA236F"/>
    <w:rsid w:val="00EA250D"/>
    <w:rsid w:val="00EA38AC"/>
    <w:rsid w:val="00EA3E4A"/>
    <w:rsid w:val="00EA41FE"/>
    <w:rsid w:val="00EA4B11"/>
    <w:rsid w:val="00EA52D3"/>
    <w:rsid w:val="00EA5429"/>
    <w:rsid w:val="00EA571A"/>
    <w:rsid w:val="00EA5C3E"/>
    <w:rsid w:val="00EA5D7C"/>
    <w:rsid w:val="00EA6AAA"/>
    <w:rsid w:val="00EA6C77"/>
    <w:rsid w:val="00EB0119"/>
    <w:rsid w:val="00EB09FD"/>
    <w:rsid w:val="00EB1256"/>
    <w:rsid w:val="00EB1337"/>
    <w:rsid w:val="00EB25CB"/>
    <w:rsid w:val="00EB397F"/>
    <w:rsid w:val="00EB51A5"/>
    <w:rsid w:val="00EB570A"/>
    <w:rsid w:val="00EB5E3B"/>
    <w:rsid w:val="00EB5EBF"/>
    <w:rsid w:val="00EB5F1F"/>
    <w:rsid w:val="00EB652E"/>
    <w:rsid w:val="00EB7602"/>
    <w:rsid w:val="00EB79D8"/>
    <w:rsid w:val="00EB7A29"/>
    <w:rsid w:val="00EC1E32"/>
    <w:rsid w:val="00EC2870"/>
    <w:rsid w:val="00EC2BF2"/>
    <w:rsid w:val="00EC30AF"/>
    <w:rsid w:val="00EC35CF"/>
    <w:rsid w:val="00EC525F"/>
    <w:rsid w:val="00EC61CB"/>
    <w:rsid w:val="00EC6E03"/>
    <w:rsid w:val="00EC707E"/>
    <w:rsid w:val="00EC70F8"/>
    <w:rsid w:val="00EC7A58"/>
    <w:rsid w:val="00EC7AE6"/>
    <w:rsid w:val="00ED0BFA"/>
    <w:rsid w:val="00ED197D"/>
    <w:rsid w:val="00ED28AA"/>
    <w:rsid w:val="00ED29E7"/>
    <w:rsid w:val="00ED361E"/>
    <w:rsid w:val="00ED3745"/>
    <w:rsid w:val="00ED3D8D"/>
    <w:rsid w:val="00ED48F1"/>
    <w:rsid w:val="00ED4D42"/>
    <w:rsid w:val="00ED4D4E"/>
    <w:rsid w:val="00ED738C"/>
    <w:rsid w:val="00ED744C"/>
    <w:rsid w:val="00ED75F5"/>
    <w:rsid w:val="00EE0C77"/>
    <w:rsid w:val="00EE0D9B"/>
    <w:rsid w:val="00EE0E90"/>
    <w:rsid w:val="00EE18A6"/>
    <w:rsid w:val="00EE1985"/>
    <w:rsid w:val="00EE1CE8"/>
    <w:rsid w:val="00EE3C2A"/>
    <w:rsid w:val="00EE46CA"/>
    <w:rsid w:val="00EE4ADE"/>
    <w:rsid w:val="00EE4BC7"/>
    <w:rsid w:val="00EE4E54"/>
    <w:rsid w:val="00EE5F0F"/>
    <w:rsid w:val="00EE6582"/>
    <w:rsid w:val="00EE7487"/>
    <w:rsid w:val="00EE7D14"/>
    <w:rsid w:val="00EF0E39"/>
    <w:rsid w:val="00EF1EC0"/>
    <w:rsid w:val="00EF2346"/>
    <w:rsid w:val="00EF2437"/>
    <w:rsid w:val="00EF2579"/>
    <w:rsid w:val="00EF28D9"/>
    <w:rsid w:val="00EF2978"/>
    <w:rsid w:val="00EF35EF"/>
    <w:rsid w:val="00EF3D64"/>
    <w:rsid w:val="00EF4334"/>
    <w:rsid w:val="00EF50C7"/>
    <w:rsid w:val="00EF53C7"/>
    <w:rsid w:val="00EF59AF"/>
    <w:rsid w:val="00EF6254"/>
    <w:rsid w:val="00EF7B8C"/>
    <w:rsid w:val="00F0005F"/>
    <w:rsid w:val="00F01230"/>
    <w:rsid w:val="00F0170B"/>
    <w:rsid w:val="00F019C0"/>
    <w:rsid w:val="00F02D8A"/>
    <w:rsid w:val="00F02F50"/>
    <w:rsid w:val="00F0393D"/>
    <w:rsid w:val="00F039BC"/>
    <w:rsid w:val="00F04502"/>
    <w:rsid w:val="00F04897"/>
    <w:rsid w:val="00F04A3C"/>
    <w:rsid w:val="00F04D55"/>
    <w:rsid w:val="00F05539"/>
    <w:rsid w:val="00F0566A"/>
    <w:rsid w:val="00F05F0B"/>
    <w:rsid w:val="00F065CD"/>
    <w:rsid w:val="00F065D3"/>
    <w:rsid w:val="00F06C89"/>
    <w:rsid w:val="00F07786"/>
    <w:rsid w:val="00F07D75"/>
    <w:rsid w:val="00F10485"/>
    <w:rsid w:val="00F10997"/>
    <w:rsid w:val="00F10D2A"/>
    <w:rsid w:val="00F10F06"/>
    <w:rsid w:val="00F111B2"/>
    <w:rsid w:val="00F1243E"/>
    <w:rsid w:val="00F12880"/>
    <w:rsid w:val="00F12B7B"/>
    <w:rsid w:val="00F12C63"/>
    <w:rsid w:val="00F12EED"/>
    <w:rsid w:val="00F13B22"/>
    <w:rsid w:val="00F13B8C"/>
    <w:rsid w:val="00F14289"/>
    <w:rsid w:val="00F14A1F"/>
    <w:rsid w:val="00F14E82"/>
    <w:rsid w:val="00F16B48"/>
    <w:rsid w:val="00F17E41"/>
    <w:rsid w:val="00F214BB"/>
    <w:rsid w:val="00F2275C"/>
    <w:rsid w:val="00F23B4A"/>
    <w:rsid w:val="00F2424C"/>
    <w:rsid w:val="00F2535A"/>
    <w:rsid w:val="00F25629"/>
    <w:rsid w:val="00F263EA"/>
    <w:rsid w:val="00F270E9"/>
    <w:rsid w:val="00F300A9"/>
    <w:rsid w:val="00F30F44"/>
    <w:rsid w:val="00F31DB6"/>
    <w:rsid w:val="00F3461E"/>
    <w:rsid w:val="00F34C8C"/>
    <w:rsid w:val="00F35BCB"/>
    <w:rsid w:val="00F36AED"/>
    <w:rsid w:val="00F3795E"/>
    <w:rsid w:val="00F400B7"/>
    <w:rsid w:val="00F401FA"/>
    <w:rsid w:val="00F405C6"/>
    <w:rsid w:val="00F412A0"/>
    <w:rsid w:val="00F4157F"/>
    <w:rsid w:val="00F41BE2"/>
    <w:rsid w:val="00F436BB"/>
    <w:rsid w:val="00F46845"/>
    <w:rsid w:val="00F469FA"/>
    <w:rsid w:val="00F47145"/>
    <w:rsid w:val="00F473F4"/>
    <w:rsid w:val="00F47A58"/>
    <w:rsid w:val="00F50492"/>
    <w:rsid w:val="00F51018"/>
    <w:rsid w:val="00F5183B"/>
    <w:rsid w:val="00F545BF"/>
    <w:rsid w:val="00F549E4"/>
    <w:rsid w:val="00F54AA9"/>
    <w:rsid w:val="00F54D59"/>
    <w:rsid w:val="00F56148"/>
    <w:rsid w:val="00F565FF"/>
    <w:rsid w:val="00F56D31"/>
    <w:rsid w:val="00F57561"/>
    <w:rsid w:val="00F5764F"/>
    <w:rsid w:val="00F602DD"/>
    <w:rsid w:val="00F60CB7"/>
    <w:rsid w:val="00F61C7D"/>
    <w:rsid w:val="00F62125"/>
    <w:rsid w:val="00F62EF6"/>
    <w:rsid w:val="00F636D2"/>
    <w:rsid w:val="00F63C38"/>
    <w:rsid w:val="00F6452D"/>
    <w:rsid w:val="00F6501A"/>
    <w:rsid w:val="00F65555"/>
    <w:rsid w:val="00F66256"/>
    <w:rsid w:val="00F70ABA"/>
    <w:rsid w:val="00F71B56"/>
    <w:rsid w:val="00F71CAF"/>
    <w:rsid w:val="00F71E25"/>
    <w:rsid w:val="00F71F21"/>
    <w:rsid w:val="00F72F32"/>
    <w:rsid w:val="00F73F8E"/>
    <w:rsid w:val="00F751E6"/>
    <w:rsid w:val="00F75215"/>
    <w:rsid w:val="00F775A2"/>
    <w:rsid w:val="00F775CD"/>
    <w:rsid w:val="00F77D26"/>
    <w:rsid w:val="00F77EC7"/>
    <w:rsid w:val="00F801AF"/>
    <w:rsid w:val="00F82A8B"/>
    <w:rsid w:val="00F832C8"/>
    <w:rsid w:val="00F8403E"/>
    <w:rsid w:val="00F8418F"/>
    <w:rsid w:val="00F849E2"/>
    <w:rsid w:val="00F84FD7"/>
    <w:rsid w:val="00F855A9"/>
    <w:rsid w:val="00F86536"/>
    <w:rsid w:val="00F86A64"/>
    <w:rsid w:val="00F8727F"/>
    <w:rsid w:val="00F873B3"/>
    <w:rsid w:val="00F91029"/>
    <w:rsid w:val="00F91C87"/>
    <w:rsid w:val="00F931C8"/>
    <w:rsid w:val="00F93C59"/>
    <w:rsid w:val="00F9447B"/>
    <w:rsid w:val="00F95BA6"/>
    <w:rsid w:val="00F9625E"/>
    <w:rsid w:val="00F96D7B"/>
    <w:rsid w:val="00F96F29"/>
    <w:rsid w:val="00F9786B"/>
    <w:rsid w:val="00FA0ADA"/>
    <w:rsid w:val="00FA213C"/>
    <w:rsid w:val="00FA2191"/>
    <w:rsid w:val="00FA325F"/>
    <w:rsid w:val="00FA33FE"/>
    <w:rsid w:val="00FA3DDE"/>
    <w:rsid w:val="00FA40E0"/>
    <w:rsid w:val="00FA4216"/>
    <w:rsid w:val="00FA42B9"/>
    <w:rsid w:val="00FA4655"/>
    <w:rsid w:val="00FA6BF3"/>
    <w:rsid w:val="00FA6EEA"/>
    <w:rsid w:val="00FA755A"/>
    <w:rsid w:val="00FB013B"/>
    <w:rsid w:val="00FB207C"/>
    <w:rsid w:val="00FB25DE"/>
    <w:rsid w:val="00FB26C9"/>
    <w:rsid w:val="00FB2B0F"/>
    <w:rsid w:val="00FB3187"/>
    <w:rsid w:val="00FB3FB8"/>
    <w:rsid w:val="00FB4102"/>
    <w:rsid w:val="00FB4BE1"/>
    <w:rsid w:val="00FB4C6C"/>
    <w:rsid w:val="00FB4F6B"/>
    <w:rsid w:val="00FB59DD"/>
    <w:rsid w:val="00FB5FA8"/>
    <w:rsid w:val="00FB5FE1"/>
    <w:rsid w:val="00FB6C26"/>
    <w:rsid w:val="00FB7978"/>
    <w:rsid w:val="00FB79FF"/>
    <w:rsid w:val="00FB7B19"/>
    <w:rsid w:val="00FC06DD"/>
    <w:rsid w:val="00FC0E8D"/>
    <w:rsid w:val="00FC2A18"/>
    <w:rsid w:val="00FC2C4A"/>
    <w:rsid w:val="00FC2EC6"/>
    <w:rsid w:val="00FC3F1A"/>
    <w:rsid w:val="00FC46EF"/>
    <w:rsid w:val="00FC4F13"/>
    <w:rsid w:val="00FC5154"/>
    <w:rsid w:val="00FC553E"/>
    <w:rsid w:val="00FC61A6"/>
    <w:rsid w:val="00FC645A"/>
    <w:rsid w:val="00FC6C8C"/>
    <w:rsid w:val="00FC7E7F"/>
    <w:rsid w:val="00FD0381"/>
    <w:rsid w:val="00FD0C6F"/>
    <w:rsid w:val="00FD1014"/>
    <w:rsid w:val="00FD1AC3"/>
    <w:rsid w:val="00FD1EC1"/>
    <w:rsid w:val="00FD31B3"/>
    <w:rsid w:val="00FD32B6"/>
    <w:rsid w:val="00FD3BAA"/>
    <w:rsid w:val="00FD4204"/>
    <w:rsid w:val="00FD46FA"/>
    <w:rsid w:val="00FD4B0A"/>
    <w:rsid w:val="00FD6FBC"/>
    <w:rsid w:val="00FD70F0"/>
    <w:rsid w:val="00FD78F3"/>
    <w:rsid w:val="00FD795B"/>
    <w:rsid w:val="00FE07AF"/>
    <w:rsid w:val="00FE0FBE"/>
    <w:rsid w:val="00FE1410"/>
    <w:rsid w:val="00FE2081"/>
    <w:rsid w:val="00FE21C5"/>
    <w:rsid w:val="00FE2756"/>
    <w:rsid w:val="00FE2BC0"/>
    <w:rsid w:val="00FE2C67"/>
    <w:rsid w:val="00FE39C2"/>
    <w:rsid w:val="00FE53E5"/>
    <w:rsid w:val="00FE5E94"/>
    <w:rsid w:val="00FE72FE"/>
    <w:rsid w:val="00FE79BF"/>
    <w:rsid w:val="00FE7AEF"/>
    <w:rsid w:val="00FF19D7"/>
    <w:rsid w:val="00FF3370"/>
    <w:rsid w:val="00FF38F5"/>
    <w:rsid w:val="00FF3CCB"/>
    <w:rsid w:val="00FF475B"/>
    <w:rsid w:val="00FF52EC"/>
    <w:rsid w:val="00FF57B5"/>
    <w:rsid w:val="00FF694C"/>
    <w:rsid w:val="00FF7833"/>
    <w:rsid w:val="012A02A5"/>
    <w:rsid w:val="01FEE508"/>
    <w:rsid w:val="0215E9F7"/>
    <w:rsid w:val="027F5380"/>
    <w:rsid w:val="028E7A8F"/>
    <w:rsid w:val="032F50BD"/>
    <w:rsid w:val="0380F38C"/>
    <w:rsid w:val="03B38C11"/>
    <w:rsid w:val="04420579"/>
    <w:rsid w:val="04D2D363"/>
    <w:rsid w:val="054D76DB"/>
    <w:rsid w:val="05D26FC9"/>
    <w:rsid w:val="0636FF60"/>
    <w:rsid w:val="0645E6BF"/>
    <w:rsid w:val="06883694"/>
    <w:rsid w:val="069324F2"/>
    <w:rsid w:val="0743CE61"/>
    <w:rsid w:val="075CB55B"/>
    <w:rsid w:val="079F7D3B"/>
    <w:rsid w:val="08E26039"/>
    <w:rsid w:val="094B2966"/>
    <w:rsid w:val="097821C0"/>
    <w:rsid w:val="09A9C088"/>
    <w:rsid w:val="09C810C7"/>
    <w:rsid w:val="09CB7B2D"/>
    <w:rsid w:val="0A5C2223"/>
    <w:rsid w:val="0A644B8B"/>
    <w:rsid w:val="0A7C7F04"/>
    <w:rsid w:val="0B0AA423"/>
    <w:rsid w:val="0B665D3C"/>
    <w:rsid w:val="0B7C488A"/>
    <w:rsid w:val="0C1846E2"/>
    <w:rsid w:val="0C31807B"/>
    <w:rsid w:val="0C4FFE46"/>
    <w:rsid w:val="0CF929AF"/>
    <w:rsid w:val="0E93799B"/>
    <w:rsid w:val="0EB536E4"/>
    <w:rsid w:val="0EF621E1"/>
    <w:rsid w:val="0F9123B8"/>
    <w:rsid w:val="0F956C3A"/>
    <w:rsid w:val="0FB2F691"/>
    <w:rsid w:val="0FBB7DF0"/>
    <w:rsid w:val="0FC85773"/>
    <w:rsid w:val="0FCD43A6"/>
    <w:rsid w:val="10195D83"/>
    <w:rsid w:val="103ECD22"/>
    <w:rsid w:val="1066A229"/>
    <w:rsid w:val="110994A7"/>
    <w:rsid w:val="1133739A"/>
    <w:rsid w:val="1147BC99"/>
    <w:rsid w:val="11DCCD67"/>
    <w:rsid w:val="123683B8"/>
    <w:rsid w:val="1273AE59"/>
    <w:rsid w:val="13048494"/>
    <w:rsid w:val="137B151A"/>
    <w:rsid w:val="138BCC2C"/>
    <w:rsid w:val="1487C693"/>
    <w:rsid w:val="154ED555"/>
    <w:rsid w:val="163696B5"/>
    <w:rsid w:val="1689DC17"/>
    <w:rsid w:val="16D51B63"/>
    <w:rsid w:val="173AC384"/>
    <w:rsid w:val="175E5F67"/>
    <w:rsid w:val="176234F5"/>
    <w:rsid w:val="17B0AE3D"/>
    <w:rsid w:val="17BD9586"/>
    <w:rsid w:val="17C3B048"/>
    <w:rsid w:val="17FF9616"/>
    <w:rsid w:val="1886A55E"/>
    <w:rsid w:val="1893E122"/>
    <w:rsid w:val="18E072A7"/>
    <w:rsid w:val="18F54C48"/>
    <w:rsid w:val="19F9A570"/>
    <w:rsid w:val="1A326711"/>
    <w:rsid w:val="1A3A8D50"/>
    <w:rsid w:val="1AF7DEB9"/>
    <w:rsid w:val="1B13C36B"/>
    <w:rsid w:val="1B5C4260"/>
    <w:rsid w:val="1B77D050"/>
    <w:rsid w:val="1C058A3B"/>
    <w:rsid w:val="1C57C50B"/>
    <w:rsid w:val="1C6D8820"/>
    <w:rsid w:val="1C73ED9B"/>
    <w:rsid w:val="1CAC2684"/>
    <w:rsid w:val="1CBAB9D5"/>
    <w:rsid w:val="1CC1949D"/>
    <w:rsid w:val="1CF9E3BE"/>
    <w:rsid w:val="1D1FC3A2"/>
    <w:rsid w:val="1D5AAE92"/>
    <w:rsid w:val="1D7676BA"/>
    <w:rsid w:val="1DC4A155"/>
    <w:rsid w:val="1DF35214"/>
    <w:rsid w:val="1E3D4E4A"/>
    <w:rsid w:val="1E50610C"/>
    <w:rsid w:val="1E596819"/>
    <w:rsid w:val="1EAB6DE7"/>
    <w:rsid w:val="1F123F24"/>
    <w:rsid w:val="1F2FA402"/>
    <w:rsid w:val="1F3202EE"/>
    <w:rsid w:val="1F8E17C1"/>
    <w:rsid w:val="205F03D4"/>
    <w:rsid w:val="208ECC15"/>
    <w:rsid w:val="20936E12"/>
    <w:rsid w:val="20945229"/>
    <w:rsid w:val="20982D1A"/>
    <w:rsid w:val="20D18568"/>
    <w:rsid w:val="2135FB68"/>
    <w:rsid w:val="21424D02"/>
    <w:rsid w:val="21E86D9F"/>
    <w:rsid w:val="224FFDB1"/>
    <w:rsid w:val="227BC4D8"/>
    <w:rsid w:val="2306629A"/>
    <w:rsid w:val="233C9A30"/>
    <w:rsid w:val="2363DB08"/>
    <w:rsid w:val="24A53A9C"/>
    <w:rsid w:val="24B6FBC7"/>
    <w:rsid w:val="24B88F5F"/>
    <w:rsid w:val="24C110BE"/>
    <w:rsid w:val="24CC40FE"/>
    <w:rsid w:val="2515AC8D"/>
    <w:rsid w:val="25315904"/>
    <w:rsid w:val="255832B3"/>
    <w:rsid w:val="259CF460"/>
    <w:rsid w:val="25A450A3"/>
    <w:rsid w:val="2626434B"/>
    <w:rsid w:val="26589DB8"/>
    <w:rsid w:val="2784AE3B"/>
    <w:rsid w:val="2802EF8F"/>
    <w:rsid w:val="28102177"/>
    <w:rsid w:val="28B303D1"/>
    <w:rsid w:val="2907A741"/>
    <w:rsid w:val="29581FA6"/>
    <w:rsid w:val="2A03C9C8"/>
    <w:rsid w:val="2A2039DF"/>
    <w:rsid w:val="2A5430DC"/>
    <w:rsid w:val="2AA8E545"/>
    <w:rsid w:val="2ACF0525"/>
    <w:rsid w:val="2AE6CA25"/>
    <w:rsid w:val="2B12C3E7"/>
    <w:rsid w:val="2B4E7644"/>
    <w:rsid w:val="2B826B8B"/>
    <w:rsid w:val="2CB2C517"/>
    <w:rsid w:val="2CD93D21"/>
    <w:rsid w:val="2D5349A7"/>
    <w:rsid w:val="2D56AE44"/>
    <w:rsid w:val="2D5DC1BF"/>
    <w:rsid w:val="2E3D48DE"/>
    <w:rsid w:val="2E607241"/>
    <w:rsid w:val="2F061F72"/>
    <w:rsid w:val="2F44ED04"/>
    <w:rsid w:val="2F5AC2CE"/>
    <w:rsid w:val="306F0CD2"/>
    <w:rsid w:val="307580A0"/>
    <w:rsid w:val="30873BA5"/>
    <w:rsid w:val="30A012B7"/>
    <w:rsid w:val="30DF7FE6"/>
    <w:rsid w:val="30F0020B"/>
    <w:rsid w:val="312FE7FC"/>
    <w:rsid w:val="316873AA"/>
    <w:rsid w:val="320E6475"/>
    <w:rsid w:val="3212DF58"/>
    <w:rsid w:val="324A6234"/>
    <w:rsid w:val="327DF048"/>
    <w:rsid w:val="3290AEE9"/>
    <w:rsid w:val="32DA74C8"/>
    <w:rsid w:val="32FA8DD0"/>
    <w:rsid w:val="32FBEBCA"/>
    <w:rsid w:val="3413313A"/>
    <w:rsid w:val="344A7D37"/>
    <w:rsid w:val="3456FEC0"/>
    <w:rsid w:val="358B12A3"/>
    <w:rsid w:val="35F6D96C"/>
    <w:rsid w:val="3606DD7D"/>
    <w:rsid w:val="362F2844"/>
    <w:rsid w:val="365C3B39"/>
    <w:rsid w:val="36C5B693"/>
    <w:rsid w:val="3733CC37"/>
    <w:rsid w:val="3753CFE0"/>
    <w:rsid w:val="37762C99"/>
    <w:rsid w:val="38A30419"/>
    <w:rsid w:val="38C03C68"/>
    <w:rsid w:val="3993878E"/>
    <w:rsid w:val="3A49EC98"/>
    <w:rsid w:val="3B3AFEB1"/>
    <w:rsid w:val="3B70390B"/>
    <w:rsid w:val="3B71DF75"/>
    <w:rsid w:val="3BCABAAF"/>
    <w:rsid w:val="3C5F0272"/>
    <w:rsid w:val="3C7A81D5"/>
    <w:rsid w:val="3D2E5FCA"/>
    <w:rsid w:val="3DF539CC"/>
    <w:rsid w:val="3E616843"/>
    <w:rsid w:val="3E952EEE"/>
    <w:rsid w:val="3E95A128"/>
    <w:rsid w:val="3EA0A796"/>
    <w:rsid w:val="3EC9A424"/>
    <w:rsid w:val="3ED9BD00"/>
    <w:rsid w:val="3EE0DD87"/>
    <w:rsid w:val="3FCE1BBE"/>
    <w:rsid w:val="40A34ED5"/>
    <w:rsid w:val="41AAC5F5"/>
    <w:rsid w:val="41D2F5C8"/>
    <w:rsid w:val="4210FAA0"/>
    <w:rsid w:val="4211F4C2"/>
    <w:rsid w:val="42BC6440"/>
    <w:rsid w:val="42EF75AF"/>
    <w:rsid w:val="43097BFB"/>
    <w:rsid w:val="43B5C06E"/>
    <w:rsid w:val="43F2D30D"/>
    <w:rsid w:val="43F50288"/>
    <w:rsid w:val="44223439"/>
    <w:rsid w:val="443F7975"/>
    <w:rsid w:val="44F5AEC4"/>
    <w:rsid w:val="453F225B"/>
    <w:rsid w:val="454698B3"/>
    <w:rsid w:val="45721443"/>
    <w:rsid w:val="45861E1C"/>
    <w:rsid w:val="4608921C"/>
    <w:rsid w:val="46338CBD"/>
    <w:rsid w:val="46ED90D4"/>
    <w:rsid w:val="4704C5B2"/>
    <w:rsid w:val="479D6E7D"/>
    <w:rsid w:val="47CBDC17"/>
    <w:rsid w:val="482BE0E0"/>
    <w:rsid w:val="48CDBF57"/>
    <w:rsid w:val="49271703"/>
    <w:rsid w:val="494D4C9D"/>
    <w:rsid w:val="4954738E"/>
    <w:rsid w:val="4955EB3C"/>
    <w:rsid w:val="49BAD326"/>
    <w:rsid w:val="49E23CDC"/>
    <w:rsid w:val="4A20DC63"/>
    <w:rsid w:val="4B3EC1B7"/>
    <w:rsid w:val="4B5268DD"/>
    <w:rsid w:val="4BC731B8"/>
    <w:rsid w:val="4C080364"/>
    <w:rsid w:val="4C2699AE"/>
    <w:rsid w:val="4CBEAF54"/>
    <w:rsid w:val="4CD2A1A0"/>
    <w:rsid w:val="4D0F3C6E"/>
    <w:rsid w:val="4D27D586"/>
    <w:rsid w:val="4D79E7B5"/>
    <w:rsid w:val="4D8BFE41"/>
    <w:rsid w:val="4D8CE175"/>
    <w:rsid w:val="4DDDDB69"/>
    <w:rsid w:val="4DF84971"/>
    <w:rsid w:val="4EFC7C88"/>
    <w:rsid w:val="4F2A7954"/>
    <w:rsid w:val="4F369940"/>
    <w:rsid w:val="4F9052AC"/>
    <w:rsid w:val="4FF0481E"/>
    <w:rsid w:val="505F2C37"/>
    <w:rsid w:val="506B7CAC"/>
    <w:rsid w:val="50D3FB7B"/>
    <w:rsid w:val="51B6C2DA"/>
    <w:rsid w:val="5217B264"/>
    <w:rsid w:val="52A8D16D"/>
    <w:rsid w:val="52FDC295"/>
    <w:rsid w:val="53D16CDA"/>
    <w:rsid w:val="53EC473B"/>
    <w:rsid w:val="54093A6D"/>
    <w:rsid w:val="5537D857"/>
    <w:rsid w:val="555D410F"/>
    <w:rsid w:val="559E54A5"/>
    <w:rsid w:val="56518B92"/>
    <w:rsid w:val="565317C2"/>
    <w:rsid w:val="56AA2560"/>
    <w:rsid w:val="56FCA7EC"/>
    <w:rsid w:val="57133E09"/>
    <w:rsid w:val="5729FC47"/>
    <w:rsid w:val="5795C072"/>
    <w:rsid w:val="57B2085D"/>
    <w:rsid w:val="58186B46"/>
    <w:rsid w:val="586F0597"/>
    <w:rsid w:val="5894807A"/>
    <w:rsid w:val="59483C80"/>
    <w:rsid w:val="5951D57B"/>
    <w:rsid w:val="59F3FC26"/>
    <w:rsid w:val="5A6A42FE"/>
    <w:rsid w:val="5AF29A38"/>
    <w:rsid w:val="5C3FEE02"/>
    <w:rsid w:val="5C58BD3F"/>
    <w:rsid w:val="5CAB383E"/>
    <w:rsid w:val="5CB402F3"/>
    <w:rsid w:val="5DC952DE"/>
    <w:rsid w:val="5F55F61A"/>
    <w:rsid w:val="5FED8C82"/>
    <w:rsid w:val="5FF82365"/>
    <w:rsid w:val="60462ACA"/>
    <w:rsid w:val="6085D75B"/>
    <w:rsid w:val="609EDF87"/>
    <w:rsid w:val="610B2D6A"/>
    <w:rsid w:val="614EE988"/>
    <w:rsid w:val="61DAF21D"/>
    <w:rsid w:val="61F11EC2"/>
    <w:rsid w:val="61F9ADBD"/>
    <w:rsid w:val="624C93C6"/>
    <w:rsid w:val="625CEF04"/>
    <w:rsid w:val="6276033C"/>
    <w:rsid w:val="627829A2"/>
    <w:rsid w:val="62A2FEE6"/>
    <w:rsid w:val="62DE4B82"/>
    <w:rsid w:val="6390D0F5"/>
    <w:rsid w:val="63CF68FD"/>
    <w:rsid w:val="64792136"/>
    <w:rsid w:val="65154955"/>
    <w:rsid w:val="656BCFAB"/>
    <w:rsid w:val="658ECF53"/>
    <w:rsid w:val="65C8AE1F"/>
    <w:rsid w:val="663B9A92"/>
    <w:rsid w:val="66D5F88D"/>
    <w:rsid w:val="66FF4185"/>
    <w:rsid w:val="6764A4EE"/>
    <w:rsid w:val="679B4FDE"/>
    <w:rsid w:val="6881CD18"/>
    <w:rsid w:val="689B245C"/>
    <w:rsid w:val="68A1F9BD"/>
    <w:rsid w:val="68C4B7D7"/>
    <w:rsid w:val="68F9D62D"/>
    <w:rsid w:val="6916DBF2"/>
    <w:rsid w:val="69304184"/>
    <w:rsid w:val="693C8F73"/>
    <w:rsid w:val="697BA95E"/>
    <w:rsid w:val="69BEFE85"/>
    <w:rsid w:val="69EA5B1F"/>
    <w:rsid w:val="6AA17F53"/>
    <w:rsid w:val="6AE2F457"/>
    <w:rsid w:val="6B20E85D"/>
    <w:rsid w:val="6B9B8611"/>
    <w:rsid w:val="6CD65075"/>
    <w:rsid w:val="6D79446C"/>
    <w:rsid w:val="6E87634B"/>
    <w:rsid w:val="6EA8DC48"/>
    <w:rsid w:val="6F283BD6"/>
    <w:rsid w:val="7032E23E"/>
    <w:rsid w:val="7050774B"/>
    <w:rsid w:val="7190B9AA"/>
    <w:rsid w:val="71C3A61B"/>
    <w:rsid w:val="71F804D0"/>
    <w:rsid w:val="71FA3FE0"/>
    <w:rsid w:val="720E72E8"/>
    <w:rsid w:val="728935AA"/>
    <w:rsid w:val="73782BDF"/>
    <w:rsid w:val="738E128F"/>
    <w:rsid w:val="7396931B"/>
    <w:rsid w:val="73F93751"/>
    <w:rsid w:val="74330CCC"/>
    <w:rsid w:val="74739894"/>
    <w:rsid w:val="749F9002"/>
    <w:rsid w:val="74F0EE2C"/>
    <w:rsid w:val="755FDB49"/>
    <w:rsid w:val="75ABD122"/>
    <w:rsid w:val="75F99637"/>
    <w:rsid w:val="760A3C75"/>
    <w:rsid w:val="764CC701"/>
    <w:rsid w:val="76610656"/>
    <w:rsid w:val="76CC2785"/>
    <w:rsid w:val="76E1B569"/>
    <w:rsid w:val="7705FE2E"/>
    <w:rsid w:val="775420ED"/>
    <w:rsid w:val="777EAE58"/>
    <w:rsid w:val="77A51DED"/>
    <w:rsid w:val="77CCE8F8"/>
    <w:rsid w:val="78A77EC2"/>
    <w:rsid w:val="7912FB5D"/>
    <w:rsid w:val="79350730"/>
    <w:rsid w:val="79A6EB0F"/>
    <w:rsid w:val="79A7927C"/>
    <w:rsid w:val="79D170C0"/>
    <w:rsid w:val="79DFCC45"/>
    <w:rsid w:val="7A410E06"/>
    <w:rsid w:val="7A923539"/>
    <w:rsid w:val="7AB0C9FA"/>
    <w:rsid w:val="7B54F76C"/>
    <w:rsid w:val="7C154E15"/>
    <w:rsid w:val="7C4FFE5A"/>
    <w:rsid w:val="7CD76B65"/>
    <w:rsid w:val="7D7291D6"/>
    <w:rsid w:val="7D7618B3"/>
    <w:rsid w:val="7E051B90"/>
    <w:rsid w:val="7E9D7F37"/>
    <w:rsid w:val="7EF37330"/>
    <w:rsid w:val="7F075633"/>
    <w:rsid w:val="7F59D020"/>
    <w:rsid w:val="7F5B4F07"/>
    <w:rsid w:val="7F8D4F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A6C3A3F-5D1D-485E-9A0B-6576C8CA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4FB"/>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A97C89"/>
    <w:pPr>
      <w:keepNext/>
      <w:numPr>
        <w:numId w:val="20"/>
      </w:numPr>
      <w:outlineLvl w:val="0"/>
    </w:pPr>
    <w:rPr>
      <w:color w:val="22413A"/>
      <w:sz w:val="48"/>
    </w:rPr>
  </w:style>
  <w:style w:type="paragraph" w:styleId="Heading2">
    <w:name w:val="heading 2"/>
    <w:basedOn w:val="Normal"/>
    <w:next w:val="Normal"/>
    <w:link w:val="Heading2Char"/>
    <w:qFormat/>
    <w:rsid w:val="00AA4202"/>
    <w:pPr>
      <w:keepNext/>
      <w:numPr>
        <w:ilvl w:val="1"/>
        <w:numId w:val="20"/>
      </w:numPr>
      <w:ind w:left="357" w:hanging="357"/>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AA420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A97C89"/>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5116B9"/>
    <w:rPr>
      <w:noProof/>
    </w:rPr>
  </w:style>
  <w:style w:type="paragraph" w:customStyle="1" w:styleId="Bulletlist2">
    <w:name w:val="Bullet list 2"/>
    <w:basedOn w:val="Bulletlist1"/>
    <w:uiPriority w:val="1"/>
    <w:qFormat/>
    <w:rsid w:val="00997E4E"/>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D1279F"/>
    <w:pPr>
      <w:tabs>
        <w:tab w:val="right" w:leader="dot" w:pos="9752"/>
      </w:tabs>
    </w:pPr>
    <w:rPr>
      <w:b/>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27"/>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27"/>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 w:type="paragraph" w:styleId="Revision">
    <w:name w:val="Revision"/>
    <w:hidden/>
    <w:uiPriority w:val="99"/>
    <w:semiHidden/>
    <w:rsid w:val="009049D9"/>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C199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C1997"/>
    <w:rPr>
      <w:rFonts w:ascii="Arial" w:eastAsiaTheme="minorHAnsi" w:hAnsi="Arial" w:cstheme="minorBidi"/>
      <w:b/>
      <w:bCs/>
      <w:lang w:eastAsia="en-US" w:bidi="he-IL"/>
    </w:rPr>
  </w:style>
  <w:style w:type="character" w:styleId="FollowedHyperlink">
    <w:name w:val="FollowedHyperlink"/>
    <w:basedOn w:val="DefaultParagraphFont"/>
    <w:uiPriority w:val="99"/>
    <w:semiHidden/>
    <w:unhideWhenUsed/>
    <w:rsid w:val="002E3F66"/>
    <w:rPr>
      <w:color w:val="AA1C76" w:themeColor="followedHyperlink"/>
      <w:u w:val="single"/>
    </w:rPr>
  </w:style>
  <w:style w:type="character" w:styleId="Mention">
    <w:name w:val="Mention"/>
    <w:basedOn w:val="DefaultParagraphFont"/>
    <w:uiPriority w:val="99"/>
    <w:unhideWhenUsed/>
    <w:rsid w:val="002E3F66"/>
    <w:rPr>
      <w:color w:val="2B579A"/>
      <w:shd w:val="clear" w:color="auto" w:fill="E1DFDD"/>
    </w:rPr>
  </w:style>
  <w:style w:type="character" w:customStyle="1" w:styleId="ui-provider">
    <w:name w:val="ui-provider"/>
    <w:basedOn w:val="DefaultParagraphFont"/>
    <w:rsid w:val="00A72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1583">
      <w:bodyDiv w:val="1"/>
      <w:marLeft w:val="0"/>
      <w:marRight w:val="0"/>
      <w:marTop w:val="0"/>
      <w:marBottom w:val="0"/>
      <w:divBdr>
        <w:top w:val="none" w:sz="0" w:space="0" w:color="auto"/>
        <w:left w:val="none" w:sz="0" w:space="0" w:color="auto"/>
        <w:bottom w:val="none" w:sz="0" w:space="0" w:color="auto"/>
        <w:right w:val="none" w:sz="0" w:space="0" w:color="auto"/>
      </w:divBdr>
    </w:div>
    <w:div w:id="6372373">
      <w:bodyDiv w:val="1"/>
      <w:marLeft w:val="0"/>
      <w:marRight w:val="0"/>
      <w:marTop w:val="0"/>
      <w:marBottom w:val="0"/>
      <w:divBdr>
        <w:top w:val="none" w:sz="0" w:space="0" w:color="auto"/>
        <w:left w:val="none" w:sz="0" w:space="0" w:color="auto"/>
        <w:bottom w:val="none" w:sz="0" w:space="0" w:color="auto"/>
        <w:right w:val="none" w:sz="0" w:space="0" w:color="auto"/>
      </w:divBdr>
    </w:div>
    <w:div w:id="30568811">
      <w:bodyDiv w:val="1"/>
      <w:marLeft w:val="0"/>
      <w:marRight w:val="0"/>
      <w:marTop w:val="0"/>
      <w:marBottom w:val="0"/>
      <w:divBdr>
        <w:top w:val="none" w:sz="0" w:space="0" w:color="auto"/>
        <w:left w:val="none" w:sz="0" w:space="0" w:color="auto"/>
        <w:bottom w:val="none" w:sz="0" w:space="0" w:color="auto"/>
        <w:right w:val="none" w:sz="0" w:space="0" w:color="auto"/>
      </w:divBdr>
    </w:div>
    <w:div w:id="31269569">
      <w:bodyDiv w:val="1"/>
      <w:marLeft w:val="0"/>
      <w:marRight w:val="0"/>
      <w:marTop w:val="0"/>
      <w:marBottom w:val="0"/>
      <w:divBdr>
        <w:top w:val="none" w:sz="0" w:space="0" w:color="auto"/>
        <w:left w:val="none" w:sz="0" w:space="0" w:color="auto"/>
        <w:bottom w:val="none" w:sz="0" w:space="0" w:color="auto"/>
        <w:right w:val="none" w:sz="0" w:space="0" w:color="auto"/>
      </w:divBdr>
    </w:div>
    <w:div w:id="42290889">
      <w:bodyDiv w:val="1"/>
      <w:marLeft w:val="0"/>
      <w:marRight w:val="0"/>
      <w:marTop w:val="0"/>
      <w:marBottom w:val="0"/>
      <w:divBdr>
        <w:top w:val="none" w:sz="0" w:space="0" w:color="auto"/>
        <w:left w:val="none" w:sz="0" w:space="0" w:color="auto"/>
        <w:bottom w:val="none" w:sz="0" w:space="0" w:color="auto"/>
        <w:right w:val="none" w:sz="0" w:space="0" w:color="auto"/>
      </w:divBdr>
    </w:div>
    <w:div w:id="45494243">
      <w:bodyDiv w:val="1"/>
      <w:marLeft w:val="0"/>
      <w:marRight w:val="0"/>
      <w:marTop w:val="0"/>
      <w:marBottom w:val="0"/>
      <w:divBdr>
        <w:top w:val="none" w:sz="0" w:space="0" w:color="auto"/>
        <w:left w:val="none" w:sz="0" w:space="0" w:color="auto"/>
        <w:bottom w:val="none" w:sz="0" w:space="0" w:color="auto"/>
        <w:right w:val="none" w:sz="0" w:space="0" w:color="auto"/>
      </w:divBdr>
    </w:div>
    <w:div w:id="47803907">
      <w:bodyDiv w:val="1"/>
      <w:marLeft w:val="0"/>
      <w:marRight w:val="0"/>
      <w:marTop w:val="0"/>
      <w:marBottom w:val="0"/>
      <w:divBdr>
        <w:top w:val="none" w:sz="0" w:space="0" w:color="auto"/>
        <w:left w:val="none" w:sz="0" w:space="0" w:color="auto"/>
        <w:bottom w:val="none" w:sz="0" w:space="0" w:color="auto"/>
        <w:right w:val="none" w:sz="0" w:space="0" w:color="auto"/>
      </w:divBdr>
    </w:div>
    <w:div w:id="48189590">
      <w:bodyDiv w:val="1"/>
      <w:marLeft w:val="0"/>
      <w:marRight w:val="0"/>
      <w:marTop w:val="0"/>
      <w:marBottom w:val="0"/>
      <w:divBdr>
        <w:top w:val="none" w:sz="0" w:space="0" w:color="auto"/>
        <w:left w:val="none" w:sz="0" w:space="0" w:color="auto"/>
        <w:bottom w:val="none" w:sz="0" w:space="0" w:color="auto"/>
        <w:right w:val="none" w:sz="0" w:space="0" w:color="auto"/>
      </w:divBdr>
    </w:div>
    <w:div w:id="58603427">
      <w:bodyDiv w:val="1"/>
      <w:marLeft w:val="0"/>
      <w:marRight w:val="0"/>
      <w:marTop w:val="0"/>
      <w:marBottom w:val="0"/>
      <w:divBdr>
        <w:top w:val="none" w:sz="0" w:space="0" w:color="auto"/>
        <w:left w:val="none" w:sz="0" w:space="0" w:color="auto"/>
        <w:bottom w:val="none" w:sz="0" w:space="0" w:color="auto"/>
        <w:right w:val="none" w:sz="0" w:space="0" w:color="auto"/>
      </w:divBdr>
    </w:div>
    <w:div w:id="67310343">
      <w:bodyDiv w:val="1"/>
      <w:marLeft w:val="0"/>
      <w:marRight w:val="0"/>
      <w:marTop w:val="0"/>
      <w:marBottom w:val="0"/>
      <w:divBdr>
        <w:top w:val="none" w:sz="0" w:space="0" w:color="auto"/>
        <w:left w:val="none" w:sz="0" w:space="0" w:color="auto"/>
        <w:bottom w:val="none" w:sz="0" w:space="0" w:color="auto"/>
        <w:right w:val="none" w:sz="0" w:space="0" w:color="auto"/>
      </w:divBdr>
    </w:div>
    <w:div w:id="70590738">
      <w:bodyDiv w:val="1"/>
      <w:marLeft w:val="0"/>
      <w:marRight w:val="0"/>
      <w:marTop w:val="0"/>
      <w:marBottom w:val="0"/>
      <w:divBdr>
        <w:top w:val="none" w:sz="0" w:space="0" w:color="auto"/>
        <w:left w:val="none" w:sz="0" w:space="0" w:color="auto"/>
        <w:bottom w:val="none" w:sz="0" w:space="0" w:color="auto"/>
        <w:right w:val="none" w:sz="0" w:space="0" w:color="auto"/>
      </w:divBdr>
    </w:div>
    <w:div w:id="72513198">
      <w:bodyDiv w:val="1"/>
      <w:marLeft w:val="0"/>
      <w:marRight w:val="0"/>
      <w:marTop w:val="0"/>
      <w:marBottom w:val="0"/>
      <w:divBdr>
        <w:top w:val="none" w:sz="0" w:space="0" w:color="auto"/>
        <w:left w:val="none" w:sz="0" w:space="0" w:color="auto"/>
        <w:bottom w:val="none" w:sz="0" w:space="0" w:color="auto"/>
        <w:right w:val="none" w:sz="0" w:space="0" w:color="auto"/>
      </w:divBdr>
    </w:div>
    <w:div w:id="78672282">
      <w:bodyDiv w:val="1"/>
      <w:marLeft w:val="0"/>
      <w:marRight w:val="0"/>
      <w:marTop w:val="0"/>
      <w:marBottom w:val="0"/>
      <w:divBdr>
        <w:top w:val="none" w:sz="0" w:space="0" w:color="auto"/>
        <w:left w:val="none" w:sz="0" w:space="0" w:color="auto"/>
        <w:bottom w:val="none" w:sz="0" w:space="0" w:color="auto"/>
        <w:right w:val="none" w:sz="0" w:space="0" w:color="auto"/>
      </w:divBdr>
    </w:div>
    <w:div w:id="84425935">
      <w:bodyDiv w:val="1"/>
      <w:marLeft w:val="0"/>
      <w:marRight w:val="0"/>
      <w:marTop w:val="0"/>
      <w:marBottom w:val="0"/>
      <w:divBdr>
        <w:top w:val="none" w:sz="0" w:space="0" w:color="auto"/>
        <w:left w:val="none" w:sz="0" w:space="0" w:color="auto"/>
        <w:bottom w:val="none" w:sz="0" w:space="0" w:color="auto"/>
        <w:right w:val="none" w:sz="0" w:space="0" w:color="auto"/>
      </w:divBdr>
    </w:div>
    <w:div w:id="87897418">
      <w:bodyDiv w:val="1"/>
      <w:marLeft w:val="0"/>
      <w:marRight w:val="0"/>
      <w:marTop w:val="0"/>
      <w:marBottom w:val="0"/>
      <w:divBdr>
        <w:top w:val="none" w:sz="0" w:space="0" w:color="auto"/>
        <w:left w:val="none" w:sz="0" w:space="0" w:color="auto"/>
        <w:bottom w:val="none" w:sz="0" w:space="0" w:color="auto"/>
        <w:right w:val="none" w:sz="0" w:space="0" w:color="auto"/>
      </w:divBdr>
    </w:div>
    <w:div w:id="9000652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596595">
      <w:bodyDiv w:val="1"/>
      <w:marLeft w:val="0"/>
      <w:marRight w:val="0"/>
      <w:marTop w:val="0"/>
      <w:marBottom w:val="0"/>
      <w:divBdr>
        <w:top w:val="none" w:sz="0" w:space="0" w:color="auto"/>
        <w:left w:val="none" w:sz="0" w:space="0" w:color="auto"/>
        <w:bottom w:val="none" w:sz="0" w:space="0" w:color="auto"/>
        <w:right w:val="none" w:sz="0" w:space="0" w:color="auto"/>
      </w:divBdr>
    </w:div>
    <w:div w:id="98183793">
      <w:bodyDiv w:val="1"/>
      <w:marLeft w:val="0"/>
      <w:marRight w:val="0"/>
      <w:marTop w:val="0"/>
      <w:marBottom w:val="0"/>
      <w:divBdr>
        <w:top w:val="none" w:sz="0" w:space="0" w:color="auto"/>
        <w:left w:val="none" w:sz="0" w:space="0" w:color="auto"/>
        <w:bottom w:val="none" w:sz="0" w:space="0" w:color="auto"/>
        <w:right w:val="none" w:sz="0" w:space="0" w:color="auto"/>
      </w:divBdr>
    </w:div>
    <w:div w:id="101920023">
      <w:bodyDiv w:val="1"/>
      <w:marLeft w:val="0"/>
      <w:marRight w:val="0"/>
      <w:marTop w:val="0"/>
      <w:marBottom w:val="0"/>
      <w:divBdr>
        <w:top w:val="none" w:sz="0" w:space="0" w:color="auto"/>
        <w:left w:val="none" w:sz="0" w:space="0" w:color="auto"/>
        <w:bottom w:val="none" w:sz="0" w:space="0" w:color="auto"/>
        <w:right w:val="none" w:sz="0" w:space="0" w:color="auto"/>
      </w:divBdr>
    </w:div>
    <w:div w:id="103840886">
      <w:bodyDiv w:val="1"/>
      <w:marLeft w:val="0"/>
      <w:marRight w:val="0"/>
      <w:marTop w:val="0"/>
      <w:marBottom w:val="0"/>
      <w:divBdr>
        <w:top w:val="none" w:sz="0" w:space="0" w:color="auto"/>
        <w:left w:val="none" w:sz="0" w:space="0" w:color="auto"/>
        <w:bottom w:val="none" w:sz="0" w:space="0" w:color="auto"/>
        <w:right w:val="none" w:sz="0" w:space="0" w:color="auto"/>
      </w:divBdr>
    </w:div>
    <w:div w:id="111676494">
      <w:bodyDiv w:val="1"/>
      <w:marLeft w:val="0"/>
      <w:marRight w:val="0"/>
      <w:marTop w:val="0"/>
      <w:marBottom w:val="0"/>
      <w:divBdr>
        <w:top w:val="none" w:sz="0" w:space="0" w:color="auto"/>
        <w:left w:val="none" w:sz="0" w:space="0" w:color="auto"/>
        <w:bottom w:val="none" w:sz="0" w:space="0" w:color="auto"/>
        <w:right w:val="none" w:sz="0" w:space="0" w:color="auto"/>
      </w:divBdr>
    </w:div>
    <w:div w:id="130679497">
      <w:bodyDiv w:val="1"/>
      <w:marLeft w:val="0"/>
      <w:marRight w:val="0"/>
      <w:marTop w:val="0"/>
      <w:marBottom w:val="0"/>
      <w:divBdr>
        <w:top w:val="none" w:sz="0" w:space="0" w:color="auto"/>
        <w:left w:val="none" w:sz="0" w:space="0" w:color="auto"/>
        <w:bottom w:val="none" w:sz="0" w:space="0" w:color="auto"/>
        <w:right w:val="none" w:sz="0" w:space="0" w:color="auto"/>
      </w:divBdr>
    </w:div>
    <w:div w:id="134294527">
      <w:bodyDiv w:val="1"/>
      <w:marLeft w:val="0"/>
      <w:marRight w:val="0"/>
      <w:marTop w:val="0"/>
      <w:marBottom w:val="0"/>
      <w:divBdr>
        <w:top w:val="none" w:sz="0" w:space="0" w:color="auto"/>
        <w:left w:val="none" w:sz="0" w:space="0" w:color="auto"/>
        <w:bottom w:val="none" w:sz="0" w:space="0" w:color="auto"/>
        <w:right w:val="none" w:sz="0" w:space="0" w:color="auto"/>
      </w:divBdr>
    </w:div>
    <w:div w:id="134295926">
      <w:bodyDiv w:val="1"/>
      <w:marLeft w:val="0"/>
      <w:marRight w:val="0"/>
      <w:marTop w:val="0"/>
      <w:marBottom w:val="0"/>
      <w:divBdr>
        <w:top w:val="none" w:sz="0" w:space="0" w:color="auto"/>
        <w:left w:val="none" w:sz="0" w:space="0" w:color="auto"/>
        <w:bottom w:val="none" w:sz="0" w:space="0" w:color="auto"/>
        <w:right w:val="none" w:sz="0" w:space="0" w:color="auto"/>
      </w:divBdr>
    </w:div>
    <w:div w:id="142163371">
      <w:bodyDiv w:val="1"/>
      <w:marLeft w:val="0"/>
      <w:marRight w:val="0"/>
      <w:marTop w:val="0"/>
      <w:marBottom w:val="0"/>
      <w:divBdr>
        <w:top w:val="none" w:sz="0" w:space="0" w:color="auto"/>
        <w:left w:val="none" w:sz="0" w:space="0" w:color="auto"/>
        <w:bottom w:val="none" w:sz="0" w:space="0" w:color="auto"/>
        <w:right w:val="none" w:sz="0" w:space="0" w:color="auto"/>
      </w:divBdr>
    </w:div>
    <w:div w:id="149757238">
      <w:bodyDiv w:val="1"/>
      <w:marLeft w:val="0"/>
      <w:marRight w:val="0"/>
      <w:marTop w:val="0"/>
      <w:marBottom w:val="0"/>
      <w:divBdr>
        <w:top w:val="none" w:sz="0" w:space="0" w:color="auto"/>
        <w:left w:val="none" w:sz="0" w:space="0" w:color="auto"/>
        <w:bottom w:val="none" w:sz="0" w:space="0" w:color="auto"/>
        <w:right w:val="none" w:sz="0" w:space="0" w:color="auto"/>
      </w:divBdr>
    </w:div>
    <w:div w:id="151066250">
      <w:bodyDiv w:val="1"/>
      <w:marLeft w:val="0"/>
      <w:marRight w:val="0"/>
      <w:marTop w:val="0"/>
      <w:marBottom w:val="0"/>
      <w:divBdr>
        <w:top w:val="none" w:sz="0" w:space="0" w:color="auto"/>
        <w:left w:val="none" w:sz="0" w:space="0" w:color="auto"/>
        <w:bottom w:val="none" w:sz="0" w:space="0" w:color="auto"/>
        <w:right w:val="none" w:sz="0" w:space="0" w:color="auto"/>
      </w:divBdr>
    </w:div>
    <w:div w:id="152374824">
      <w:bodyDiv w:val="1"/>
      <w:marLeft w:val="0"/>
      <w:marRight w:val="0"/>
      <w:marTop w:val="0"/>
      <w:marBottom w:val="0"/>
      <w:divBdr>
        <w:top w:val="none" w:sz="0" w:space="0" w:color="auto"/>
        <w:left w:val="none" w:sz="0" w:space="0" w:color="auto"/>
        <w:bottom w:val="none" w:sz="0" w:space="0" w:color="auto"/>
        <w:right w:val="none" w:sz="0" w:space="0" w:color="auto"/>
      </w:divBdr>
    </w:div>
    <w:div w:id="161971559">
      <w:bodyDiv w:val="1"/>
      <w:marLeft w:val="0"/>
      <w:marRight w:val="0"/>
      <w:marTop w:val="0"/>
      <w:marBottom w:val="0"/>
      <w:divBdr>
        <w:top w:val="none" w:sz="0" w:space="0" w:color="auto"/>
        <w:left w:val="none" w:sz="0" w:space="0" w:color="auto"/>
        <w:bottom w:val="none" w:sz="0" w:space="0" w:color="auto"/>
        <w:right w:val="none" w:sz="0" w:space="0" w:color="auto"/>
      </w:divBdr>
    </w:div>
    <w:div w:id="163471046">
      <w:bodyDiv w:val="1"/>
      <w:marLeft w:val="0"/>
      <w:marRight w:val="0"/>
      <w:marTop w:val="0"/>
      <w:marBottom w:val="0"/>
      <w:divBdr>
        <w:top w:val="none" w:sz="0" w:space="0" w:color="auto"/>
        <w:left w:val="none" w:sz="0" w:space="0" w:color="auto"/>
        <w:bottom w:val="none" w:sz="0" w:space="0" w:color="auto"/>
        <w:right w:val="none" w:sz="0" w:space="0" w:color="auto"/>
      </w:divBdr>
    </w:div>
    <w:div w:id="180779277">
      <w:bodyDiv w:val="1"/>
      <w:marLeft w:val="0"/>
      <w:marRight w:val="0"/>
      <w:marTop w:val="0"/>
      <w:marBottom w:val="0"/>
      <w:divBdr>
        <w:top w:val="none" w:sz="0" w:space="0" w:color="auto"/>
        <w:left w:val="none" w:sz="0" w:space="0" w:color="auto"/>
        <w:bottom w:val="none" w:sz="0" w:space="0" w:color="auto"/>
        <w:right w:val="none" w:sz="0" w:space="0" w:color="auto"/>
      </w:divBdr>
    </w:div>
    <w:div w:id="19203437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8805743">
      <w:bodyDiv w:val="1"/>
      <w:marLeft w:val="0"/>
      <w:marRight w:val="0"/>
      <w:marTop w:val="0"/>
      <w:marBottom w:val="0"/>
      <w:divBdr>
        <w:top w:val="none" w:sz="0" w:space="0" w:color="auto"/>
        <w:left w:val="none" w:sz="0" w:space="0" w:color="auto"/>
        <w:bottom w:val="none" w:sz="0" w:space="0" w:color="auto"/>
        <w:right w:val="none" w:sz="0" w:space="0" w:color="auto"/>
      </w:divBdr>
    </w:div>
    <w:div w:id="210115873">
      <w:bodyDiv w:val="1"/>
      <w:marLeft w:val="0"/>
      <w:marRight w:val="0"/>
      <w:marTop w:val="0"/>
      <w:marBottom w:val="0"/>
      <w:divBdr>
        <w:top w:val="none" w:sz="0" w:space="0" w:color="auto"/>
        <w:left w:val="none" w:sz="0" w:space="0" w:color="auto"/>
        <w:bottom w:val="none" w:sz="0" w:space="0" w:color="auto"/>
        <w:right w:val="none" w:sz="0" w:space="0" w:color="auto"/>
      </w:divBdr>
    </w:div>
    <w:div w:id="211770019">
      <w:bodyDiv w:val="1"/>
      <w:marLeft w:val="0"/>
      <w:marRight w:val="0"/>
      <w:marTop w:val="0"/>
      <w:marBottom w:val="0"/>
      <w:divBdr>
        <w:top w:val="none" w:sz="0" w:space="0" w:color="auto"/>
        <w:left w:val="none" w:sz="0" w:space="0" w:color="auto"/>
        <w:bottom w:val="none" w:sz="0" w:space="0" w:color="auto"/>
        <w:right w:val="none" w:sz="0" w:space="0" w:color="auto"/>
      </w:divBdr>
    </w:div>
    <w:div w:id="216935577">
      <w:bodyDiv w:val="1"/>
      <w:marLeft w:val="0"/>
      <w:marRight w:val="0"/>
      <w:marTop w:val="0"/>
      <w:marBottom w:val="0"/>
      <w:divBdr>
        <w:top w:val="none" w:sz="0" w:space="0" w:color="auto"/>
        <w:left w:val="none" w:sz="0" w:space="0" w:color="auto"/>
        <w:bottom w:val="none" w:sz="0" w:space="0" w:color="auto"/>
        <w:right w:val="none" w:sz="0" w:space="0" w:color="auto"/>
      </w:divBdr>
    </w:div>
    <w:div w:id="218054455">
      <w:bodyDiv w:val="1"/>
      <w:marLeft w:val="0"/>
      <w:marRight w:val="0"/>
      <w:marTop w:val="0"/>
      <w:marBottom w:val="0"/>
      <w:divBdr>
        <w:top w:val="none" w:sz="0" w:space="0" w:color="auto"/>
        <w:left w:val="none" w:sz="0" w:space="0" w:color="auto"/>
        <w:bottom w:val="none" w:sz="0" w:space="0" w:color="auto"/>
        <w:right w:val="none" w:sz="0" w:space="0" w:color="auto"/>
      </w:divBdr>
    </w:div>
    <w:div w:id="225072664">
      <w:bodyDiv w:val="1"/>
      <w:marLeft w:val="0"/>
      <w:marRight w:val="0"/>
      <w:marTop w:val="0"/>
      <w:marBottom w:val="0"/>
      <w:divBdr>
        <w:top w:val="none" w:sz="0" w:space="0" w:color="auto"/>
        <w:left w:val="none" w:sz="0" w:space="0" w:color="auto"/>
        <w:bottom w:val="none" w:sz="0" w:space="0" w:color="auto"/>
        <w:right w:val="none" w:sz="0" w:space="0" w:color="auto"/>
      </w:divBdr>
    </w:div>
    <w:div w:id="227737821">
      <w:bodyDiv w:val="1"/>
      <w:marLeft w:val="0"/>
      <w:marRight w:val="0"/>
      <w:marTop w:val="0"/>
      <w:marBottom w:val="0"/>
      <w:divBdr>
        <w:top w:val="none" w:sz="0" w:space="0" w:color="auto"/>
        <w:left w:val="none" w:sz="0" w:space="0" w:color="auto"/>
        <w:bottom w:val="none" w:sz="0" w:space="0" w:color="auto"/>
        <w:right w:val="none" w:sz="0" w:space="0" w:color="auto"/>
      </w:divBdr>
    </w:div>
    <w:div w:id="238640148">
      <w:bodyDiv w:val="1"/>
      <w:marLeft w:val="0"/>
      <w:marRight w:val="0"/>
      <w:marTop w:val="0"/>
      <w:marBottom w:val="0"/>
      <w:divBdr>
        <w:top w:val="none" w:sz="0" w:space="0" w:color="auto"/>
        <w:left w:val="none" w:sz="0" w:space="0" w:color="auto"/>
        <w:bottom w:val="none" w:sz="0" w:space="0" w:color="auto"/>
        <w:right w:val="none" w:sz="0" w:space="0" w:color="auto"/>
      </w:divBdr>
    </w:div>
    <w:div w:id="242645197">
      <w:bodyDiv w:val="1"/>
      <w:marLeft w:val="0"/>
      <w:marRight w:val="0"/>
      <w:marTop w:val="0"/>
      <w:marBottom w:val="0"/>
      <w:divBdr>
        <w:top w:val="none" w:sz="0" w:space="0" w:color="auto"/>
        <w:left w:val="none" w:sz="0" w:space="0" w:color="auto"/>
        <w:bottom w:val="none" w:sz="0" w:space="0" w:color="auto"/>
        <w:right w:val="none" w:sz="0" w:space="0" w:color="auto"/>
      </w:divBdr>
    </w:div>
    <w:div w:id="245850289">
      <w:bodyDiv w:val="1"/>
      <w:marLeft w:val="0"/>
      <w:marRight w:val="0"/>
      <w:marTop w:val="0"/>
      <w:marBottom w:val="0"/>
      <w:divBdr>
        <w:top w:val="none" w:sz="0" w:space="0" w:color="auto"/>
        <w:left w:val="none" w:sz="0" w:space="0" w:color="auto"/>
        <w:bottom w:val="none" w:sz="0" w:space="0" w:color="auto"/>
        <w:right w:val="none" w:sz="0" w:space="0" w:color="auto"/>
      </w:divBdr>
    </w:div>
    <w:div w:id="247815600">
      <w:bodyDiv w:val="1"/>
      <w:marLeft w:val="0"/>
      <w:marRight w:val="0"/>
      <w:marTop w:val="0"/>
      <w:marBottom w:val="0"/>
      <w:divBdr>
        <w:top w:val="none" w:sz="0" w:space="0" w:color="auto"/>
        <w:left w:val="none" w:sz="0" w:space="0" w:color="auto"/>
        <w:bottom w:val="none" w:sz="0" w:space="0" w:color="auto"/>
        <w:right w:val="none" w:sz="0" w:space="0" w:color="auto"/>
      </w:divBdr>
    </w:div>
    <w:div w:id="249125802">
      <w:bodyDiv w:val="1"/>
      <w:marLeft w:val="0"/>
      <w:marRight w:val="0"/>
      <w:marTop w:val="0"/>
      <w:marBottom w:val="0"/>
      <w:divBdr>
        <w:top w:val="none" w:sz="0" w:space="0" w:color="auto"/>
        <w:left w:val="none" w:sz="0" w:space="0" w:color="auto"/>
        <w:bottom w:val="none" w:sz="0" w:space="0" w:color="auto"/>
        <w:right w:val="none" w:sz="0" w:space="0" w:color="auto"/>
      </w:divBdr>
    </w:div>
    <w:div w:id="253365082">
      <w:bodyDiv w:val="1"/>
      <w:marLeft w:val="0"/>
      <w:marRight w:val="0"/>
      <w:marTop w:val="0"/>
      <w:marBottom w:val="0"/>
      <w:divBdr>
        <w:top w:val="none" w:sz="0" w:space="0" w:color="auto"/>
        <w:left w:val="none" w:sz="0" w:space="0" w:color="auto"/>
        <w:bottom w:val="none" w:sz="0" w:space="0" w:color="auto"/>
        <w:right w:val="none" w:sz="0" w:space="0" w:color="auto"/>
      </w:divBdr>
    </w:div>
    <w:div w:id="253904037">
      <w:bodyDiv w:val="1"/>
      <w:marLeft w:val="0"/>
      <w:marRight w:val="0"/>
      <w:marTop w:val="0"/>
      <w:marBottom w:val="0"/>
      <w:divBdr>
        <w:top w:val="none" w:sz="0" w:space="0" w:color="auto"/>
        <w:left w:val="none" w:sz="0" w:space="0" w:color="auto"/>
        <w:bottom w:val="none" w:sz="0" w:space="0" w:color="auto"/>
        <w:right w:val="none" w:sz="0" w:space="0" w:color="auto"/>
      </w:divBdr>
    </w:div>
    <w:div w:id="256907074">
      <w:bodyDiv w:val="1"/>
      <w:marLeft w:val="0"/>
      <w:marRight w:val="0"/>
      <w:marTop w:val="0"/>
      <w:marBottom w:val="0"/>
      <w:divBdr>
        <w:top w:val="none" w:sz="0" w:space="0" w:color="auto"/>
        <w:left w:val="none" w:sz="0" w:space="0" w:color="auto"/>
        <w:bottom w:val="none" w:sz="0" w:space="0" w:color="auto"/>
        <w:right w:val="none" w:sz="0" w:space="0" w:color="auto"/>
      </w:divBdr>
    </w:div>
    <w:div w:id="259069917">
      <w:bodyDiv w:val="1"/>
      <w:marLeft w:val="0"/>
      <w:marRight w:val="0"/>
      <w:marTop w:val="0"/>
      <w:marBottom w:val="0"/>
      <w:divBdr>
        <w:top w:val="none" w:sz="0" w:space="0" w:color="auto"/>
        <w:left w:val="none" w:sz="0" w:space="0" w:color="auto"/>
        <w:bottom w:val="none" w:sz="0" w:space="0" w:color="auto"/>
        <w:right w:val="none" w:sz="0" w:space="0" w:color="auto"/>
      </w:divBdr>
    </w:div>
    <w:div w:id="261499947">
      <w:bodyDiv w:val="1"/>
      <w:marLeft w:val="0"/>
      <w:marRight w:val="0"/>
      <w:marTop w:val="0"/>
      <w:marBottom w:val="0"/>
      <w:divBdr>
        <w:top w:val="none" w:sz="0" w:space="0" w:color="auto"/>
        <w:left w:val="none" w:sz="0" w:space="0" w:color="auto"/>
        <w:bottom w:val="none" w:sz="0" w:space="0" w:color="auto"/>
        <w:right w:val="none" w:sz="0" w:space="0" w:color="auto"/>
      </w:divBdr>
    </w:div>
    <w:div w:id="271671035">
      <w:bodyDiv w:val="1"/>
      <w:marLeft w:val="0"/>
      <w:marRight w:val="0"/>
      <w:marTop w:val="0"/>
      <w:marBottom w:val="0"/>
      <w:divBdr>
        <w:top w:val="none" w:sz="0" w:space="0" w:color="auto"/>
        <w:left w:val="none" w:sz="0" w:space="0" w:color="auto"/>
        <w:bottom w:val="none" w:sz="0" w:space="0" w:color="auto"/>
        <w:right w:val="none" w:sz="0" w:space="0" w:color="auto"/>
      </w:divBdr>
    </w:div>
    <w:div w:id="301886819">
      <w:bodyDiv w:val="1"/>
      <w:marLeft w:val="0"/>
      <w:marRight w:val="0"/>
      <w:marTop w:val="0"/>
      <w:marBottom w:val="0"/>
      <w:divBdr>
        <w:top w:val="none" w:sz="0" w:space="0" w:color="auto"/>
        <w:left w:val="none" w:sz="0" w:space="0" w:color="auto"/>
        <w:bottom w:val="none" w:sz="0" w:space="0" w:color="auto"/>
        <w:right w:val="none" w:sz="0" w:space="0" w:color="auto"/>
      </w:divBdr>
    </w:div>
    <w:div w:id="304629908">
      <w:bodyDiv w:val="1"/>
      <w:marLeft w:val="0"/>
      <w:marRight w:val="0"/>
      <w:marTop w:val="0"/>
      <w:marBottom w:val="0"/>
      <w:divBdr>
        <w:top w:val="none" w:sz="0" w:space="0" w:color="auto"/>
        <w:left w:val="none" w:sz="0" w:space="0" w:color="auto"/>
        <w:bottom w:val="none" w:sz="0" w:space="0" w:color="auto"/>
        <w:right w:val="none" w:sz="0" w:space="0" w:color="auto"/>
      </w:divBdr>
    </w:div>
    <w:div w:id="306402541">
      <w:bodyDiv w:val="1"/>
      <w:marLeft w:val="0"/>
      <w:marRight w:val="0"/>
      <w:marTop w:val="0"/>
      <w:marBottom w:val="0"/>
      <w:divBdr>
        <w:top w:val="none" w:sz="0" w:space="0" w:color="auto"/>
        <w:left w:val="none" w:sz="0" w:space="0" w:color="auto"/>
        <w:bottom w:val="none" w:sz="0" w:space="0" w:color="auto"/>
        <w:right w:val="none" w:sz="0" w:space="0" w:color="auto"/>
      </w:divBdr>
    </w:div>
    <w:div w:id="306518602">
      <w:bodyDiv w:val="1"/>
      <w:marLeft w:val="0"/>
      <w:marRight w:val="0"/>
      <w:marTop w:val="0"/>
      <w:marBottom w:val="0"/>
      <w:divBdr>
        <w:top w:val="none" w:sz="0" w:space="0" w:color="auto"/>
        <w:left w:val="none" w:sz="0" w:space="0" w:color="auto"/>
        <w:bottom w:val="none" w:sz="0" w:space="0" w:color="auto"/>
        <w:right w:val="none" w:sz="0" w:space="0" w:color="auto"/>
      </w:divBdr>
    </w:div>
    <w:div w:id="308487754">
      <w:bodyDiv w:val="1"/>
      <w:marLeft w:val="0"/>
      <w:marRight w:val="0"/>
      <w:marTop w:val="0"/>
      <w:marBottom w:val="0"/>
      <w:divBdr>
        <w:top w:val="none" w:sz="0" w:space="0" w:color="auto"/>
        <w:left w:val="none" w:sz="0" w:space="0" w:color="auto"/>
        <w:bottom w:val="none" w:sz="0" w:space="0" w:color="auto"/>
        <w:right w:val="none" w:sz="0" w:space="0" w:color="auto"/>
      </w:divBdr>
    </w:div>
    <w:div w:id="31556952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427932">
      <w:bodyDiv w:val="1"/>
      <w:marLeft w:val="0"/>
      <w:marRight w:val="0"/>
      <w:marTop w:val="0"/>
      <w:marBottom w:val="0"/>
      <w:divBdr>
        <w:top w:val="none" w:sz="0" w:space="0" w:color="auto"/>
        <w:left w:val="none" w:sz="0" w:space="0" w:color="auto"/>
        <w:bottom w:val="none" w:sz="0" w:space="0" w:color="auto"/>
        <w:right w:val="none" w:sz="0" w:space="0" w:color="auto"/>
      </w:divBdr>
    </w:div>
    <w:div w:id="342321859">
      <w:bodyDiv w:val="1"/>
      <w:marLeft w:val="0"/>
      <w:marRight w:val="0"/>
      <w:marTop w:val="0"/>
      <w:marBottom w:val="0"/>
      <w:divBdr>
        <w:top w:val="none" w:sz="0" w:space="0" w:color="auto"/>
        <w:left w:val="none" w:sz="0" w:space="0" w:color="auto"/>
        <w:bottom w:val="none" w:sz="0" w:space="0" w:color="auto"/>
        <w:right w:val="none" w:sz="0" w:space="0" w:color="auto"/>
      </w:divBdr>
    </w:div>
    <w:div w:id="347097673">
      <w:bodyDiv w:val="1"/>
      <w:marLeft w:val="0"/>
      <w:marRight w:val="0"/>
      <w:marTop w:val="0"/>
      <w:marBottom w:val="0"/>
      <w:divBdr>
        <w:top w:val="none" w:sz="0" w:space="0" w:color="auto"/>
        <w:left w:val="none" w:sz="0" w:space="0" w:color="auto"/>
        <w:bottom w:val="none" w:sz="0" w:space="0" w:color="auto"/>
        <w:right w:val="none" w:sz="0" w:space="0" w:color="auto"/>
      </w:divBdr>
    </w:div>
    <w:div w:id="349114281">
      <w:bodyDiv w:val="1"/>
      <w:marLeft w:val="0"/>
      <w:marRight w:val="0"/>
      <w:marTop w:val="0"/>
      <w:marBottom w:val="0"/>
      <w:divBdr>
        <w:top w:val="none" w:sz="0" w:space="0" w:color="auto"/>
        <w:left w:val="none" w:sz="0" w:space="0" w:color="auto"/>
        <w:bottom w:val="none" w:sz="0" w:space="0" w:color="auto"/>
        <w:right w:val="none" w:sz="0" w:space="0" w:color="auto"/>
      </w:divBdr>
    </w:div>
    <w:div w:id="350303626">
      <w:bodyDiv w:val="1"/>
      <w:marLeft w:val="0"/>
      <w:marRight w:val="0"/>
      <w:marTop w:val="0"/>
      <w:marBottom w:val="0"/>
      <w:divBdr>
        <w:top w:val="none" w:sz="0" w:space="0" w:color="auto"/>
        <w:left w:val="none" w:sz="0" w:space="0" w:color="auto"/>
        <w:bottom w:val="none" w:sz="0" w:space="0" w:color="auto"/>
        <w:right w:val="none" w:sz="0" w:space="0" w:color="auto"/>
      </w:divBdr>
    </w:div>
    <w:div w:id="359092342">
      <w:bodyDiv w:val="1"/>
      <w:marLeft w:val="0"/>
      <w:marRight w:val="0"/>
      <w:marTop w:val="0"/>
      <w:marBottom w:val="0"/>
      <w:divBdr>
        <w:top w:val="none" w:sz="0" w:space="0" w:color="auto"/>
        <w:left w:val="none" w:sz="0" w:space="0" w:color="auto"/>
        <w:bottom w:val="none" w:sz="0" w:space="0" w:color="auto"/>
        <w:right w:val="none" w:sz="0" w:space="0" w:color="auto"/>
      </w:divBdr>
    </w:div>
    <w:div w:id="362443602">
      <w:bodyDiv w:val="1"/>
      <w:marLeft w:val="0"/>
      <w:marRight w:val="0"/>
      <w:marTop w:val="0"/>
      <w:marBottom w:val="0"/>
      <w:divBdr>
        <w:top w:val="none" w:sz="0" w:space="0" w:color="auto"/>
        <w:left w:val="none" w:sz="0" w:space="0" w:color="auto"/>
        <w:bottom w:val="none" w:sz="0" w:space="0" w:color="auto"/>
        <w:right w:val="none" w:sz="0" w:space="0" w:color="auto"/>
      </w:divBdr>
    </w:div>
    <w:div w:id="363553625">
      <w:bodyDiv w:val="1"/>
      <w:marLeft w:val="0"/>
      <w:marRight w:val="0"/>
      <w:marTop w:val="0"/>
      <w:marBottom w:val="0"/>
      <w:divBdr>
        <w:top w:val="none" w:sz="0" w:space="0" w:color="auto"/>
        <w:left w:val="none" w:sz="0" w:space="0" w:color="auto"/>
        <w:bottom w:val="none" w:sz="0" w:space="0" w:color="auto"/>
        <w:right w:val="none" w:sz="0" w:space="0" w:color="auto"/>
      </w:divBdr>
    </w:div>
    <w:div w:id="382754038">
      <w:bodyDiv w:val="1"/>
      <w:marLeft w:val="0"/>
      <w:marRight w:val="0"/>
      <w:marTop w:val="0"/>
      <w:marBottom w:val="0"/>
      <w:divBdr>
        <w:top w:val="none" w:sz="0" w:space="0" w:color="auto"/>
        <w:left w:val="none" w:sz="0" w:space="0" w:color="auto"/>
        <w:bottom w:val="none" w:sz="0" w:space="0" w:color="auto"/>
        <w:right w:val="none" w:sz="0" w:space="0" w:color="auto"/>
      </w:divBdr>
    </w:div>
    <w:div w:id="389618633">
      <w:bodyDiv w:val="1"/>
      <w:marLeft w:val="0"/>
      <w:marRight w:val="0"/>
      <w:marTop w:val="0"/>
      <w:marBottom w:val="0"/>
      <w:divBdr>
        <w:top w:val="none" w:sz="0" w:space="0" w:color="auto"/>
        <w:left w:val="none" w:sz="0" w:space="0" w:color="auto"/>
        <w:bottom w:val="none" w:sz="0" w:space="0" w:color="auto"/>
        <w:right w:val="none" w:sz="0" w:space="0" w:color="auto"/>
      </w:divBdr>
    </w:div>
    <w:div w:id="400057388">
      <w:bodyDiv w:val="1"/>
      <w:marLeft w:val="0"/>
      <w:marRight w:val="0"/>
      <w:marTop w:val="0"/>
      <w:marBottom w:val="0"/>
      <w:divBdr>
        <w:top w:val="none" w:sz="0" w:space="0" w:color="auto"/>
        <w:left w:val="none" w:sz="0" w:space="0" w:color="auto"/>
        <w:bottom w:val="none" w:sz="0" w:space="0" w:color="auto"/>
        <w:right w:val="none" w:sz="0" w:space="0" w:color="auto"/>
      </w:divBdr>
    </w:div>
    <w:div w:id="401755676">
      <w:bodyDiv w:val="1"/>
      <w:marLeft w:val="0"/>
      <w:marRight w:val="0"/>
      <w:marTop w:val="0"/>
      <w:marBottom w:val="0"/>
      <w:divBdr>
        <w:top w:val="none" w:sz="0" w:space="0" w:color="auto"/>
        <w:left w:val="none" w:sz="0" w:space="0" w:color="auto"/>
        <w:bottom w:val="none" w:sz="0" w:space="0" w:color="auto"/>
        <w:right w:val="none" w:sz="0" w:space="0" w:color="auto"/>
      </w:divBdr>
    </w:div>
    <w:div w:id="401872764">
      <w:bodyDiv w:val="1"/>
      <w:marLeft w:val="0"/>
      <w:marRight w:val="0"/>
      <w:marTop w:val="0"/>
      <w:marBottom w:val="0"/>
      <w:divBdr>
        <w:top w:val="none" w:sz="0" w:space="0" w:color="auto"/>
        <w:left w:val="none" w:sz="0" w:space="0" w:color="auto"/>
        <w:bottom w:val="none" w:sz="0" w:space="0" w:color="auto"/>
        <w:right w:val="none" w:sz="0" w:space="0" w:color="auto"/>
      </w:divBdr>
    </w:div>
    <w:div w:id="409083228">
      <w:bodyDiv w:val="1"/>
      <w:marLeft w:val="0"/>
      <w:marRight w:val="0"/>
      <w:marTop w:val="0"/>
      <w:marBottom w:val="0"/>
      <w:divBdr>
        <w:top w:val="none" w:sz="0" w:space="0" w:color="auto"/>
        <w:left w:val="none" w:sz="0" w:space="0" w:color="auto"/>
        <w:bottom w:val="none" w:sz="0" w:space="0" w:color="auto"/>
        <w:right w:val="none" w:sz="0" w:space="0" w:color="auto"/>
      </w:divBdr>
    </w:div>
    <w:div w:id="412510854">
      <w:bodyDiv w:val="1"/>
      <w:marLeft w:val="0"/>
      <w:marRight w:val="0"/>
      <w:marTop w:val="0"/>
      <w:marBottom w:val="0"/>
      <w:divBdr>
        <w:top w:val="none" w:sz="0" w:space="0" w:color="auto"/>
        <w:left w:val="none" w:sz="0" w:space="0" w:color="auto"/>
        <w:bottom w:val="none" w:sz="0" w:space="0" w:color="auto"/>
        <w:right w:val="none" w:sz="0" w:space="0" w:color="auto"/>
      </w:divBdr>
    </w:div>
    <w:div w:id="414521736">
      <w:bodyDiv w:val="1"/>
      <w:marLeft w:val="0"/>
      <w:marRight w:val="0"/>
      <w:marTop w:val="0"/>
      <w:marBottom w:val="0"/>
      <w:divBdr>
        <w:top w:val="none" w:sz="0" w:space="0" w:color="auto"/>
        <w:left w:val="none" w:sz="0" w:space="0" w:color="auto"/>
        <w:bottom w:val="none" w:sz="0" w:space="0" w:color="auto"/>
        <w:right w:val="none" w:sz="0" w:space="0" w:color="auto"/>
      </w:divBdr>
    </w:div>
    <w:div w:id="415515861">
      <w:bodyDiv w:val="1"/>
      <w:marLeft w:val="0"/>
      <w:marRight w:val="0"/>
      <w:marTop w:val="0"/>
      <w:marBottom w:val="0"/>
      <w:divBdr>
        <w:top w:val="none" w:sz="0" w:space="0" w:color="auto"/>
        <w:left w:val="none" w:sz="0" w:space="0" w:color="auto"/>
        <w:bottom w:val="none" w:sz="0" w:space="0" w:color="auto"/>
        <w:right w:val="none" w:sz="0" w:space="0" w:color="auto"/>
      </w:divBdr>
    </w:div>
    <w:div w:id="423499084">
      <w:bodyDiv w:val="1"/>
      <w:marLeft w:val="0"/>
      <w:marRight w:val="0"/>
      <w:marTop w:val="0"/>
      <w:marBottom w:val="0"/>
      <w:divBdr>
        <w:top w:val="none" w:sz="0" w:space="0" w:color="auto"/>
        <w:left w:val="none" w:sz="0" w:space="0" w:color="auto"/>
        <w:bottom w:val="none" w:sz="0" w:space="0" w:color="auto"/>
        <w:right w:val="none" w:sz="0" w:space="0" w:color="auto"/>
      </w:divBdr>
    </w:div>
    <w:div w:id="434400034">
      <w:bodyDiv w:val="1"/>
      <w:marLeft w:val="0"/>
      <w:marRight w:val="0"/>
      <w:marTop w:val="0"/>
      <w:marBottom w:val="0"/>
      <w:divBdr>
        <w:top w:val="none" w:sz="0" w:space="0" w:color="auto"/>
        <w:left w:val="none" w:sz="0" w:space="0" w:color="auto"/>
        <w:bottom w:val="none" w:sz="0" w:space="0" w:color="auto"/>
        <w:right w:val="none" w:sz="0" w:space="0" w:color="auto"/>
      </w:divBdr>
    </w:div>
    <w:div w:id="439493678">
      <w:bodyDiv w:val="1"/>
      <w:marLeft w:val="0"/>
      <w:marRight w:val="0"/>
      <w:marTop w:val="0"/>
      <w:marBottom w:val="0"/>
      <w:divBdr>
        <w:top w:val="none" w:sz="0" w:space="0" w:color="auto"/>
        <w:left w:val="none" w:sz="0" w:space="0" w:color="auto"/>
        <w:bottom w:val="none" w:sz="0" w:space="0" w:color="auto"/>
        <w:right w:val="none" w:sz="0" w:space="0" w:color="auto"/>
      </w:divBdr>
    </w:div>
    <w:div w:id="44493196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9767541">
      <w:bodyDiv w:val="1"/>
      <w:marLeft w:val="0"/>
      <w:marRight w:val="0"/>
      <w:marTop w:val="0"/>
      <w:marBottom w:val="0"/>
      <w:divBdr>
        <w:top w:val="none" w:sz="0" w:space="0" w:color="auto"/>
        <w:left w:val="none" w:sz="0" w:space="0" w:color="auto"/>
        <w:bottom w:val="none" w:sz="0" w:space="0" w:color="auto"/>
        <w:right w:val="none" w:sz="0" w:space="0" w:color="auto"/>
      </w:divBdr>
    </w:div>
    <w:div w:id="485170590">
      <w:bodyDiv w:val="1"/>
      <w:marLeft w:val="0"/>
      <w:marRight w:val="0"/>
      <w:marTop w:val="0"/>
      <w:marBottom w:val="0"/>
      <w:divBdr>
        <w:top w:val="none" w:sz="0" w:space="0" w:color="auto"/>
        <w:left w:val="none" w:sz="0" w:space="0" w:color="auto"/>
        <w:bottom w:val="none" w:sz="0" w:space="0" w:color="auto"/>
        <w:right w:val="none" w:sz="0" w:space="0" w:color="auto"/>
      </w:divBdr>
    </w:div>
    <w:div w:id="486629835">
      <w:bodyDiv w:val="1"/>
      <w:marLeft w:val="0"/>
      <w:marRight w:val="0"/>
      <w:marTop w:val="0"/>
      <w:marBottom w:val="0"/>
      <w:divBdr>
        <w:top w:val="none" w:sz="0" w:space="0" w:color="auto"/>
        <w:left w:val="none" w:sz="0" w:space="0" w:color="auto"/>
        <w:bottom w:val="none" w:sz="0" w:space="0" w:color="auto"/>
        <w:right w:val="none" w:sz="0" w:space="0" w:color="auto"/>
      </w:divBdr>
    </w:div>
    <w:div w:id="490802321">
      <w:bodyDiv w:val="1"/>
      <w:marLeft w:val="0"/>
      <w:marRight w:val="0"/>
      <w:marTop w:val="0"/>
      <w:marBottom w:val="0"/>
      <w:divBdr>
        <w:top w:val="none" w:sz="0" w:space="0" w:color="auto"/>
        <w:left w:val="none" w:sz="0" w:space="0" w:color="auto"/>
        <w:bottom w:val="none" w:sz="0" w:space="0" w:color="auto"/>
        <w:right w:val="none" w:sz="0" w:space="0" w:color="auto"/>
      </w:divBdr>
    </w:div>
    <w:div w:id="514000815">
      <w:bodyDiv w:val="1"/>
      <w:marLeft w:val="0"/>
      <w:marRight w:val="0"/>
      <w:marTop w:val="0"/>
      <w:marBottom w:val="0"/>
      <w:divBdr>
        <w:top w:val="none" w:sz="0" w:space="0" w:color="auto"/>
        <w:left w:val="none" w:sz="0" w:space="0" w:color="auto"/>
        <w:bottom w:val="none" w:sz="0" w:space="0" w:color="auto"/>
        <w:right w:val="none" w:sz="0" w:space="0" w:color="auto"/>
      </w:divBdr>
    </w:div>
    <w:div w:id="519274412">
      <w:bodyDiv w:val="1"/>
      <w:marLeft w:val="0"/>
      <w:marRight w:val="0"/>
      <w:marTop w:val="0"/>
      <w:marBottom w:val="0"/>
      <w:divBdr>
        <w:top w:val="none" w:sz="0" w:space="0" w:color="auto"/>
        <w:left w:val="none" w:sz="0" w:space="0" w:color="auto"/>
        <w:bottom w:val="none" w:sz="0" w:space="0" w:color="auto"/>
        <w:right w:val="none" w:sz="0" w:space="0" w:color="auto"/>
      </w:divBdr>
    </w:div>
    <w:div w:id="521287889">
      <w:bodyDiv w:val="1"/>
      <w:marLeft w:val="0"/>
      <w:marRight w:val="0"/>
      <w:marTop w:val="0"/>
      <w:marBottom w:val="0"/>
      <w:divBdr>
        <w:top w:val="none" w:sz="0" w:space="0" w:color="auto"/>
        <w:left w:val="none" w:sz="0" w:space="0" w:color="auto"/>
        <w:bottom w:val="none" w:sz="0" w:space="0" w:color="auto"/>
        <w:right w:val="none" w:sz="0" w:space="0" w:color="auto"/>
      </w:divBdr>
    </w:div>
    <w:div w:id="522060567">
      <w:bodyDiv w:val="1"/>
      <w:marLeft w:val="0"/>
      <w:marRight w:val="0"/>
      <w:marTop w:val="0"/>
      <w:marBottom w:val="0"/>
      <w:divBdr>
        <w:top w:val="none" w:sz="0" w:space="0" w:color="auto"/>
        <w:left w:val="none" w:sz="0" w:space="0" w:color="auto"/>
        <w:bottom w:val="none" w:sz="0" w:space="0" w:color="auto"/>
        <w:right w:val="none" w:sz="0" w:space="0" w:color="auto"/>
      </w:divBdr>
    </w:div>
    <w:div w:id="525483132">
      <w:bodyDiv w:val="1"/>
      <w:marLeft w:val="0"/>
      <w:marRight w:val="0"/>
      <w:marTop w:val="0"/>
      <w:marBottom w:val="0"/>
      <w:divBdr>
        <w:top w:val="none" w:sz="0" w:space="0" w:color="auto"/>
        <w:left w:val="none" w:sz="0" w:space="0" w:color="auto"/>
        <w:bottom w:val="none" w:sz="0" w:space="0" w:color="auto"/>
        <w:right w:val="none" w:sz="0" w:space="0" w:color="auto"/>
      </w:divBdr>
    </w:div>
    <w:div w:id="52980290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388505">
      <w:bodyDiv w:val="1"/>
      <w:marLeft w:val="0"/>
      <w:marRight w:val="0"/>
      <w:marTop w:val="0"/>
      <w:marBottom w:val="0"/>
      <w:divBdr>
        <w:top w:val="none" w:sz="0" w:space="0" w:color="auto"/>
        <w:left w:val="none" w:sz="0" w:space="0" w:color="auto"/>
        <w:bottom w:val="none" w:sz="0" w:space="0" w:color="auto"/>
        <w:right w:val="none" w:sz="0" w:space="0" w:color="auto"/>
      </w:divBdr>
    </w:div>
    <w:div w:id="543911866">
      <w:bodyDiv w:val="1"/>
      <w:marLeft w:val="0"/>
      <w:marRight w:val="0"/>
      <w:marTop w:val="0"/>
      <w:marBottom w:val="0"/>
      <w:divBdr>
        <w:top w:val="none" w:sz="0" w:space="0" w:color="auto"/>
        <w:left w:val="none" w:sz="0" w:space="0" w:color="auto"/>
        <w:bottom w:val="none" w:sz="0" w:space="0" w:color="auto"/>
        <w:right w:val="none" w:sz="0" w:space="0" w:color="auto"/>
      </w:divBdr>
    </w:div>
    <w:div w:id="553468584">
      <w:bodyDiv w:val="1"/>
      <w:marLeft w:val="0"/>
      <w:marRight w:val="0"/>
      <w:marTop w:val="0"/>
      <w:marBottom w:val="0"/>
      <w:divBdr>
        <w:top w:val="none" w:sz="0" w:space="0" w:color="auto"/>
        <w:left w:val="none" w:sz="0" w:space="0" w:color="auto"/>
        <w:bottom w:val="none" w:sz="0" w:space="0" w:color="auto"/>
        <w:right w:val="none" w:sz="0" w:space="0" w:color="auto"/>
      </w:divBdr>
    </w:div>
    <w:div w:id="564805988">
      <w:bodyDiv w:val="1"/>
      <w:marLeft w:val="0"/>
      <w:marRight w:val="0"/>
      <w:marTop w:val="0"/>
      <w:marBottom w:val="0"/>
      <w:divBdr>
        <w:top w:val="none" w:sz="0" w:space="0" w:color="auto"/>
        <w:left w:val="none" w:sz="0" w:space="0" w:color="auto"/>
        <w:bottom w:val="none" w:sz="0" w:space="0" w:color="auto"/>
        <w:right w:val="none" w:sz="0" w:space="0" w:color="auto"/>
      </w:divBdr>
    </w:div>
    <w:div w:id="574778935">
      <w:bodyDiv w:val="1"/>
      <w:marLeft w:val="0"/>
      <w:marRight w:val="0"/>
      <w:marTop w:val="0"/>
      <w:marBottom w:val="0"/>
      <w:divBdr>
        <w:top w:val="none" w:sz="0" w:space="0" w:color="auto"/>
        <w:left w:val="none" w:sz="0" w:space="0" w:color="auto"/>
        <w:bottom w:val="none" w:sz="0" w:space="0" w:color="auto"/>
        <w:right w:val="none" w:sz="0" w:space="0" w:color="auto"/>
      </w:divBdr>
    </w:div>
    <w:div w:id="579756604">
      <w:bodyDiv w:val="1"/>
      <w:marLeft w:val="0"/>
      <w:marRight w:val="0"/>
      <w:marTop w:val="0"/>
      <w:marBottom w:val="0"/>
      <w:divBdr>
        <w:top w:val="none" w:sz="0" w:space="0" w:color="auto"/>
        <w:left w:val="none" w:sz="0" w:space="0" w:color="auto"/>
        <w:bottom w:val="none" w:sz="0" w:space="0" w:color="auto"/>
        <w:right w:val="none" w:sz="0" w:space="0" w:color="auto"/>
      </w:divBdr>
    </w:div>
    <w:div w:id="589392017">
      <w:bodyDiv w:val="1"/>
      <w:marLeft w:val="0"/>
      <w:marRight w:val="0"/>
      <w:marTop w:val="0"/>
      <w:marBottom w:val="0"/>
      <w:divBdr>
        <w:top w:val="none" w:sz="0" w:space="0" w:color="auto"/>
        <w:left w:val="none" w:sz="0" w:space="0" w:color="auto"/>
        <w:bottom w:val="none" w:sz="0" w:space="0" w:color="auto"/>
        <w:right w:val="none" w:sz="0" w:space="0" w:color="auto"/>
      </w:divBdr>
    </w:div>
    <w:div w:id="605425356">
      <w:bodyDiv w:val="1"/>
      <w:marLeft w:val="0"/>
      <w:marRight w:val="0"/>
      <w:marTop w:val="0"/>
      <w:marBottom w:val="0"/>
      <w:divBdr>
        <w:top w:val="none" w:sz="0" w:space="0" w:color="auto"/>
        <w:left w:val="none" w:sz="0" w:space="0" w:color="auto"/>
        <w:bottom w:val="none" w:sz="0" w:space="0" w:color="auto"/>
        <w:right w:val="none" w:sz="0" w:space="0" w:color="auto"/>
      </w:divBdr>
    </w:div>
    <w:div w:id="609817299">
      <w:bodyDiv w:val="1"/>
      <w:marLeft w:val="0"/>
      <w:marRight w:val="0"/>
      <w:marTop w:val="0"/>
      <w:marBottom w:val="0"/>
      <w:divBdr>
        <w:top w:val="none" w:sz="0" w:space="0" w:color="auto"/>
        <w:left w:val="none" w:sz="0" w:space="0" w:color="auto"/>
        <w:bottom w:val="none" w:sz="0" w:space="0" w:color="auto"/>
        <w:right w:val="none" w:sz="0" w:space="0" w:color="auto"/>
      </w:divBdr>
    </w:div>
    <w:div w:id="614751139">
      <w:bodyDiv w:val="1"/>
      <w:marLeft w:val="0"/>
      <w:marRight w:val="0"/>
      <w:marTop w:val="0"/>
      <w:marBottom w:val="0"/>
      <w:divBdr>
        <w:top w:val="none" w:sz="0" w:space="0" w:color="auto"/>
        <w:left w:val="none" w:sz="0" w:space="0" w:color="auto"/>
        <w:bottom w:val="none" w:sz="0" w:space="0" w:color="auto"/>
        <w:right w:val="none" w:sz="0" w:space="0" w:color="auto"/>
      </w:divBdr>
    </w:div>
    <w:div w:id="618221099">
      <w:bodyDiv w:val="1"/>
      <w:marLeft w:val="0"/>
      <w:marRight w:val="0"/>
      <w:marTop w:val="0"/>
      <w:marBottom w:val="0"/>
      <w:divBdr>
        <w:top w:val="none" w:sz="0" w:space="0" w:color="auto"/>
        <w:left w:val="none" w:sz="0" w:space="0" w:color="auto"/>
        <w:bottom w:val="none" w:sz="0" w:space="0" w:color="auto"/>
        <w:right w:val="none" w:sz="0" w:space="0" w:color="auto"/>
      </w:divBdr>
    </w:div>
    <w:div w:id="621809101">
      <w:bodyDiv w:val="1"/>
      <w:marLeft w:val="0"/>
      <w:marRight w:val="0"/>
      <w:marTop w:val="0"/>
      <w:marBottom w:val="0"/>
      <w:divBdr>
        <w:top w:val="none" w:sz="0" w:space="0" w:color="auto"/>
        <w:left w:val="none" w:sz="0" w:space="0" w:color="auto"/>
        <w:bottom w:val="none" w:sz="0" w:space="0" w:color="auto"/>
        <w:right w:val="none" w:sz="0" w:space="0" w:color="auto"/>
      </w:divBdr>
    </w:div>
    <w:div w:id="626353854">
      <w:bodyDiv w:val="1"/>
      <w:marLeft w:val="0"/>
      <w:marRight w:val="0"/>
      <w:marTop w:val="0"/>
      <w:marBottom w:val="0"/>
      <w:divBdr>
        <w:top w:val="none" w:sz="0" w:space="0" w:color="auto"/>
        <w:left w:val="none" w:sz="0" w:space="0" w:color="auto"/>
        <w:bottom w:val="none" w:sz="0" w:space="0" w:color="auto"/>
        <w:right w:val="none" w:sz="0" w:space="0" w:color="auto"/>
      </w:divBdr>
    </w:div>
    <w:div w:id="638851479">
      <w:bodyDiv w:val="1"/>
      <w:marLeft w:val="0"/>
      <w:marRight w:val="0"/>
      <w:marTop w:val="0"/>
      <w:marBottom w:val="0"/>
      <w:divBdr>
        <w:top w:val="none" w:sz="0" w:space="0" w:color="auto"/>
        <w:left w:val="none" w:sz="0" w:space="0" w:color="auto"/>
        <w:bottom w:val="none" w:sz="0" w:space="0" w:color="auto"/>
        <w:right w:val="none" w:sz="0" w:space="0" w:color="auto"/>
      </w:divBdr>
    </w:div>
    <w:div w:id="639920716">
      <w:bodyDiv w:val="1"/>
      <w:marLeft w:val="0"/>
      <w:marRight w:val="0"/>
      <w:marTop w:val="0"/>
      <w:marBottom w:val="0"/>
      <w:divBdr>
        <w:top w:val="none" w:sz="0" w:space="0" w:color="auto"/>
        <w:left w:val="none" w:sz="0" w:space="0" w:color="auto"/>
        <w:bottom w:val="none" w:sz="0" w:space="0" w:color="auto"/>
        <w:right w:val="none" w:sz="0" w:space="0" w:color="auto"/>
      </w:divBdr>
    </w:div>
    <w:div w:id="640237140">
      <w:bodyDiv w:val="1"/>
      <w:marLeft w:val="0"/>
      <w:marRight w:val="0"/>
      <w:marTop w:val="0"/>
      <w:marBottom w:val="0"/>
      <w:divBdr>
        <w:top w:val="none" w:sz="0" w:space="0" w:color="auto"/>
        <w:left w:val="none" w:sz="0" w:space="0" w:color="auto"/>
        <w:bottom w:val="none" w:sz="0" w:space="0" w:color="auto"/>
        <w:right w:val="none" w:sz="0" w:space="0" w:color="auto"/>
      </w:divBdr>
    </w:div>
    <w:div w:id="642851750">
      <w:bodyDiv w:val="1"/>
      <w:marLeft w:val="0"/>
      <w:marRight w:val="0"/>
      <w:marTop w:val="0"/>
      <w:marBottom w:val="0"/>
      <w:divBdr>
        <w:top w:val="none" w:sz="0" w:space="0" w:color="auto"/>
        <w:left w:val="none" w:sz="0" w:space="0" w:color="auto"/>
        <w:bottom w:val="none" w:sz="0" w:space="0" w:color="auto"/>
        <w:right w:val="none" w:sz="0" w:space="0" w:color="auto"/>
      </w:divBdr>
    </w:div>
    <w:div w:id="652416389">
      <w:bodyDiv w:val="1"/>
      <w:marLeft w:val="0"/>
      <w:marRight w:val="0"/>
      <w:marTop w:val="0"/>
      <w:marBottom w:val="0"/>
      <w:divBdr>
        <w:top w:val="none" w:sz="0" w:space="0" w:color="auto"/>
        <w:left w:val="none" w:sz="0" w:space="0" w:color="auto"/>
        <w:bottom w:val="none" w:sz="0" w:space="0" w:color="auto"/>
        <w:right w:val="none" w:sz="0" w:space="0" w:color="auto"/>
      </w:divBdr>
    </w:div>
    <w:div w:id="659504587">
      <w:bodyDiv w:val="1"/>
      <w:marLeft w:val="0"/>
      <w:marRight w:val="0"/>
      <w:marTop w:val="0"/>
      <w:marBottom w:val="0"/>
      <w:divBdr>
        <w:top w:val="none" w:sz="0" w:space="0" w:color="auto"/>
        <w:left w:val="none" w:sz="0" w:space="0" w:color="auto"/>
        <w:bottom w:val="none" w:sz="0" w:space="0" w:color="auto"/>
        <w:right w:val="none" w:sz="0" w:space="0" w:color="auto"/>
      </w:divBdr>
    </w:div>
    <w:div w:id="674067252">
      <w:bodyDiv w:val="1"/>
      <w:marLeft w:val="0"/>
      <w:marRight w:val="0"/>
      <w:marTop w:val="0"/>
      <w:marBottom w:val="0"/>
      <w:divBdr>
        <w:top w:val="none" w:sz="0" w:space="0" w:color="auto"/>
        <w:left w:val="none" w:sz="0" w:space="0" w:color="auto"/>
        <w:bottom w:val="none" w:sz="0" w:space="0" w:color="auto"/>
        <w:right w:val="none" w:sz="0" w:space="0" w:color="auto"/>
      </w:divBdr>
    </w:div>
    <w:div w:id="676031821">
      <w:bodyDiv w:val="1"/>
      <w:marLeft w:val="0"/>
      <w:marRight w:val="0"/>
      <w:marTop w:val="0"/>
      <w:marBottom w:val="0"/>
      <w:divBdr>
        <w:top w:val="none" w:sz="0" w:space="0" w:color="auto"/>
        <w:left w:val="none" w:sz="0" w:space="0" w:color="auto"/>
        <w:bottom w:val="none" w:sz="0" w:space="0" w:color="auto"/>
        <w:right w:val="none" w:sz="0" w:space="0" w:color="auto"/>
      </w:divBdr>
    </w:div>
    <w:div w:id="680354222">
      <w:bodyDiv w:val="1"/>
      <w:marLeft w:val="0"/>
      <w:marRight w:val="0"/>
      <w:marTop w:val="0"/>
      <w:marBottom w:val="0"/>
      <w:divBdr>
        <w:top w:val="none" w:sz="0" w:space="0" w:color="auto"/>
        <w:left w:val="none" w:sz="0" w:space="0" w:color="auto"/>
        <w:bottom w:val="none" w:sz="0" w:space="0" w:color="auto"/>
        <w:right w:val="none" w:sz="0" w:space="0" w:color="auto"/>
      </w:divBdr>
    </w:div>
    <w:div w:id="688216923">
      <w:bodyDiv w:val="1"/>
      <w:marLeft w:val="0"/>
      <w:marRight w:val="0"/>
      <w:marTop w:val="0"/>
      <w:marBottom w:val="0"/>
      <w:divBdr>
        <w:top w:val="none" w:sz="0" w:space="0" w:color="auto"/>
        <w:left w:val="none" w:sz="0" w:space="0" w:color="auto"/>
        <w:bottom w:val="none" w:sz="0" w:space="0" w:color="auto"/>
        <w:right w:val="none" w:sz="0" w:space="0" w:color="auto"/>
      </w:divBdr>
    </w:div>
    <w:div w:id="693112682">
      <w:bodyDiv w:val="1"/>
      <w:marLeft w:val="0"/>
      <w:marRight w:val="0"/>
      <w:marTop w:val="0"/>
      <w:marBottom w:val="0"/>
      <w:divBdr>
        <w:top w:val="none" w:sz="0" w:space="0" w:color="auto"/>
        <w:left w:val="none" w:sz="0" w:space="0" w:color="auto"/>
        <w:bottom w:val="none" w:sz="0" w:space="0" w:color="auto"/>
        <w:right w:val="none" w:sz="0" w:space="0" w:color="auto"/>
      </w:divBdr>
    </w:div>
    <w:div w:id="695470345">
      <w:bodyDiv w:val="1"/>
      <w:marLeft w:val="0"/>
      <w:marRight w:val="0"/>
      <w:marTop w:val="0"/>
      <w:marBottom w:val="0"/>
      <w:divBdr>
        <w:top w:val="none" w:sz="0" w:space="0" w:color="auto"/>
        <w:left w:val="none" w:sz="0" w:space="0" w:color="auto"/>
        <w:bottom w:val="none" w:sz="0" w:space="0" w:color="auto"/>
        <w:right w:val="none" w:sz="0" w:space="0" w:color="auto"/>
      </w:divBdr>
    </w:div>
    <w:div w:id="695811618">
      <w:bodyDiv w:val="1"/>
      <w:marLeft w:val="0"/>
      <w:marRight w:val="0"/>
      <w:marTop w:val="0"/>
      <w:marBottom w:val="0"/>
      <w:divBdr>
        <w:top w:val="none" w:sz="0" w:space="0" w:color="auto"/>
        <w:left w:val="none" w:sz="0" w:space="0" w:color="auto"/>
        <w:bottom w:val="none" w:sz="0" w:space="0" w:color="auto"/>
        <w:right w:val="none" w:sz="0" w:space="0" w:color="auto"/>
      </w:divBdr>
    </w:div>
    <w:div w:id="700940180">
      <w:bodyDiv w:val="1"/>
      <w:marLeft w:val="0"/>
      <w:marRight w:val="0"/>
      <w:marTop w:val="0"/>
      <w:marBottom w:val="0"/>
      <w:divBdr>
        <w:top w:val="none" w:sz="0" w:space="0" w:color="auto"/>
        <w:left w:val="none" w:sz="0" w:space="0" w:color="auto"/>
        <w:bottom w:val="none" w:sz="0" w:space="0" w:color="auto"/>
        <w:right w:val="none" w:sz="0" w:space="0" w:color="auto"/>
      </w:divBdr>
    </w:div>
    <w:div w:id="707922718">
      <w:bodyDiv w:val="1"/>
      <w:marLeft w:val="0"/>
      <w:marRight w:val="0"/>
      <w:marTop w:val="0"/>
      <w:marBottom w:val="0"/>
      <w:divBdr>
        <w:top w:val="none" w:sz="0" w:space="0" w:color="auto"/>
        <w:left w:val="none" w:sz="0" w:space="0" w:color="auto"/>
        <w:bottom w:val="none" w:sz="0" w:space="0" w:color="auto"/>
        <w:right w:val="none" w:sz="0" w:space="0" w:color="auto"/>
      </w:divBdr>
    </w:div>
    <w:div w:id="708534903">
      <w:bodyDiv w:val="1"/>
      <w:marLeft w:val="0"/>
      <w:marRight w:val="0"/>
      <w:marTop w:val="0"/>
      <w:marBottom w:val="0"/>
      <w:divBdr>
        <w:top w:val="none" w:sz="0" w:space="0" w:color="auto"/>
        <w:left w:val="none" w:sz="0" w:space="0" w:color="auto"/>
        <w:bottom w:val="none" w:sz="0" w:space="0" w:color="auto"/>
        <w:right w:val="none" w:sz="0" w:space="0" w:color="auto"/>
      </w:divBdr>
    </w:div>
    <w:div w:id="709571274">
      <w:bodyDiv w:val="1"/>
      <w:marLeft w:val="0"/>
      <w:marRight w:val="0"/>
      <w:marTop w:val="0"/>
      <w:marBottom w:val="0"/>
      <w:divBdr>
        <w:top w:val="none" w:sz="0" w:space="0" w:color="auto"/>
        <w:left w:val="none" w:sz="0" w:space="0" w:color="auto"/>
        <w:bottom w:val="none" w:sz="0" w:space="0" w:color="auto"/>
        <w:right w:val="none" w:sz="0" w:space="0" w:color="auto"/>
      </w:divBdr>
    </w:div>
    <w:div w:id="710299248">
      <w:bodyDiv w:val="1"/>
      <w:marLeft w:val="0"/>
      <w:marRight w:val="0"/>
      <w:marTop w:val="0"/>
      <w:marBottom w:val="0"/>
      <w:divBdr>
        <w:top w:val="none" w:sz="0" w:space="0" w:color="auto"/>
        <w:left w:val="none" w:sz="0" w:space="0" w:color="auto"/>
        <w:bottom w:val="none" w:sz="0" w:space="0" w:color="auto"/>
        <w:right w:val="none" w:sz="0" w:space="0" w:color="auto"/>
      </w:divBdr>
    </w:div>
    <w:div w:id="714164628">
      <w:bodyDiv w:val="1"/>
      <w:marLeft w:val="0"/>
      <w:marRight w:val="0"/>
      <w:marTop w:val="0"/>
      <w:marBottom w:val="0"/>
      <w:divBdr>
        <w:top w:val="none" w:sz="0" w:space="0" w:color="auto"/>
        <w:left w:val="none" w:sz="0" w:space="0" w:color="auto"/>
        <w:bottom w:val="none" w:sz="0" w:space="0" w:color="auto"/>
        <w:right w:val="none" w:sz="0" w:space="0" w:color="auto"/>
      </w:divBdr>
    </w:div>
    <w:div w:id="726608245">
      <w:bodyDiv w:val="1"/>
      <w:marLeft w:val="0"/>
      <w:marRight w:val="0"/>
      <w:marTop w:val="0"/>
      <w:marBottom w:val="0"/>
      <w:divBdr>
        <w:top w:val="none" w:sz="0" w:space="0" w:color="auto"/>
        <w:left w:val="none" w:sz="0" w:space="0" w:color="auto"/>
        <w:bottom w:val="none" w:sz="0" w:space="0" w:color="auto"/>
        <w:right w:val="none" w:sz="0" w:space="0" w:color="auto"/>
      </w:divBdr>
    </w:div>
    <w:div w:id="734478260">
      <w:bodyDiv w:val="1"/>
      <w:marLeft w:val="0"/>
      <w:marRight w:val="0"/>
      <w:marTop w:val="0"/>
      <w:marBottom w:val="0"/>
      <w:divBdr>
        <w:top w:val="none" w:sz="0" w:space="0" w:color="auto"/>
        <w:left w:val="none" w:sz="0" w:space="0" w:color="auto"/>
        <w:bottom w:val="none" w:sz="0" w:space="0" w:color="auto"/>
        <w:right w:val="none" w:sz="0" w:space="0" w:color="auto"/>
      </w:divBdr>
    </w:div>
    <w:div w:id="738987998">
      <w:bodyDiv w:val="1"/>
      <w:marLeft w:val="0"/>
      <w:marRight w:val="0"/>
      <w:marTop w:val="0"/>
      <w:marBottom w:val="0"/>
      <w:divBdr>
        <w:top w:val="none" w:sz="0" w:space="0" w:color="auto"/>
        <w:left w:val="none" w:sz="0" w:space="0" w:color="auto"/>
        <w:bottom w:val="none" w:sz="0" w:space="0" w:color="auto"/>
        <w:right w:val="none" w:sz="0" w:space="0" w:color="auto"/>
      </w:divBdr>
    </w:div>
    <w:div w:id="745954322">
      <w:bodyDiv w:val="1"/>
      <w:marLeft w:val="0"/>
      <w:marRight w:val="0"/>
      <w:marTop w:val="0"/>
      <w:marBottom w:val="0"/>
      <w:divBdr>
        <w:top w:val="none" w:sz="0" w:space="0" w:color="auto"/>
        <w:left w:val="none" w:sz="0" w:space="0" w:color="auto"/>
        <w:bottom w:val="none" w:sz="0" w:space="0" w:color="auto"/>
        <w:right w:val="none" w:sz="0" w:space="0" w:color="auto"/>
      </w:divBdr>
    </w:div>
    <w:div w:id="747850111">
      <w:bodyDiv w:val="1"/>
      <w:marLeft w:val="0"/>
      <w:marRight w:val="0"/>
      <w:marTop w:val="0"/>
      <w:marBottom w:val="0"/>
      <w:divBdr>
        <w:top w:val="none" w:sz="0" w:space="0" w:color="auto"/>
        <w:left w:val="none" w:sz="0" w:space="0" w:color="auto"/>
        <w:bottom w:val="none" w:sz="0" w:space="0" w:color="auto"/>
        <w:right w:val="none" w:sz="0" w:space="0" w:color="auto"/>
      </w:divBdr>
    </w:div>
    <w:div w:id="750086251">
      <w:bodyDiv w:val="1"/>
      <w:marLeft w:val="0"/>
      <w:marRight w:val="0"/>
      <w:marTop w:val="0"/>
      <w:marBottom w:val="0"/>
      <w:divBdr>
        <w:top w:val="none" w:sz="0" w:space="0" w:color="auto"/>
        <w:left w:val="none" w:sz="0" w:space="0" w:color="auto"/>
        <w:bottom w:val="none" w:sz="0" w:space="0" w:color="auto"/>
        <w:right w:val="none" w:sz="0" w:space="0" w:color="auto"/>
      </w:divBdr>
    </w:div>
    <w:div w:id="754399062">
      <w:bodyDiv w:val="1"/>
      <w:marLeft w:val="0"/>
      <w:marRight w:val="0"/>
      <w:marTop w:val="0"/>
      <w:marBottom w:val="0"/>
      <w:divBdr>
        <w:top w:val="none" w:sz="0" w:space="0" w:color="auto"/>
        <w:left w:val="none" w:sz="0" w:space="0" w:color="auto"/>
        <w:bottom w:val="none" w:sz="0" w:space="0" w:color="auto"/>
        <w:right w:val="none" w:sz="0" w:space="0" w:color="auto"/>
      </w:divBdr>
    </w:div>
    <w:div w:id="767236575">
      <w:bodyDiv w:val="1"/>
      <w:marLeft w:val="0"/>
      <w:marRight w:val="0"/>
      <w:marTop w:val="0"/>
      <w:marBottom w:val="0"/>
      <w:divBdr>
        <w:top w:val="none" w:sz="0" w:space="0" w:color="auto"/>
        <w:left w:val="none" w:sz="0" w:space="0" w:color="auto"/>
        <w:bottom w:val="none" w:sz="0" w:space="0" w:color="auto"/>
        <w:right w:val="none" w:sz="0" w:space="0" w:color="auto"/>
      </w:divBdr>
    </w:div>
    <w:div w:id="772820879">
      <w:bodyDiv w:val="1"/>
      <w:marLeft w:val="0"/>
      <w:marRight w:val="0"/>
      <w:marTop w:val="0"/>
      <w:marBottom w:val="0"/>
      <w:divBdr>
        <w:top w:val="none" w:sz="0" w:space="0" w:color="auto"/>
        <w:left w:val="none" w:sz="0" w:space="0" w:color="auto"/>
        <w:bottom w:val="none" w:sz="0" w:space="0" w:color="auto"/>
        <w:right w:val="none" w:sz="0" w:space="0" w:color="auto"/>
      </w:divBdr>
    </w:div>
    <w:div w:id="789711481">
      <w:bodyDiv w:val="1"/>
      <w:marLeft w:val="0"/>
      <w:marRight w:val="0"/>
      <w:marTop w:val="0"/>
      <w:marBottom w:val="0"/>
      <w:divBdr>
        <w:top w:val="none" w:sz="0" w:space="0" w:color="auto"/>
        <w:left w:val="none" w:sz="0" w:space="0" w:color="auto"/>
        <w:bottom w:val="none" w:sz="0" w:space="0" w:color="auto"/>
        <w:right w:val="none" w:sz="0" w:space="0" w:color="auto"/>
      </w:divBdr>
    </w:div>
    <w:div w:id="797842899">
      <w:bodyDiv w:val="1"/>
      <w:marLeft w:val="0"/>
      <w:marRight w:val="0"/>
      <w:marTop w:val="0"/>
      <w:marBottom w:val="0"/>
      <w:divBdr>
        <w:top w:val="none" w:sz="0" w:space="0" w:color="auto"/>
        <w:left w:val="none" w:sz="0" w:space="0" w:color="auto"/>
        <w:bottom w:val="none" w:sz="0" w:space="0" w:color="auto"/>
        <w:right w:val="none" w:sz="0" w:space="0" w:color="auto"/>
      </w:divBdr>
    </w:div>
    <w:div w:id="800340726">
      <w:bodyDiv w:val="1"/>
      <w:marLeft w:val="0"/>
      <w:marRight w:val="0"/>
      <w:marTop w:val="0"/>
      <w:marBottom w:val="0"/>
      <w:divBdr>
        <w:top w:val="none" w:sz="0" w:space="0" w:color="auto"/>
        <w:left w:val="none" w:sz="0" w:space="0" w:color="auto"/>
        <w:bottom w:val="none" w:sz="0" w:space="0" w:color="auto"/>
        <w:right w:val="none" w:sz="0" w:space="0" w:color="auto"/>
      </w:divBdr>
    </w:div>
    <w:div w:id="814299255">
      <w:bodyDiv w:val="1"/>
      <w:marLeft w:val="0"/>
      <w:marRight w:val="0"/>
      <w:marTop w:val="0"/>
      <w:marBottom w:val="0"/>
      <w:divBdr>
        <w:top w:val="none" w:sz="0" w:space="0" w:color="auto"/>
        <w:left w:val="none" w:sz="0" w:space="0" w:color="auto"/>
        <w:bottom w:val="none" w:sz="0" w:space="0" w:color="auto"/>
        <w:right w:val="none" w:sz="0" w:space="0" w:color="auto"/>
      </w:divBdr>
    </w:div>
    <w:div w:id="820003790">
      <w:bodyDiv w:val="1"/>
      <w:marLeft w:val="0"/>
      <w:marRight w:val="0"/>
      <w:marTop w:val="0"/>
      <w:marBottom w:val="0"/>
      <w:divBdr>
        <w:top w:val="none" w:sz="0" w:space="0" w:color="auto"/>
        <w:left w:val="none" w:sz="0" w:space="0" w:color="auto"/>
        <w:bottom w:val="none" w:sz="0" w:space="0" w:color="auto"/>
        <w:right w:val="none" w:sz="0" w:space="0" w:color="auto"/>
      </w:divBdr>
    </w:div>
    <w:div w:id="821435450">
      <w:bodyDiv w:val="1"/>
      <w:marLeft w:val="0"/>
      <w:marRight w:val="0"/>
      <w:marTop w:val="0"/>
      <w:marBottom w:val="0"/>
      <w:divBdr>
        <w:top w:val="none" w:sz="0" w:space="0" w:color="auto"/>
        <w:left w:val="none" w:sz="0" w:space="0" w:color="auto"/>
        <w:bottom w:val="none" w:sz="0" w:space="0" w:color="auto"/>
        <w:right w:val="none" w:sz="0" w:space="0" w:color="auto"/>
      </w:divBdr>
    </w:div>
    <w:div w:id="825433404">
      <w:bodyDiv w:val="1"/>
      <w:marLeft w:val="0"/>
      <w:marRight w:val="0"/>
      <w:marTop w:val="0"/>
      <w:marBottom w:val="0"/>
      <w:divBdr>
        <w:top w:val="none" w:sz="0" w:space="0" w:color="auto"/>
        <w:left w:val="none" w:sz="0" w:space="0" w:color="auto"/>
        <w:bottom w:val="none" w:sz="0" w:space="0" w:color="auto"/>
        <w:right w:val="none" w:sz="0" w:space="0" w:color="auto"/>
      </w:divBdr>
    </w:div>
    <w:div w:id="826634995">
      <w:bodyDiv w:val="1"/>
      <w:marLeft w:val="0"/>
      <w:marRight w:val="0"/>
      <w:marTop w:val="0"/>
      <w:marBottom w:val="0"/>
      <w:divBdr>
        <w:top w:val="none" w:sz="0" w:space="0" w:color="auto"/>
        <w:left w:val="none" w:sz="0" w:space="0" w:color="auto"/>
        <w:bottom w:val="none" w:sz="0" w:space="0" w:color="auto"/>
        <w:right w:val="none" w:sz="0" w:space="0" w:color="auto"/>
      </w:divBdr>
    </w:div>
    <w:div w:id="830759984">
      <w:bodyDiv w:val="1"/>
      <w:marLeft w:val="0"/>
      <w:marRight w:val="0"/>
      <w:marTop w:val="0"/>
      <w:marBottom w:val="0"/>
      <w:divBdr>
        <w:top w:val="none" w:sz="0" w:space="0" w:color="auto"/>
        <w:left w:val="none" w:sz="0" w:space="0" w:color="auto"/>
        <w:bottom w:val="none" w:sz="0" w:space="0" w:color="auto"/>
        <w:right w:val="none" w:sz="0" w:space="0" w:color="auto"/>
      </w:divBdr>
    </w:div>
    <w:div w:id="843476755">
      <w:bodyDiv w:val="1"/>
      <w:marLeft w:val="0"/>
      <w:marRight w:val="0"/>
      <w:marTop w:val="0"/>
      <w:marBottom w:val="0"/>
      <w:divBdr>
        <w:top w:val="none" w:sz="0" w:space="0" w:color="auto"/>
        <w:left w:val="none" w:sz="0" w:space="0" w:color="auto"/>
        <w:bottom w:val="none" w:sz="0" w:space="0" w:color="auto"/>
        <w:right w:val="none" w:sz="0" w:space="0" w:color="auto"/>
      </w:divBdr>
    </w:div>
    <w:div w:id="845166788">
      <w:bodyDiv w:val="1"/>
      <w:marLeft w:val="0"/>
      <w:marRight w:val="0"/>
      <w:marTop w:val="0"/>
      <w:marBottom w:val="0"/>
      <w:divBdr>
        <w:top w:val="none" w:sz="0" w:space="0" w:color="auto"/>
        <w:left w:val="none" w:sz="0" w:space="0" w:color="auto"/>
        <w:bottom w:val="none" w:sz="0" w:space="0" w:color="auto"/>
        <w:right w:val="none" w:sz="0" w:space="0" w:color="auto"/>
      </w:divBdr>
    </w:div>
    <w:div w:id="854465302">
      <w:bodyDiv w:val="1"/>
      <w:marLeft w:val="0"/>
      <w:marRight w:val="0"/>
      <w:marTop w:val="0"/>
      <w:marBottom w:val="0"/>
      <w:divBdr>
        <w:top w:val="none" w:sz="0" w:space="0" w:color="auto"/>
        <w:left w:val="none" w:sz="0" w:space="0" w:color="auto"/>
        <w:bottom w:val="none" w:sz="0" w:space="0" w:color="auto"/>
        <w:right w:val="none" w:sz="0" w:space="0" w:color="auto"/>
      </w:divBdr>
    </w:div>
    <w:div w:id="858393628">
      <w:bodyDiv w:val="1"/>
      <w:marLeft w:val="0"/>
      <w:marRight w:val="0"/>
      <w:marTop w:val="0"/>
      <w:marBottom w:val="0"/>
      <w:divBdr>
        <w:top w:val="none" w:sz="0" w:space="0" w:color="auto"/>
        <w:left w:val="none" w:sz="0" w:space="0" w:color="auto"/>
        <w:bottom w:val="none" w:sz="0" w:space="0" w:color="auto"/>
        <w:right w:val="none" w:sz="0" w:space="0" w:color="auto"/>
      </w:divBdr>
    </w:div>
    <w:div w:id="858540426">
      <w:bodyDiv w:val="1"/>
      <w:marLeft w:val="0"/>
      <w:marRight w:val="0"/>
      <w:marTop w:val="0"/>
      <w:marBottom w:val="0"/>
      <w:divBdr>
        <w:top w:val="none" w:sz="0" w:space="0" w:color="auto"/>
        <w:left w:val="none" w:sz="0" w:space="0" w:color="auto"/>
        <w:bottom w:val="none" w:sz="0" w:space="0" w:color="auto"/>
        <w:right w:val="none" w:sz="0" w:space="0" w:color="auto"/>
      </w:divBdr>
    </w:div>
    <w:div w:id="864057387">
      <w:bodyDiv w:val="1"/>
      <w:marLeft w:val="0"/>
      <w:marRight w:val="0"/>
      <w:marTop w:val="0"/>
      <w:marBottom w:val="0"/>
      <w:divBdr>
        <w:top w:val="none" w:sz="0" w:space="0" w:color="auto"/>
        <w:left w:val="none" w:sz="0" w:space="0" w:color="auto"/>
        <w:bottom w:val="none" w:sz="0" w:space="0" w:color="auto"/>
        <w:right w:val="none" w:sz="0" w:space="0" w:color="auto"/>
      </w:divBdr>
    </w:div>
    <w:div w:id="864750223">
      <w:bodyDiv w:val="1"/>
      <w:marLeft w:val="0"/>
      <w:marRight w:val="0"/>
      <w:marTop w:val="0"/>
      <w:marBottom w:val="0"/>
      <w:divBdr>
        <w:top w:val="none" w:sz="0" w:space="0" w:color="auto"/>
        <w:left w:val="none" w:sz="0" w:space="0" w:color="auto"/>
        <w:bottom w:val="none" w:sz="0" w:space="0" w:color="auto"/>
        <w:right w:val="none" w:sz="0" w:space="0" w:color="auto"/>
      </w:divBdr>
    </w:div>
    <w:div w:id="869414441">
      <w:bodyDiv w:val="1"/>
      <w:marLeft w:val="0"/>
      <w:marRight w:val="0"/>
      <w:marTop w:val="0"/>
      <w:marBottom w:val="0"/>
      <w:divBdr>
        <w:top w:val="none" w:sz="0" w:space="0" w:color="auto"/>
        <w:left w:val="none" w:sz="0" w:space="0" w:color="auto"/>
        <w:bottom w:val="none" w:sz="0" w:space="0" w:color="auto"/>
        <w:right w:val="none" w:sz="0" w:space="0" w:color="auto"/>
      </w:divBdr>
    </w:div>
    <w:div w:id="883753732">
      <w:bodyDiv w:val="1"/>
      <w:marLeft w:val="0"/>
      <w:marRight w:val="0"/>
      <w:marTop w:val="0"/>
      <w:marBottom w:val="0"/>
      <w:divBdr>
        <w:top w:val="none" w:sz="0" w:space="0" w:color="auto"/>
        <w:left w:val="none" w:sz="0" w:space="0" w:color="auto"/>
        <w:bottom w:val="none" w:sz="0" w:space="0" w:color="auto"/>
        <w:right w:val="none" w:sz="0" w:space="0" w:color="auto"/>
      </w:divBdr>
    </w:div>
    <w:div w:id="885484192">
      <w:bodyDiv w:val="1"/>
      <w:marLeft w:val="0"/>
      <w:marRight w:val="0"/>
      <w:marTop w:val="0"/>
      <w:marBottom w:val="0"/>
      <w:divBdr>
        <w:top w:val="none" w:sz="0" w:space="0" w:color="auto"/>
        <w:left w:val="none" w:sz="0" w:space="0" w:color="auto"/>
        <w:bottom w:val="none" w:sz="0" w:space="0" w:color="auto"/>
        <w:right w:val="none" w:sz="0" w:space="0" w:color="auto"/>
      </w:divBdr>
    </w:div>
    <w:div w:id="886993406">
      <w:bodyDiv w:val="1"/>
      <w:marLeft w:val="0"/>
      <w:marRight w:val="0"/>
      <w:marTop w:val="0"/>
      <w:marBottom w:val="0"/>
      <w:divBdr>
        <w:top w:val="none" w:sz="0" w:space="0" w:color="auto"/>
        <w:left w:val="none" w:sz="0" w:space="0" w:color="auto"/>
        <w:bottom w:val="none" w:sz="0" w:space="0" w:color="auto"/>
        <w:right w:val="none" w:sz="0" w:space="0" w:color="auto"/>
      </w:divBdr>
    </w:div>
    <w:div w:id="887768150">
      <w:bodyDiv w:val="1"/>
      <w:marLeft w:val="0"/>
      <w:marRight w:val="0"/>
      <w:marTop w:val="0"/>
      <w:marBottom w:val="0"/>
      <w:divBdr>
        <w:top w:val="none" w:sz="0" w:space="0" w:color="auto"/>
        <w:left w:val="none" w:sz="0" w:space="0" w:color="auto"/>
        <w:bottom w:val="none" w:sz="0" w:space="0" w:color="auto"/>
        <w:right w:val="none" w:sz="0" w:space="0" w:color="auto"/>
      </w:divBdr>
    </w:div>
    <w:div w:id="898249094">
      <w:bodyDiv w:val="1"/>
      <w:marLeft w:val="0"/>
      <w:marRight w:val="0"/>
      <w:marTop w:val="0"/>
      <w:marBottom w:val="0"/>
      <w:divBdr>
        <w:top w:val="none" w:sz="0" w:space="0" w:color="auto"/>
        <w:left w:val="none" w:sz="0" w:space="0" w:color="auto"/>
        <w:bottom w:val="none" w:sz="0" w:space="0" w:color="auto"/>
        <w:right w:val="none" w:sz="0" w:space="0" w:color="auto"/>
      </w:divBdr>
    </w:div>
    <w:div w:id="902760250">
      <w:bodyDiv w:val="1"/>
      <w:marLeft w:val="0"/>
      <w:marRight w:val="0"/>
      <w:marTop w:val="0"/>
      <w:marBottom w:val="0"/>
      <w:divBdr>
        <w:top w:val="none" w:sz="0" w:space="0" w:color="auto"/>
        <w:left w:val="none" w:sz="0" w:space="0" w:color="auto"/>
        <w:bottom w:val="none" w:sz="0" w:space="0" w:color="auto"/>
        <w:right w:val="none" w:sz="0" w:space="0" w:color="auto"/>
      </w:divBdr>
    </w:div>
    <w:div w:id="906305520">
      <w:bodyDiv w:val="1"/>
      <w:marLeft w:val="0"/>
      <w:marRight w:val="0"/>
      <w:marTop w:val="0"/>
      <w:marBottom w:val="0"/>
      <w:divBdr>
        <w:top w:val="none" w:sz="0" w:space="0" w:color="auto"/>
        <w:left w:val="none" w:sz="0" w:space="0" w:color="auto"/>
        <w:bottom w:val="none" w:sz="0" w:space="0" w:color="auto"/>
        <w:right w:val="none" w:sz="0" w:space="0" w:color="auto"/>
      </w:divBdr>
    </w:div>
    <w:div w:id="927536975">
      <w:bodyDiv w:val="1"/>
      <w:marLeft w:val="0"/>
      <w:marRight w:val="0"/>
      <w:marTop w:val="0"/>
      <w:marBottom w:val="0"/>
      <w:divBdr>
        <w:top w:val="none" w:sz="0" w:space="0" w:color="auto"/>
        <w:left w:val="none" w:sz="0" w:space="0" w:color="auto"/>
        <w:bottom w:val="none" w:sz="0" w:space="0" w:color="auto"/>
        <w:right w:val="none" w:sz="0" w:space="0" w:color="auto"/>
      </w:divBdr>
    </w:div>
    <w:div w:id="934754143">
      <w:bodyDiv w:val="1"/>
      <w:marLeft w:val="0"/>
      <w:marRight w:val="0"/>
      <w:marTop w:val="0"/>
      <w:marBottom w:val="0"/>
      <w:divBdr>
        <w:top w:val="none" w:sz="0" w:space="0" w:color="auto"/>
        <w:left w:val="none" w:sz="0" w:space="0" w:color="auto"/>
        <w:bottom w:val="none" w:sz="0" w:space="0" w:color="auto"/>
        <w:right w:val="none" w:sz="0" w:space="0" w:color="auto"/>
      </w:divBdr>
    </w:div>
    <w:div w:id="939994673">
      <w:bodyDiv w:val="1"/>
      <w:marLeft w:val="0"/>
      <w:marRight w:val="0"/>
      <w:marTop w:val="0"/>
      <w:marBottom w:val="0"/>
      <w:divBdr>
        <w:top w:val="none" w:sz="0" w:space="0" w:color="auto"/>
        <w:left w:val="none" w:sz="0" w:space="0" w:color="auto"/>
        <w:bottom w:val="none" w:sz="0" w:space="0" w:color="auto"/>
        <w:right w:val="none" w:sz="0" w:space="0" w:color="auto"/>
      </w:divBdr>
    </w:div>
    <w:div w:id="943882026">
      <w:bodyDiv w:val="1"/>
      <w:marLeft w:val="0"/>
      <w:marRight w:val="0"/>
      <w:marTop w:val="0"/>
      <w:marBottom w:val="0"/>
      <w:divBdr>
        <w:top w:val="none" w:sz="0" w:space="0" w:color="auto"/>
        <w:left w:val="none" w:sz="0" w:space="0" w:color="auto"/>
        <w:bottom w:val="none" w:sz="0" w:space="0" w:color="auto"/>
        <w:right w:val="none" w:sz="0" w:space="0" w:color="auto"/>
      </w:divBdr>
    </w:div>
    <w:div w:id="945042313">
      <w:bodyDiv w:val="1"/>
      <w:marLeft w:val="0"/>
      <w:marRight w:val="0"/>
      <w:marTop w:val="0"/>
      <w:marBottom w:val="0"/>
      <w:divBdr>
        <w:top w:val="none" w:sz="0" w:space="0" w:color="auto"/>
        <w:left w:val="none" w:sz="0" w:space="0" w:color="auto"/>
        <w:bottom w:val="none" w:sz="0" w:space="0" w:color="auto"/>
        <w:right w:val="none" w:sz="0" w:space="0" w:color="auto"/>
      </w:divBdr>
    </w:div>
    <w:div w:id="951983772">
      <w:bodyDiv w:val="1"/>
      <w:marLeft w:val="0"/>
      <w:marRight w:val="0"/>
      <w:marTop w:val="0"/>
      <w:marBottom w:val="0"/>
      <w:divBdr>
        <w:top w:val="none" w:sz="0" w:space="0" w:color="auto"/>
        <w:left w:val="none" w:sz="0" w:space="0" w:color="auto"/>
        <w:bottom w:val="none" w:sz="0" w:space="0" w:color="auto"/>
        <w:right w:val="none" w:sz="0" w:space="0" w:color="auto"/>
      </w:divBdr>
    </w:div>
    <w:div w:id="96261239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0452252">
      <w:bodyDiv w:val="1"/>
      <w:marLeft w:val="0"/>
      <w:marRight w:val="0"/>
      <w:marTop w:val="0"/>
      <w:marBottom w:val="0"/>
      <w:divBdr>
        <w:top w:val="none" w:sz="0" w:space="0" w:color="auto"/>
        <w:left w:val="none" w:sz="0" w:space="0" w:color="auto"/>
        <w:bottom w:val="none" w:sz="0" w:space="0" w:color="auto"/>
        <w:right w:val="none" w:sz="0" w:space="0" w:color="auto"/>
      </w:divBdr>
    </w:div>
    <w:div w:id="991255668">
      <w:bodyDiv w:val="1"/>
      <w:marLeft w:val="0"/>
      <w:marRight w:val="0"/>
      <w:marTop w:val="0"/>
      <w:marBottom w:val="0"/>
      <w:divBdr>
        <w:top w:val="none" w:sz="0" w:space="0" w:color="auto"/>
        <w:left w:val="none" w:sz="0" w:space="0" w:color="auto"/>
        <w:bottom w:val="none" w:sz="0" w:space="0" w:color="auto"/>
        <w:right w:val="none" w:sz="0" w:space="0" w:color="auto"/>
      </w:divBdr>
    </w:div>
    <w:div w:id="995961121">
      <w:bodyDiv w:val="1"/>
      <w:marLeft w:val="0"/>
      <w:marRight w:val="0"/>
      <w:marTop w:val="0"/>
      <w:marBottom w:val="0"/>
      <w:divBdr>
        <w:top w:val="none" w:sz="0" w:space="0" w:color="auto"/>
        <w:left w:val="none" w:sz="0" w:space="0" w:color="auto"/>
        <w:bottom w:val="none" w:sz="0" w:space="0" w:color="auto"/>
        <w:right w:val="none" w:sz="0" w:space="0" w:color="auto"/>
      </w:divBdr>
    </w:div>
    <w:div w:id="996961029">
      <w:bodyDiv w:val="1"/>
      <w:marLeft w:val="0"/>
      <w:marRight w:val="0"/>
      <w:marTop w:val="0"/>
      <w:marBottom w:val="0"/>
      <w:divBdr>
        <w:top w:val="none" w:sz="0" w:space="0" w:color="auto"/>
        <w:left w:val="none" w:sz="0" w:space="0" w:color="auto"/>
        <w:bottom w:val="none" w:sz="0" w:space="0" w:color="auto"/>
        <w:right w:val="none" w:sz="0" w:space="0" w:color="auto"/>
      </w:divBdr>
    </w:div>
    <w:div w:id="998113566">
      <w:bodyDiv w:val="1"/>
      <w:marLeft w:val="0"/>
      <w:marRight w:val="0"/>
      <w:marTop w:val="0"/>
      <w:marBottom w:val="0"/>
      <w:divBdr>
        <w:top w:val="none" w:sz="0" w:space="0" w:color="auto"/>
        <w:left w:val="none" w:sz="0" w:space="0" w:color="auto"/>
        <w:bottom w:val="none" w:sz="0" w:space="0" w:color="auto"/>
        <w:right w:val="none" w:sz="0" w:space="0" w:color="auto"/>
      </w:divBdr>
    </w:div>
    <w:div w:id="1003506853">
      <w:bodyDiv w:val="1"/>
      <w:marLeft w:val="0"/>
      <w:marRight w:val="0"/>
      <w:marTop w:val="0"/>
      <w:marBottom w:val="0"/>
      <w:divBdr>
        <w:top w:val="none" w:sz="0" w:space="0" w:color="auto"/>
        <w:left w:val="none" w:sz="0" w:space="0" w:color="auto"/>
        <w:bottom w:val="none" w:sz="0" w:space="0" w:color="auto"/>
        <w:right w:val="none" w:sz="0" w:space="0" w:color="auto"/>
      </w:divBdr>
    </w:div>
    <w:div w:id="1004629841">
      <w:bodyDiv w:val="1"/>
      <w:marLeft w:val="0"/>
      <w:marRight w:val="0"/>
      <w:marTop w:val="0"/>
      <w:marBottom w:val="0"/>
      <w:divBdr>
        <w:top w:val="none" w:sz="0" w:space="0" w:color="auto"/>
        <w:left w:val="none" w:sz="0" w:space="0" w:color="auto"/>
        <w:bottom w:val="none" w:sz="0" w:space="0" w:color="auto"/>
        <w:right w:val="none" w:sz="0" w:space="0" w:color="auto"/>
      </w:divBdr>
    </w:div>
    <w:div w:id="1017928065">
      <w:bodyDiv w:val="1"/>
      <w:marLeft w:val="0"/>
      <w:marRight w:val="0"/>
      <w:marTop w:val="0"/>
      <w:marBottom w:val="0"/>
      <w:divBdr>
        <w:top w:val="none" w:sz="0" w:space="0" w:color="auto"/>
        <w:left w:val="none" w:sz="0" w:space="0" w:color="auto"/>
        <w:bottom w:val="none" w:sz="0" w:space="0" w:color="auto"/>
        <w:right w:val="none" w:sz="0" w:space="0" w:color="auto"/>
      </w:divBdr>
    </w:div>
    <w:div w:id="1023020351">
      <w:bodyDiv w:val="1"/>
      <w:marLeft w:val="0"/>
      <w:marRight w:val="0"/>
      <w:marTop w:val="0"/>
      <w:marBottom w:val="0"/>
      <w:divBdr>
        <w:top w:val="none" w:sz="0" w:space="0" w:color="auto"/>
        <w:left w:val="none" w:sz="0" w:space="0" w:color="auto"/>
        <w:bottom w:val="none" w:sz="0" w:space="0" w:color="auto"/>
        <w:right w:val="none" w:sz="0" w:space="0" w:color="auto"/>
      </w:divBdr>
    </w:div>
    <w:div w:id="1035231821">
      <w:bodyDiv w:val="1"/>
      <w:marLeft w:val="0"/>
      <w:marRight w:val="0"/>
      <w:marTop w:val="0"/>
      <w:marBottom w:val="0"/>
      <w:divBdr>
        <w:top w:val="none" w:sz="0" w:space="0" w:color="auto"/>
        <w:left w:val="none" w:sz="0" w:space="0" w:color="auto"/>
        <w:bottom w:val="none" w:sz="0" w:space="0" w:color="auto"/>
        <w:right w:val="none" w:sz="0" w:space="0" w:color="auto"/>
      </w:divBdr>
    </w:div>
    <w:div w:id="1043169160">
      <w:bodyDiv w:val="1"/>
      <w:marLeft w:val="0"/>
      <w:marRight w:val="0"/>
      <w:marTop w:val="0"/>
      <w:marBottom w:val="0"/>
      <w:divBdr>
        <w:top w:val="none" w:sz="0" w:space="0" w:color="auto"/>
        <w:left w:val="none" w:sz="0" w:space="0" w:color="auto"/>
        <w:bottom w:val="none" w:sz="0" w:space="0" w:color="auto"/>
        <w:right w:val="none" w:sz="0" w:space="0" w:color="auto"/>
      </w:divBdr>
    </w:div>
    <w:div w:id="1047267130">
      <w:bodyDiv w:val="1"/>
      <w:marLeft w:val="0"/>
      <w:marRight w:val="0"/>
      <w:marTop w:val="0"/>
      <w:marBottom w:val="0"/>
      <w:divBdr>
        <w:top w:val="none" w:sz="0" w:space="0" w:color="auto"/>
        <w:left w:val="none" w:sz="0" w:space="0" w:color="auto"/>
        <w:bottom w:val="none" w:sz="0" w:space="0" w:color="auto"/>
        <w:right w:val="none" w:sz="0" w:space="0" w:color="auto"/>
      </w:divBdr>
    </w:div>
    <w:div w:id="1050114616">
      <w:bodyDiv w:val="1"/>
      <w:marLeft w:val="0"/>
      <w:marRight w:val="0"/>
      <w:marTop w:val="0"/>
      <w:marBottom w:val="0"/>
      <w:divBdr>
        <w:top w:val="none" w:sz="0" w:space="0" w:color="auto"/>
        <w:left w:val="none" w:sz="0" w:space="0" w:color="auto"/>
        <w:bottom w:val="none" w:sz="0" w:space="0" w:color="auto"/>
        <w:right w:val="none" w:sz="0" w:space="0" w:color="auto"/>
      </w:divBdr>
    </w:div>
    <w:div w:id="1055816574">
      <w:bodyDiv w:val="1"/>
      <w:marLeft w:val="0"/>
      <w:marRight w:val="0"/>
      <w:marTop w:val="0"/>
      <w:marBottom w:val="0"/>
      <w:divBdr>
        <w:top w:val="none" w:sz="0" w:space="0" w:color="auto"/>
        <w:left w:val="none" w:sz="0" w:space="0" w:color="auto"/>
        <w:bottom w:val="none" w:sz="0" w:space="0" w:color="auto"/>
        <w:right w:val="none" w:sz="0" w:space="0" w:color="auto"/>
      </w:divBdr>
    </w:div>
    <w:div w:id="1056203396">
      <w:bodyDiv w:val="1"/>
      <w:marLeft w:val="0"/>
      <w:marRight w:val="0"/>
      <w:marTop w:val="0"/>
      <w:marBottom w:val="0"/>
      <w:divBdr>
        <w:top w:val="none" w:sz="0" w:space="0" w:color="auto"/>
        <w:left w:val="none" w:sz="0" w:space="0" w:color="auto"/>
        <w:bottom w:val="none" w:sz="0" w:space="0" w:color="auto"/>
        <w:right w:val="none" w:sz="0" w:space="0" w:color="auto"/>
      </w:divBdr>
    </w:div>
    <w:div w:id="1066608134">
      <w:bodyDiv w:val="1"/>
      <w:marLeft w:val="0"/>
      <w:marRight w:val="0"/>
      <w:marTop w:val="0"/>
      <w:marBottom w:val="0"/>
      <w:divBdr>
        <w:top w:val="none" w:sz="0" w:space="0" w:color="auto"/>
        <w:left w:val="none" w:sz="0" w:space="0" w:color="auto"/>
        <w:bottom w:val="none" w:sz="0" w:space="0" w:color="auto"/>
        <w:right w:val="none" w:sz="0" w:space="0" w:color="auto"/>
      </w:divBdr>
    </w:div>
    <w:div w:id="1072510260">
      <w:bodyDiv w:val="1"/>
      <w:marLeft w:val="0"/>
      <w:marRight w:val="0"/>
      <w:marTop w:val="0"/>
      <w:marBottom w:val="0"/>
      <w:divBdr>
        <w:top w:val="none" w:sz="0" w:space="0" w:color="auto"/>
        <w:left w:val="none" w:sz="0" w:space="0" w:color="auto"/>
        <w:bottom w:val="none" w:sz="0" w:space="0" w:color="auto"/>
        <w:right w:val="none" w:sz="0" w:space="0" w:color="auto"/>
      </w:divBdr>
    </w:div>
    <w:div w:id="1080517078">
      <w:bodyDiv w:val="1"/>
      <w:marLeft w:val="0"/>
      <w:marRight w:val="0"/>
      <w:marTop w:val="0"/>
      <w:marBottom w:val="0"/>
      <w:divBdr>
        <w:top w:val="none" w:sz="0" w:space="0" w:color="auto"/>
        <w:left w:val="none" w:sz="0" w:space="0" w:color="auto"/>
        <w:bottom w:val="none" w:sz="0" w:space="0" w:color="auto"/>
        <w:right w:val="none" w:sz="0" w:space="0" w:color="auto"/>
      </w:divBdr>
    </w:div>
    <w:div w:id="1104038413">
      <w:bodyDiv w:val="1"/>
      <w:marLeft w:val="0"/>
      <w:marRight w:val="0"/>
      <w:marTop w:val="0"/>
      <w:marBottom w:val="0"/>
      <w:divBdr>
        <w:top w:val="none" w:sz="0" w:space="0" w:color="auto"/>
        <w:left w:val="none" w:sz="0" w:space="0" w:color="auto"/>
        <w:bottom w:val="none" w:sz="0" w:space="0" w:color="auto"/>
        <w:right w:val="none" w:sz="0" w:space="0" w:color="auto"/>
      </w:divBdr>
    </w:div>
    <w:div w:id="1106730927">
      <w:bodyDiv w:val="1"/>
      <w:marLeft w:val="0"/>
      <w:marRight w:val="0"/>
      <w:marTop w:val="0"/>
      <w:marBottom w:val="0"/>
      <w:divBdr>
        <w:top w:val="none" w:sz="0" w:space="0" w:color="auto"/>
        <w:left w:val="none" w:sz="0" w:space="0" w:color="auto"/>
        <w:bottom w:val="none" w:sz="0" w:space="0" w:color="auto"/>
        <w:right w:val="none" w:sz="0" w:space="0" w:color="auto"/>
      </w:divBdr>
    </w:div>
    <w:div w:id="1107385131">
      <w:bodyDiv w:val="1"/>
      <w:marLeft w:val="0"/>
      <w:marRight w:val="0"/>
      <w:marTop w:val="0"/>
      <w:marBottom w:val="0"/>
      <w:divBdr>
        <w:top w:val="none" w:sz="0" w:space="0" w:color="auto"/>
        <w:left w:val="none" w:sz="0" w:space="0" w:color="auto"/>
        <w:bottom w:val="none" w:sz="0" w:space="0" w:color="auto"/>
        <w:right w:val="none" w:sz="0" w:space="0" w:color="auto"/>
      </w:divBdr>
    </w:div>
    <w:div w:id="1117139143">
      <w:bodyDiv w:val="1"/>
      <w:marLeft w:val="0"/>
      <w:marRight w:val="0"/>
      <w:marTop w:val="0"/>
      <w:marBottom w:val="0"/>
      <w:divBdr>
        <w:top w:val="none" w:sz="0" w:space="0" w:color="auto"/>
        <w:left w:val="none" w:sz="0" w:space="0" w:color="auto"/>
        <w:bottom w:val="none" w:sz="0" w:space="0" w:color="auto"/>
        <w:right w:val="none" w:sz="0" w:space="0" w:color="auto"/>
      </w:divBdr>
    </w:div>
    <w:div w:id="1118178413">
      <w:bodyDiv w:val="1"/>
      <w:marLeft w:val="0"/>
      <w:marRight w:val="0"/>
      <w:marTop w:val="0"/>
      <w:marBottom w:val="0"/>
      <w:divBdr>
        <w:top w:val="none" w:sz="0" w:space="0" w:color="auto"/>
        <w:left w:val="none" w:sz="0" w:space="0" w:color="auto"/>
        <w:bottom w:val="none" w:sz="0" w:space="0" w:color="auto"/>
        <w:right w:val="none" w:sz="0" w:space="0" w:color="auto"/>
      </w:divBdr>
    </w:div>
    <w:div w:id="1123695696">
      <w:bodyDiv w:val="1"/>
      <w:marLeft w:val="0"/>
      <w:marRight w:val="0"/>
      <w:marTop w:val="0"/>
      <w:marBottom w:val="0"/>
      <w:divBdr>
        <w:top w:val="none" w:sz="0" w:space="0" w:color="auto"/>
        <w:left w:val="none" w:sz="0" w:space="0" w:color="auto"/>
        <w:bottom w:val="none" w:sz="0" w:space="0" w:color="auto"/>
        <w:right w:val="none" w:sz="0" w:space="0" w:color="auto"/>
      </w:divBdr>
    </w:div>
    <w:div w:id="1131435178">
      <w:bodyDiv w:val="1"/>
      <w:marLeft w:val="0"/>
      <w:marRight w:val="0"/>
      <w:marTop w:val="0"/>
      <w:marBottom w:val="0"/>
      <w:divBdr>
        <w:top w:val="none" w:sz="0" w:space="0" w:color="auto"/>
        <w:left w:val="none" w:sz="0" w:space="0" w:color="auto"/>
        <w:bottom w:val="none" w:sz="0" w:space="0" w:color="auto"/>
        <w:right w:val="none" w:sz="0" w:space="0" w:color="auto"/>
      </w:divBdr>
    </w:div>
    <w:div w:id="113379155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4276794">
      <w:bodyDiv w:val="1"/>
      <w:marLeft w:val="0"/>
      <w:marRight w:val="0"/>
      <w:marTop w:val="0"/>
      <w:marBottom w:val="0"/>
      <w:divBdr>
        <w:top w:val="none" w:sz="0" w:space="0" w:color="auto"/>
        <w:left w:val="none" w:sz="0" w:space="0" w:color="auto"/>
        <w:bottom w:val="none" w:sz="0" w:space="0" w:color="auto"/>
        <w:right w:val="none" w:sz="0" w:space="0" w:color="auto"/>
      </w:divBdr>
    </w:div>
    <w:div w:id="1147209716">
      <w:bodyDiv w:val="1"/>
      <w:marLeft w:val="0"/>
      <w:marRight w:val="0"/>
      <w:marTop w:val="0"/>
      <w:marBottom w:val="0"/>
      <w:divBdr>
        <w:top w:val="none" w:sz="0" w:space="0" w:color="auto"/>
        <w:left w:val="none" w:sz="0" w:space="0" w:color="auto"/>
        <w:bottom w:val="none" w:sz="0" w:space="0" w:color="auto"/>
        <w:right w:val="none" w:sz="0" w:space="0" w:color="auto"/>
      </w:divBdr>
    </w:div>
    <w:div w:id="1154680744">
      <w:bodyDiv w:val="1"/>
      <w:marLeft w:val="0"/>
      <w:marRight w:val="0"/>
      <w:marTop w:val="0"/>
      <w:marBottom w:val="0"/>
      <w:divBdr>
        <w:top w:val="none" w:sz="0" w:space="0" w:color="auto"/>
        <w:left w:val="none" w:sz="0" w:space="0" w:color="auto"/>
        <w:bottom w:val="none" w:sz="0" w:space="0" w:color="auto"/>
        <w:right w:val="none" w:sz="0" w:space="0" w:color="auto"/>
      </w:divBdr>
    </w:div>
    <w:div w:id="1159346891">
      <w:bodyDiv w:val="1"/>
      <w:marLeft w:val="0"/>
      <w:marRight w:val="0"/>
      <w:marTop w:val="0"/>
      <w:marBottom w:val="0"/>
      <w:divBdr>
        <w:top w:val="none" w:sz="0" w:space="0" w:color="auto"/>
        <w:left w:val="none" w:sz="0" w:space="0" w:color="auto"/>
        <w:bottom w:val="none" w:sz="0" w:space="0" w:color="auto"/>
        <w:right w:val="none" w:sz="0" w:space="0" w:color="auto"/>
      </w:divBdr>
    </w:div>
    <w:div w:id="1162434322">
      <w:bodyDiv w:val="1"/>
      <w:marLeft w:val="0"/>
      <w:marRight w:val="0"/>
      <w:marTop w:val="0"/>
      <w:marBottom w:val="0"/>
      <w:divBdr>
        <w:top w:val="none" w:sz="0" w:space="0" w:color="auto"/>
        <w:left w:val="none" w:sz="0" w:space="0" w:color="auto"/>
        <w:bottom w:val="none" w:sz="0" w:space="0" w:color="auto"/>
        <w:right w:val="none" w:sz="0" w:space="0" w:color="auto"/>
      </w:divBdr>
    </w:div>
    <w:div w:id="1185821645">
      <w:bodyDiv w:val="1"/>
      <w:marLeft w:val="0"/>
      <w:marRight w:val="0"/>
      <w:marTop w:val="0"/>
      <w:marBottom w:val="0"/>
      <w:divBdr>
        <w:top w:val="none" w:sz="0" w:space="0" w:color="auto"/>
        <w:left w:val="none" w:sz="0" w:space="0" w:color="auto"/>
        <w:bottom w:val="none" w:sz="0" w:space="0" w:color="auto"/>
        <w:right w:val="none" w:sz="0" w:space="0" w:color="auto"/>
      </w:divBdr>
    </w:div>
    <w:div w:id="1187712121">
      <w:bodyDiv w:val="1"/>
      <w:marLeft w:val="0"/>
      <w:marRight w:val="0"/>
      <w:marTop w:val="0"/>
      <w:marBottom w:val="0"/>
      <w:divBdr>
        <w:top w:val="none" w:sz="0" w:space="0" w:color="auto"/>
        <w:left w:val="none" w:sz="0" w:space="0" w:color="auto"/>
        <w:bottom w:val="none" w:sz="0" w:space="0" w:color="auto"/>
        <w:right w:val="none" w:sz="0" w:space="0" w:color="auto"/>
      </w:divBdr>
    </w:div>
    <w:div w:id="1193031414">
      <w:bodyDiv w:val="1"/>
      <w:marLeft w:val="0"/>
      <w:marRight w:val="0"/>
      <w:marTop w:val="0"/>
      <w:marBottom w:val="0"/>
      <w:divBdr>
        <w:top w:val="none" w:sz="0" w:space="0" w:color="auto"/>
        <w:left w:val="none" w:sz="0" w:space="0" w:color="auto"/>
        <w:bottom w:val="none" w:sz="0" w:space="0" w:color="auto"/>
        <w:right w:val="none" w:sz="0" w:space="0" w:color="auto"/>
      </w:divBdr>
    </w:div>
    <w:div w:id="1195388158">
      <w:bodyDiv w:val="1"/>
      <w:marLeft w:val="0"/>
      <w:marRight w:val="0"/>
      <w:marTop w:val="0"/>
      <w:marBottom w:val="0"/>
      <w:divBdr>
        <w:top w:val="none" w:sz="0" w:space="0" w:color="auto"/>
        <w:left w:val="none" w:sz="0" w:space="0" w:color="auto"/>
        <w:bottom w:val="none" w:sz="0" w:space="0" w:color="auto"/>
        <w:right w:val="none" w:sz="0" w:space="0" w:color="auto"/>
      </w:divBdr>
    </w:div>
    <w:div w:id="1202087918">
      <w:bodyDiv w:val="1"/>
      <w:marLeft w:val="0"/>
      <w:marRight w:val="0"/>
      <w:marTop w:val="0"/>
      <w:marBottom w:val="0"/>
      <w:divBdr>
        <w:top w:val="none" w:sz="0" w:space="0" w:color="auto"/>
        <w:left w:val="none" w:sz="0" w:space="0" w:color="auto"/>
        <w:bottom w:val="none" w:sz="0" w:space="0" w:color="auto"/>
        <w:right w:val="none" w:sz="0" w:space="0" w:color="auto"/>
      </w:divBdr>
    </w:div>
    <w:div w:id="1204633309">
      <w:bodyDiv w:val="1"/>
      <w:marLeft w:val="0"/>
      <w:marRight w:val="0"/>
      <w:marTop w:val="0"/>
      <w:marBottom w:val="0"/>
      <w:divBdr>
        <w:top w:val="none" w:sz="0" w:space="0" w:color="auto"/>
        <w:left w:val="none" w:sz="0" w:space="0" w:color="auto"/>
        <w:bottom w:val="none" w:sz="0" w:space="0" w:color="auto"/>
        <w:right w:val="none" w:sz="0" w:space="0" w:color="auto"/>
      </w:divBdr>
    </w:div>
    <w:div w:id="1204753470">
      <w:bodyDiv w:val="1"/>
      <w:marLeft w:val="0"/>
      <w:marRight w:val="0"/>
      <w:marTop w:val="0"/>
      <w:marBottom w:val="0"/>
      <w:divBdr>
        <w:top w:val="none" w:sz="0" w:space="0" w:color="auto"/>
        <w:left w:val="none" w:sz="0" w:space="0" w:color="auto"/>
        <w:bottom w:val="none" w:sz="0" w:space="0" w:color="auto"/>
        <w:right w:val="none" w:sz="0" w:space="0" w:color="auto"/>
      </w:divBdr>
    </w:div>
    <w:div w:id="1214543549">
      <w:bodyDiv w:val="1"/>
      <w:marLeft w:val="0"/>
      <w:marRight w:val="0"/>
      <w:marTop w:val="0"/>
      <w:marBottom w:val="0"/>
      <w:divBdr>
        <w:top w:val="none" w:sz="0" w:space="0" w:color="auto"/>
        <w:left w:val="none" w:sz="0" w:space="0" w:color="auto"/>
        <w:bottom w:val="none" w:sz="0" w:space="0" w:color="auto"/>
        <w:right w:val="none" w:sz="0" w:space="0" w:color="auto"/>
      </w:divBdr>
    </w:div>
    <w:div w:id="1217736669">
      <w:bodyDiv w:val="1"/>
      <w:marLeft w:val="0"/>
      <w:marRight w:val="0"/>
      <w:marTop w:val="0"/>
      <w:marBottom w:val="0"/>
      <w:divBdr>
        <w:top w:val="none" w:sz="0" w:space="0" w:color="auto"/>
        <w:left w:val="none" w:sz="0" w:space="0" w:color="auto"/>
        <w:bottom w:val="none" w:sz="0" w:space="0" w:color="auto"/>
        <w:right w:val="none" w:sz="0" w:space="0" w:color="auto"/>
      </w:divBdr>
    </w:div>
    <w:div w:id="1218325052">
      <w:bodyDiv w:val="1"/>
      <w:marLeft w:val="0"/>
      <w:marRight w:val="0"/>
      <w:marTop w:val="0"/>
      <w:marBottom w:val="0"/>
      <w:divBdr>
        <w:top w:val="none" w:sz="0" w:space="0" w:color="auto"/>
        <w:left w:val="none" w:sz="0" w:space="0" w:color="auto"/>
        <w:bottom w:val="none" w:sz="0" w:space="0" w:color="auto"/>
        <w:right w:val="none" w:sz="0" w:space="0" w:color="auto"/>
      </w:divBdr>
    </w:div>
    <w:div w:id="1220555916">
      <w:bodyDiv w:val="1"/>
      <w:marLeft w:val="0"/>
      <w:marRight w:val="0"/>
      <w:marTop w:val="0"/>
      <w:marBottom w:val="0"/>
      <w:divBdr>
        <w:top w:val="none" w:sz="0" w:space="0" w:color="auto"/>
        <w:left w:val="none" w:sz="0" w:space="0" w:color="auto"/>
        <w:bottom w:val="none" w:sz="0" w:space="0" w:color="auto"/>
        <w:right w:val="none" w:sz="0" w:space="0" w:color="auto"/>
      </w:divBdr>
    </w:div>
    <w:div w:id="1225608706">
      <w:bodyDiv w:val="1"/>
      <w:marLeft w:val="0"/>
      <w:marRight w:val="0"/>
      <w:marTop w:val="0"/>
      <w:marBottom w:val="0"/>
      <w:divBdr>
        <w:top w:val="none" w:sz="0" w:space="0" w:color="auto"/>
        <w:left w:val="none" w:sz="0" w:space="0" w:color="auto"/>
        <w:bottom w:val="none" w:sz="0" w:space="0" w:color="auto"/>
        <w:right w:val="none" w:sz="0" w:space="0" w:color="auto"/>
      </w:divBdr>
    </w:div>
    <w:div w:id="1228030754">
      <w:bodyDiv w:val="1"/>
      <w:marLeft w:val="0"/>
      <w:marRight w:val="0"/>
      <w:marTop w:val="0"/>
      <w:marBottom w:val="0"/>
      <w:divBdr>
        <w:top w:val="none" w:sz="0" w:space="0" w:color="auto"/>
        <w:left w:val="none" w:sz="0" w:space="0" w:color="auto"/>
        <w:bottom w:val="none" w:sz="0" w:space="0" w:color="auto"/>
        <w:right w:val="none" w:sz="0" w:space="0" w:color="auto"/>
      </w:divBdr>
    </w:div>
    <w:div w:id="1231622018">
      <w:bodyDiv w:val="1"/>
      <w:marLeft w:val="0"/>
      <w:marRight w:val="0"/>
      <w:marTop w:val="0"/>
      <w:marBottom w:val="0"/>
      <w:divBdr>
        <w:top w:val="none" w:sz="0" w:space="0" w:color="auto"/>
        <w:left w:val="none" w:sz="0" w:space="0" w:color="auto"/>
        <w:bottom w:val="none" w:sz="0" w:space="0" w:color="auto"/>
        <w:right w:val="none" w:sz="0" w:space="0" w:color="auto"/>
      </w:divBdr>
    </w:div>
    <w:div w:id="1237402479">
      <w:bodyDiv w:val="1"/>
      <w:marLeft w:val="0"/>
      <w:marRight w:val="0"/>
      <w:marTop w:val="0"/>
      <w:marBottom w:val="0"/>
      <w:divBdr>
        <w:top w:val="none" w:sz="0" w:space="0" w:color="auto"/>
        <w:left w:val="none" w:sz="0" w:space="0" w:color="auto"/>
        <w:bottom w:val="none" w:sz="0" w:space="0" w:color="auto"/>
        <w:right w:val="none" w:sz="0" w:space="0" w:color="auto"/>
      </w:divBdr>
    </w:div>
    <w:div w:id="1238172026">
      <w:bodyDiv w:val="1"/>
      <w:marLeft w:val="0"/>
      <w:marRight w:val="0"/>
      <w:marTop w:val="0"/>
      <w:marBottom w:val="0"/>
      <w:divBdr>
        <w:top w:val="none" w:sz="0" w:space="0" w:color="auto"/>
        <w:left w:val="none" w:sz="0" w:space="0" w:color="auto"/>
        <w:bottom w:val="none" w:sz="0" w:space="0" w:color="auto"/>
        <w:right w:val="none" w:sz="0" w:space="0" w:color="auto"/>
      </w:divBdr>
    </w:div>
    <w:div w:id="1240402955">
      <w:bodyDiv w:val="1"/>
      <w:marLeft w:val="0"/>
      <w:marRight w:val="0"/>
      <w:marTop w:val="0"/>
      <w:marBottom w:val="0"/>
      <w:divBdr>
        <w:top w:val="none" w:sz="0" w:space="0" w:color="auto"/>
        <w:left w:val="none" w:sz="0" w:space="0" w:color="auto"/>
        <w:bottom w:val="none" w:sz="0" w:space="0" w:color="auto"/>
        <w:right w:val="none" w:sz="0" w:space="0" w:color="auto"/>
      </w:divBdr>
    </w:div>
    <w:div w:id="1241911381">
      <w:bodyDiv w:val="1"/>
      <w:marLeft w:val="0"/>
      <w:marRight w:val="0"/>
      <w:marTop w:val="0"/>
      <w:marBottom w:val="0"/>
      <w:divBdr>
        <w:top w:val="none" w:sz="0" w:space="0" w:color="auto"/>
        <w:left w:val="none" w:sz="0" w:space="0" w:color="auto"/>
        <w:bottom w:val="none" w:sz="0" w:space="0" w:color="auto"/>
        <w:right w:val="none" w:sz="0" w:space="0" w:color="auto"/>
      </w:divBdr>
    </w:div>
    <w:div w:id="1245646093">
      <w:bodyDiv w:val="1"/>
      <w:marLeft w:val="0"/>
      <w:marRight w:val="0"/>
      <w:marTop w:val="0"/>
      <w:marBottom w:val="0"/>
      <w:divBdr>
        <w:top w:val="none" w:sz="0" w:space="0" w:color="auto"/>
        <w:left w:val="none" w:sz="0" w:space="0" w:color="auto"/>
        <w:bottom w:val="none" w:sz="0" w:space="0" w:color="auto"/>
        <w:right w:val="none" w:sz="0" w:space="0" w:color="auto"/>
      </w:divBdr>
    </w:div>
    <w:div w:id="1251621464">
      <w:bodyDiv w:val="1"/>
      <w:marLeft w:val="0"/>
      <w:marRight w:val="0"/>
      <w:marTop w:val="0"/>
      <w:marBottom w:val="0"/>
      <w:divBdr>
        <w:top w:val="none" w:sz="0" w:space="0" w:color="auto"/>
        <w:left w:val="none" w:sz="0" w:space="0" w:color="auto"/>
        <w:bottom w:val="none" w:sz="0" w:space="0" w:color="auto"/>
        <w:right w:val="none" w:sz="0" w:space="0" w:color="auto"/>
      </w:divBdr>
    </w:div>
    <w:div w:id="1253053074">
      <w:bodyDiv w:val="1"/>
      <w:marLeft w:val="0"/>
      <w:marRight w:val="0"/>
      <w:marTop w:val="0"/>
      <w:marBottom w:val="0"/>
      <w:divBdr>
        <w:top w:val="none" w:sz="0" w:space="0" w:color="auto"/>
        <w:left w:val="none" w:sz="0" w:space="0" w:color="auto"/>
        <w:bottom w:val="none" w:sz="0" w:space="0" w:color="auto"/>
        <w:right w:val="none" w:sz="0" w:space="0" w:color="auto"/>
      </w:divBdr>
    </w:div>
    <w:div w:id="1259218639">
      <w:bodyDiv w:val="1"/>
      <w:marLeft w:val="0"/>
      <w:marRight w:val="0"/>
      <w:marTop w:val="0"/>
      <w:marBottom w:val="0"/>
      <w:divBdr>
        <w:top w:val="none" w:sz="0" w:space="0" w:color="auto"/>
        <w:left w:val="none" w:sz="0" w:space="0" w:color="auto"/>
        <w:bottom w:val="none" w:sz="0" w:space="0" w:color="auto"/>
        <w:right w:val="none" w:sz="0" w:space="0" w:color="auto"/>
      </w:divBdr>
    </w:div>
    <w:div w:id="1268191727">
      <w:bodyDiv w:val="1"/>
      <w:marLeft w:val="0"/>
      <w:marRight w:val="0"/>
      <w:marTop w:val="0"/>
      <w:marBottom w:val="0"/>
      <w:divBdr>
        <w:top w:val="none" w:sz="0" w:space="0" w:color="auto"/>
        <w:left w:val="none" w:sz="0" w:space="0" w:color="auto"/>
        <w:bottom w:val="none" w:sz="0" w:space="0" w:color="auto"/>
        <w:right w:val="none" w:sz="0" w:space="0" w:color="auto"/>
      </w:divBdr>
    </w:div>
    <w:div w:id="1275284270">
      <w:bodyDiv w:val="1"/>
      <w:marLeft w:val="0"/>
      <w:marRight w:val="0"/>
      <w:marTop w:val="0"/>
      <w:marBottom w:val="0"/>
      <w:divBdr>
        <w:top w:val="none" w:sz="0" w:space="0" w:color="auto"/>
        <w:left w:val="none" w:sz="0" w:space="0" w:color="auto"/>
        <w:bottom w:val="none" w:sz="0" w:space="0" w:color="auto"/>
        <w:right w:val="none" w:sz="0" w:space="0" w:color="auto"/>
      </w:divBdr>
    </w:div>
    <w:div w:id="1284264888">
      <w:bodyDiv w:val="1"/>
      <w:marLeft w:val="0"/>
      <w:marRight w:val="0"/>
      <w:marTop w:val="0"/>
      <w:marBottom w:val="0"/>
      <w:divBdr>
        <w:top w:val="none" w:sz="0" w:space="0" w:color="auto"/>
        <w:left w:val="none" w:sz="0" w:space="0" w:color="auto"/>
        <w:bottom w:val="none" w:sz="0" w:space="0" w:color="auto"/>
        <w:right w:val="none" w:sz="0" w:space="0" w:color="auto"/>
      </w:divBdr>
    </w:div>
    <w:div w:id="1288120615">
      <w:bodyDiv w:val="1"/>
      <w:marLeft w:val="0"/>
      <w:marRight w:val="0"/>
      <w:marTop w:val="0"/>
      <w:marBottom w:val="0"/>
      <w:divBdr>
        <w:top w:val="none" w:sz="0" w:space="0" w:color="auto"/>
        <w:left w:val="none" w:sz="0" w:space="0" w:color="auto"/>
        <w:bottom w:val="none" w:sz="0" w:space="0" w:color="auto"/>
        <w:right w:val="none" w:sz="0" w:space="0" w:color="auto"/>
      </w:divBdr>
    </w:div>
    <w:div w:id="1289815607">
      <w:bodyDiv w:val="1"/>
      <w:marLeft w:val="0"/>
      <w:marRight w:val="0"/>
      <w:marTop w:val="0"/>
      <w:marBottom w:val="0"/>
      <w:divBdr>
        <w:top w:val="none" w:sz="0" w:space="0" w:color="auto"/>
        <w:left w:val="none" w:sz="0" w:space="0" w:color="auto"/>
        <w:bottom w:val="none" w:sz="0" w:space="0" w:color="auto"/>
        <w:right w:val="none" w:sz="0" w:space="0" w:color="auto"/>
      </w:divBdr>
    </w:div>
    <w:div w:id="1292592301">
      <w:bodyDiv w:val="1"/>
      <w:marLeft w:val="0"/>
      <w:marRight w:val="0"/>
      <w:marTop w:val="0"/>
      <w:marBottom w:val="0"/>
      <w:divBdr>
        <w:top w:val="none" w:sz="0" w:space="0" w:color="auto"/>
        <w:left w:val="none" w:sz="0" w:space="0" w:color="auto"/>
        <w:bottom w:val="none" w:sz="0" w:space="0" w:color="auto"/>
        <w:right w:val="none" w:sz="0" w:space="0" w:color="auto"/>
      </w:divBdr>
    </w:div>
    <w:div w:id="1295603138">
      <w:bodyDiv w:val="1"/>
      <w:marLeft w:val="0"/>
      <w:marRight w:val="0"/>
      <w:marTop w:val="0"/>
      <w:marBottom w:val="0"/>
      <w:divBdr>
        <w:top w:val="none" w:sz="0" w:space="0" w:color="auto"/>
        <w:left w:val="none" w:sz="0" w:space="0" w:color="auto"/>
        <w:bottom w:val="none" w:sz="0" w:space="0" w:color="auto"/>
        <w:right w:val="none" w:sz="0" w:space="0" w:color="auto"/>
      </w:divBdr>
    </w:div>
    <w:div w:id="1296329194">
      <w:bodyDiv w:val="1"/>
      <w:marLeft w:val="0"/>
      <w:marRight w:val="0"/>
      <w:marTop w:val="0"/>
      <w:marBottom w:val="0"/>
      <w:divBdr>
        <w:top w:val="none" w:sz="0" w:space="0" w:color="auto"/>
        <w:left w:val="none" w:sz="0" w:space="0" w:color="auto"/>
        <w:bottom w:val="none" w:sz="0" w:space="0" w:color="auto"/>
        <w:right w:val="none" w:sz="0" w:space="0" w:color="auto"/>
      </w:divBdr>
    </w:div>
    <w:div w:id="1298148030">
      <w:bodyDiv w:val="1"/>
      <w:marLeft w:val="0"/>
      <w:marRight w:val="0"/>
      <w:marTop w:val="0"/>
      <w:marBottom w:val="0"/>
      <w:divBdr>
        <w:top w:val="none" w:sz="0" w:space="0" w:color="auto"/>
        <w:left w:val="none" w:sz="0" w:space="0" w:color="auto"/>
        <w:bottom w:val="none" w:sz="0" w:space="0" w:color="auto"/>
        <w:right w:val="none" w:sz="0" w:space="0" w:color="auto"/>
      </w:divBdr>
    </w:div>
    <w:div w:id="1307515056">
      <w:bodyDiv w:val="1"/>
      <w:marLeft w:val="0"/>
      <w:marRight w:val="0"/>
      <w:marTop w:val="0"/>
      <w:marBottom w:val="0"/>
      <w:divBdr>
        <w:top w:val="none" w:sz="0" w:space="0" w:color="auto"/>
        <w:left w:val="none" w:sz="0" w:space="0" w:color="auto"/>
        <w:bottom w:val="none" w:sz="0" w:space="0" w:color="auto"/>
        <w:right w:val="none" w:sz="0" w:space="0" w:color="auto"/>
      </w:divBdr>
    </w:div>
    <w:div w:id="1317609947">
      <w:bodyDiv w:val="1"/>
      <w:marLeft w:val="0"/>
      <w:marRight w:val="0"/>
      <w:marTop w:val="0"/>
      <w:marBottom w:val="0"/>
      <w:divBdr>
        <w:top w:val="none" w:sz="0" w:space="0" w:color="auto"/>
        <w:left w:val="none" w:sz="0" w:space="0" w:color="auto"/>
        <w:bottom w:val="none" w:sz="0" w:space="0" w:color="auto"/>
        <w:right w:val="none" w:sz="0" w:space="0" w:color="auto"/>
      </w:divBdr>
    </w:div>
    <w:div w:id="1326712600">
      <w:bodyDiv w:val="1"/>
      <w:marLeft w:val="0"/>
      <w:marRight w:val="0"/>
      <w:marTop w:val="0"/>
      <w:marBottom w:val="0"/>
      <w:divBdr>
        <w:top w:val="none" w:sz="0" w:space="0" w:color="auto"/>
        <w:left w:val="none" w:sz="0" w:space="0" w:color="auto"/>
        <w:bottom w:val="none" w:sz="0" w:space="0" w:color="auto"/>
        <w:right w:val="none" w:sz="0" w:space="0" w:color="auto"/>
      </w:divBdr>
    </w:div>
    <w:div w:id="1327975414">
      <w:bodyDiv w:val="1"/>
      <w:marLeft w:val="0"/>
      <w:marRight w:val="0"/>
      <w:marTop w:val="0"/>
      <w:marBottom w:val="0"/>
      <w:divBdr>
        <w:top w:val="none" w:sz="0" w:space="0" w:color="auto"/>
        <w:left w:val="none" w:sz="0" w:space="0" w:color="auto"/>
        <w:bottom w:val="none" w:sz="0" w:space="0" w:color="auto"/>
        <w:right w:val="none" w:sz="0" w:space="0" w:color="auto"/>
      </w:divBdr>
    </w:div>
    <w:div w:id="1332753200">
      <w:bodyDiv w:val="1"/>
      <w:marLeft w:val="0"/>
      <w:marRight w:val="0"/>
      <w:marTop w:val="0"/>
      <w:marBottom w:val="0"/>
      <w:divBdr>
        <w:top w:val="none" w:sz="0" w:space="0" w:color="auto"/>
        <w:left w:val="none" w:sz="0" w:space="0" w:color="auto"/>
        <w:bottom w:val="none" w:sz="0" w:space="0" w:color="auto"/>
        <w:right w:val="none" w:sz="0" w:space="0" w:color="auto"/>
      </w:divBdr>
    </w:div>
    <w:div w:id="1339425672">
      <w:bodyDiv w:val="1"/>
      <w:marLeft w:val="0"/>
      <w:marRight w:val="0"/>
      <w:marTop w:val="0"/>
      <w:marBottom w:val="0"/>
      <w:divBdr>
        <w:top w:val="none" w:sz="0" w:space="0" w:color="auto"/>
        <w:left w:val="none" w:sz="0" w:space="0" w:color="auto"/>
        <w:bottom w:val="none" w:sz="0" w:space="0" w:color="auto"/>
        <w:right w:val="none" w:sz="0" w:space="0" w:color="auto"/>
      </w:divBdr>
    </w:div>
    <w:div w:id="1356729197">
      <w:bodyDiv w:val="1"/>
      <w:marLeft w:val="0"/>
      <w:marRight w:val="0"/>
      <w:marTop w:val="0"/>
      <w:marBottom w:val="0"/>
      <w:divBdr>
        <w:top w:val="none" w:sz="0" w:space="0" w:color="auto"/>
        <w:left w:val="none" w:sz="0" w:space="0" w:color="auto"/>
        <w:bottom w:val="none" w:sz="0" w:space="0" w:color="auto"/>
        <w:right w:val="none" w:sz="0" w:space="0" w:color="auto"/>
      </w:divBdr>
    </w:div>
    <w:div w:id="1358308440">
      <w:bodyDiv w:val="1"/>
      <w:marLeft w:val="0"/>
      <w:marRight w:val="0"/>
      <w:marTop w:val="0"/>
      <w:marBottom w:val="0"/>
      <w:divBdr>
        <w:top w:val="none" w:sz="0" w:space="0" w:color="auto"/>
        <w:left w:val="none" w:sz="0" w:space="0" w:color="auto"/>
        <w:bottom w:val="none" w:sz="0" w:space="0" w:color="auto"/>
        <w:right w:val="none" w:sz="0" w:space="0" w:color="auto"/>
      </w:divBdr>
    </w:div>
    <w:div w:id="1364593906">
      <w:bodyDiv w:val="1"/>
      <w:marLeft w:val="0"/>
      <w:marRight w:val="0"/>
      <w:marTop w:val="0"/>
      <w:marBottom w:val="0"/>
      <w:divBdr>
        <w:top w:val="none" w:sz="0" w:space="0" w:color="auto"/>
        <w:left w:val="none" w:sz="0" w:space="0" w:color="auto"/>
        <w:bottom w:val="none" w:sz="0" w:space="0" w:color="auto"/>
        <w:right w:val="none" w:sz="0" w:space="0" w:color="auto"/>
      </w:divBdr>
    </w:div>
    <w:div w:id="1365639307">
      <w:bodyDiv w:val="1"/>
      <w:marLeft w:val="0"/>
      <w:marRight w:val="0"/>
      <w:marTop w:val="0"/>
      <w:marBottom w:val="0"/>
      <w:divBdr>
        <w:top w:val="none" w:sz="0" w:space="0" w:color="auto"/>
        <w:left w:val="none" w:sz="0" w:space="0" w:color="auto"/>
        <w:bottom w:val="none" w:sz="0" w:space="0" w:color="auto"/>
        <w:right w:val="none" w:sz="0" w:space="0" w:color="auto"/>
      </w:divBdr>
    </w:div>
    <w:div w:id="1381516821">
      <w:bodyDiv w:val="1"/>
      <w:marLeft w:val="0"/>
      <w:marRight w:val="0"/>
      <w:marTop w:val="0"/>
      <w:marBottom w:val="0"/>
      <w:divBdr>
        <w:top w:val="none" w:sz="0" w:space="0" w:color="auto"/>
        <w:left w:val="none" w:sz="0" w:space="0" w:color="auto"/>
        <w:bottom w:val="none" w:sz="0" w:space="0" w:color="auto"/>
        <w:right w:val="none" w:sz="0" w:space="0" w:color="auto"/>
      </w:divBdr>
    </w:div>
    <w:div w:id="1382291426">
      <w:bodyDiv w:val="1"/>
      <w:marLeft w:val="0"/>
      <w:marRight w:val="0"/>
      <w:marTop w:val="0"/>
      <w:marBottom w:val="0"/>
      <w:divBdr>
        <w:top w:val="none" w:sz="0" w:space="0" w:color="auto"/>
        <w:left w:val="none" w:sz="0" w:space="0" w:color="auto"/>
        <w:bottom w:val="none" w:sz="0" w:space="0" w:color="auto"/>
        <w:right w:val="none" w:sz="0" w:space="0" w:color="auto"/>
      </w:divBdr>
    </w:div>
    <w:div w:id="1384015265">
      <w:bodyDiv w:val="1"/>
      <w:marLeft w:val="0"/>
      <w:marRight w:val="0"/>
      <w:marTop w:val="0"/>
      <w:marBottom w:val="0"/>
      <w:divBdr>
        <w:top w:val="none" w:sz="0" w:space="0" w:color="auto"/>
        <w:left w:val="none" w:sz="0" w:space="0" w:color="auto"/>
        <w:bottom w:val="none" w:sz="0" w:space="0" w:color="auto"/>
        <w:right w:val="none" w:sz="0" w:space="0" w:color="auto"/>
      </w:divBdr>
    </w:div>
    <w:div w:id="1394161445">
      <w:bodyDiv w:val="1"/>
      <w:marLeft w:val="0"/>
      <w:marRight w:val="0"/>
      <w:marTop w:val="0"/>
      <w:marBottom w:val="0"/>
      <w:divBdr>
        <w:top w:val="none" w:sz="0" w:space="0" w:color="auto"/>
        <w:left w:val="none" w:sz="0" w:space="0" w:color="auto"/>
        <w:bottom w:val="none" w:sz="0" w:space="0" w:color="auto"/>
        <w:right w:val="none" w:sz="0" w:space="0" w:color="auto"/>
      </w:divBdr>
    </w:div>
    <w:div w:id="1397967865">
      <w:bodyDiv w:val="1"/>
      <w:marLeft w:val="0"/>
      <w:marRight w:val="0"/>
      <w:marTop w:val="0"/>
      <w:marBottom w:val="0"/>
      <w:divBdr>
        <w:top w:val="none" w:sz="0" w:space="0" w:color="auto"/>
        <w:left w:val="none" w:sz="0" w:space="0" w:color="auto"/>
        <w:bottom w:val="none" w:sz="0" w:space="0" w:color="auto"/>
        <w:right w:val="none" w:sz="0" w:space="0" w:color="auto"/>
      </w:divBdr>
    </w:div>
    <w:div w:id="1405958051">
      <w:bodyDiv w:val="1"/>
      <w:marLeft w:val="0"/>
      <w:marRight w:val="0"/>
      <w:marTop w:val="0"/>
      <w:marBottom w:val="0"/>
      <w:divBdr>
        <w:top w:val="none" w:sz="0" w:space="0" w:color="auto"/>
        <w:left w:val="none" w:sz="0" w:space="0" w:color="auto"/>
        <w:bottom w:val="none" w:sz="0" w:space="0" w:color="auto"/>
        <w:right w:val="none" w:sz="0" w:space="0" w:color="auto"/>
      </w:divBdr>
    </w:div>
    <w:div w:id="140622066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9043751">
      <w:bodyDiv w:val="1"/>
      <w:marLeft w:val="0"/>
      <w:marRight w:val="0"/>
      <w:marTop w:val="0"/>
      <w:marBottom w:val="0"/>
      <w:divBdr>
        <w:top w:val="none" w:sz="0" w:space="0" w:color="auto"/>
        <w:left w:val="none" w:sz="0" w:space="0" w:color="auto"/>
        <w:bottom w:val="none" w:sz="0" w:space="0" w:color="auto"/>
        <w:right w:val="none" w:sz="0" w:space="0" w:color="auto"/>
      </w:divBdr>
    </w:div>
    <w:div w:id="1434134708">
      <w:bodyDiv w:val="1"/>
      <w:marLeft w:val="0"/>
      <w:marRight w:val="0"/>
      <w:marTop w:val="0"/>
      <w:marBottom w:val="0"/>
      <w:divBdr>
        <w:top w:val="none" w:sz="0" w:space="0" w:color="auto"/>
        <w:left w:val="none" w:sz="0" w:space="0" w:color="auto"/>
        <w:bottom w:val="none" w:sz="0" w:space="0" w:color="auto"/>
        <w:right w:val="none" w:sz="0" w:space="0" w:color="auto"/>
      </w:divBdr>
    </w:div>
    <w:div w:id="143447639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35831">
      <w:bodyDiv w:val="1"/>
      <w:marLeft w:val="0"/>
      <w:marRight w:val="0"/>
      <w:marTop w:val="0"/>
      <w:marBottom w:val="0"/>
      <w:divBdr>
        <w:top w:val="none" w:sz="0" w:space="0" w:color="auto"/>
        <w:left w:val="none" w:sz="0" w:space="0" w:color="auto"/>
        <w:bottom w:val="none" w:sz="0" w:space="0" w:color="auto"/>
        <w:right w:val="none" w:sz="0" w:space="0" w:color="auto"/>
      </w:divBdr>
    </w:div>
    <w:div w:id="1445149569">
      <w:bodyDiv w:val="1"/>
      <w:marLeft w:val="0"/>
      <w:marRight w:val="0"/>
      <w:marTop w:val="0"/>
      <w:marBottom w:val="0"/>
      <w:divBdr>
        <w:top w:val="none" w:sz="0" w:space="0" w:color="auto"/>
        <w:left w:val="none" w:sz="0" w:space="0" w:color="auto"/>
        <w:bottom w:val="none" w:sz="0" w:space="0" w:color="auto"/>
        <w:right w:val="none" w:sz="0" w:space="0" w:color="auto"/>
      </w:divBdr>
    </w:div>
    <w:div w:id="1455634192">
      <w:bodyDiv w:val="1"/>
      <w:marLeft w:val="0"/>
      <w:marRight w:val="0"/>
      <w:marTop w:val="0"/>
      <w:marBottom w:val="0"/>
      <w:divBdr>
        <w:top w:val="none" w:sz="0" w:space="0" w:color="auto"/>
        <w:left w:val="none" w:sz="0" w:space="0" w:color="auto"/>
        <w:bottom w:val="none" w:sz="0" w:space="0" w:color="auto"/>
        <w:right w:val="none" w:sz="0" w:space="0" w:color="auto"/>
      </w:divBdr>
    </w:div>
    <w:div w:id="1474636487">
      <w:bodyDiv w:val="1"/>
      <w:marLeft w:val="0"/>
      <w:marRight w:val="0"/>
      <w:marTop w:val="0"/>
      <w:marBottom w:val="0"/>
      <w:divBdr>
        <w:top w:val="none" w:sz="0" w:space="0" w:color="auto"/>
        <w:left w:val="none" w:sz="0" w:space="0" w:color="auto"/>
        <w:bottom w:val="none" w:sz="0" w:space="0" w:color="auto"/>
        <w:right w:val="none" w:sz="0" w:space="0" w:color="auto"/>
      </w:divBdr>
    </w:div>
    <w:div w:id="1483159093">
      <w:bodyDiv w:val="1"/>
      <w:marLeft w:val="0"/>
      <w:marRight w:val="0"/>
      <w:marTop w:val="0"/>
      <w:marBottom w:val="0"/>
      <w:divBdr>
        <w:top w:val="none" w:sz="0" w:space="0" w:color="auto"/>
        <w:left w:val="none" w:sz="0" w:space="0" w:color="auto"/>
        <w:bottom w:val="none" w:sz="0" w:space="0" w:color="auto"/>
        <w:right w:val="none" w:sz="0" w:space="0" w:color="auto"/>
      </w:divBdr>
    </w:div>
    <w:div w:id="1503541832">
      <w:bodyDiv w:val="1"/>
      <w:marLeft w:val="0"/>
      <w:marRight w:val="0"/>
      <w:marTop w:val="0"/>
      <w:marBottom w:val="0"/>
      <w:divBdr>
        <w:top w:val="none" w:sz="0" w:space="0" w:color="auto"/>
        <w:left w:val="none" w:sz="0" w:space="0" w:color="auto"/>
        <w:bottom w:val="none" w:sz="0" w:space="0" w:color="auto"/>
        <w:right w:val="none" w:sz="0" w:space="0" w:color="auto"/>
      </w:divBdr>
    </w:div>
    <w:div w:id="1508322050">
      <w:bodyDiv w:val="1"/>
      <w:marLeft w:val="0"/>
      <w:marRight w:val="0"/>
      <w:marTop w:val="0"/>
      <w:marBottom w:val="0"/>
      <w:divBdr>
        <w:top w:val="none" w:sz="0" w:space="0" w:color="auto"/>
        <w:left w:val="none" w:sz="0" w:space="0" w:color="auto"/>
        <w:bottom w:val="none" w:sz="0" w:space="0" w:color="auto"/>
        <w:right w:val="none" w:sz="0" w:space="0" w:color="auto"/>
      </w:divBdr>
    </w:div>
    <w:div w:id="1517158405">
      <w:bodyDiv w:val="1"/>
      <w:marLeft w:val="0"/>
      <w:marRight w:val="0"/>
      <w:marTop w:val="0"/>
      <w:marBottom w:val="0"/>
      <w:divBdr>
        <w:top w:val="none" w:sz="0" w:space="0" w:color="auto"/>
        <w:left w:val="none" w:sz="0" w:space="0" w:color="auto"/>
        <w:bottom w:val="none" w:sz="0" w:space="0" w:color="auto"/>
        <w:right w:val="none" w:sz="0" w:space="0" w:color="auto"/>
      </w:divBdr>
    </w:div>
    <w:div w:id="1535195890">
      <w:bodyDiv w:val="1"/>
      <w:marLeft w:val="0"/>
      <w:marRight w:val="0"/>
      <w:marTop w:val="0"/>
      <w:marBottom w:val="0"/>
      <w:divBdr>
        <w:top w:val="none" w:sz="0" w:space="0" w:color="auto"/>
        <w:left w:val="none" w:sz="0" w:space="0" w:color="auto"/>
        <w:bottom w:val="none" w:sz="0" w:space="0" w:color="auto"/>
        <w:right w:val="none" w:sz="0" w:space="0" w:color="auto"/>
      </w:divBdr>
    </w:div>
    <w:div w:id="1563636777">
      <w:bodyDiv w:val="1"/>
      <w:marLeft w:val="0"/>
      <w:marRight w:val="0"/>
      <w:marTop w:val="0"/>
      <w:marBottom w:val="0"/>
      <w:divBdr>
        <w:top w:val="none" w:sz="0" w:space="0" w:color="auto"/>
        <w:left w:val="none" w:sz="0" w:space="0" w:color="auto"/>
        <w:bottom w:val="none" w:sz="0" w:space="0" w:color="auto"/>
        <w:right w:val="none" w:sz="0" w:space="0" w:color="auto"/>
      </w:divBdr>
    </w:div>
    <w:div w:id="1571621259">
      <w:bodyDiv w:val="1"/>
      <w:marLeft w:val="0"/>
      <w:marRight w:val="0"/>
      <w:marTop w:val="0"/>
      <w:marBottom w:val="0"/>
      <w:divBdr>
        <w:top w:val="none" w:sz="0" w:space="0" w:color="auto"/>
        <w:left w:val="none" w:sz="0" w:space="0" w:color="auto"/>
        <w:bottom w:val="none" w:sz="0" w:space="0" w:color="auto"/>
        <w:right w:val="none" w:sz="0" w:space="0" w:color="auto"/>
      </w:divBdr>
    </w:div>
    <w:div w:id="1575164073">
      <w:bodyDiv w:val="1"/>
      <w:marLeft w:val="0"/>
      <w:marRight w:val="0"/>
      <w:marTop w:val="0"/>
      <w:marBottom w:val="0"/>
      <w:divBdr>
        <w:top w:val="none" w:sz="0" w:space="0" w:color="auto"/>
        <w:left w:val="none" w:sz="0" w:space="0" w:color="auto"/>
        <w:bottom w:val="none" w:sz="0" w:space="0" w:color="auto"/>
        <w:right w:val="none" w:sz="0" w:space="0" w:color="auto"/>
      </w:divBdr>
    </w:div>
    <w:div w:id="1580363175">
      <w:bodyDiv w:val="1"/>
      <w:marLeft w:val="0"/>
      <w:marRight w:val="0"/>
      <w:marTop w:val="0"/>
      <w:marBottom w:val="0"/>
      <w:divBdr>
        <w:top w:val="none" w:sz="0" w:space="0" w:color="auto"/>
        <w:left w:val="none" w:sz="0" w:space="0" w:color="auto"/>
        <w:bottom w:val="none" w:sz="0" w:space="0" w:color="auto"/>
        <w:right w:val="none" w:sz="0" w:space="0" w:color="auto"/>
      </w:divBdr>
    </w:div>
    <w:div w:id="1585529292">
      <w:bodyDiv w:val="1"/>
      <w:marLeft w:val="0"/>
      <w:marRight w:val="0"/>
      <w:marTop w:val="0"/>
      <w:marBottom w:val="0"/>
      <w:divBdr>
        <w:top w:val="none" w:sz="0" w:space="0" w:color="auto"/>
        <w:left w:val="none" w:sz="0" w:space="0" w:color="auto"/>
        <w:bottom w:val="none" w:sz="0" w:space="0" w:color="auto"/>
        <w:right w:val="none" w:sz="0" w:space="0" w:color="auto"/>
      </w:divBdr>
    </w:div>
    <w:div w:id="1590578979">
      <w:bodyDiv w:val="1"/>
      <w:marLeft w:val="0"/>
      <w:marRight w:val="0"/>
      <w:marTop w:val="0"/>
      <w:marBottom w:val="0"/>
      <w:divBdr>
        <w:top w:val="none" w:sz="0" w:space="0" w:color="auto"/>
        <w:left w:val="none" w:sz="0" w:space="0" w:color="auto"/>
        <w:bottom w:val="none" w:sz="0" w:space="0" w:color="auto"/>
        <w:right w:val="none" w:sz="0" w:space="0" w:color="auto"/>
      </w:divBdr>
    </w:div>
    <w:div w:id="1591037199">
      <w:bodyDiv w:val="1"/>
      <w:marLeft w:val="0"/>
      <w:marRight w:val="0"/>
      <w:marTop w:val="0"/>
      <w:marBottom w:val="0"/>
      <w:divBdr>
        <w:top w:val="none" w:sz="0" w:space="0" w:color="auto"/>
        <w:left w:val="none" w:sz="0" w:space="0" w:color="auto"/>
        <w:bottom w:val="none" w:sz="0" w:space="0" w:color="auto"/>
        <w:right w:val="none" w:sz="0" w:space="0" w:color="auto"/>
      </w:divBdr>
    </w:div>
    <w:div w:id="1591890709">
      <w:bodyDiv w:val="1"/>
      <w:marLeft w:val="0"/>
      <w:marRight w:val="0"/>
      <w:marTop w:val="0"/>
      <w:marBottom w:val="0"/>
      <w:divBdr>
        <w:top w:val="none" w:sz="0" w:space="0" w:color="auto"/>
        <w:left w:val="none" w:sz="0" w:space="0" w:color="auto"/>
        <w:bottom w:val="none" w:sz="0" w:space="0" w:color="auto"/>
        <w:right w:val="none" w:sz="0" w:space="0" w:color="auto"/>
      </w:divBdr>
    </w:div>
    <w:div w:id="1595630196">
      <w:bodyDiv w:val="1"/>
      <w:marLeft w:val="0"/>
      <w:marRight w:val="0"/>
      <w:marTop w:val="0"/>
      <w:marBottom w:val="0"/>
      <w:divBdr>
        <w:top w:val="none" w:sz="0" w:space="0" w:color="auto"/>
        <w:left w:val="none" w:sz="0" w:space="0" w:color="auto"/>
        <w:bottom w:val="none" w:sz="0" w:space="0" w:color="auto"/>
        <w:right w:val="none" w:sz="0" w:space="0" w:color="auto"/>
      </w:divBdr>
    </w:div>
    <w:div w:id="1610430457">
      <w:bodyDiv w:val="1"/>
      <w:marLeft w:val="0"/>
      <w:marRight w:val="0"/>
      <w:marTop w:val="0"/>
      <w:marBottom w:val="0"/>
      <w:divBdr>
        <w:top w:val="none" w:sz="0" w:space="0" w:color="auto"/>
        <w:left w:val="none" w:sz="0" w:space="0" w:color="auto"/>
        <w:bottom w:val="none" w:sz="0" w:space="0" w:color="auto"/>
        <w:right w:val="none" w:sz="0" w:space="0" w:color="auto"/>
      </w:divBdr>
    </w:div>
    <w:div w:id="1615551613">
      <w:bodyDiv w:val="1"/>
      <w:marLeft w:val="0"/>
      <w:marRight w:val="0"/>
      <w:marTop w:val="0"/>
      <w:marBottom w:val="0"/>
      <w:divBdr>
        <w:top w:val="none" w:sz="0" w:space="0" w:color="auto"/>
        <w:left w:val="none" w:sz="0" w:space="0" w:color="auto"/>
        <w:bottom w:val="none" w:sz="0" w:space="0" w:color="auto"/>
        <w:right w:val="none" w:sz="0" w:space="0" w:color="auto"/>
      </w:divBdr>
    </w:div>
    <w:div w:id="1620335666">
      <w:bodyDiv w:val="1"/>
      <w:marLeft w:val="0"/>
      <w:marRight w:val="0"/>
      <w:marTop w:val="0"/>
      <w:marBottom w:val="0"/>
      <w:divBdr>
        <w:top w:val="none" w:sz="0" w:space="0" w:color="auto"/>
        <w:left w:val="none" w:sz="0" w:space="0" w:color="auto"/>
        <w:bottom w:val="none" w:sz="0" w:space="0" w:color="auto"/>
        <w:right w:val="none" w:sz="0" w:space="0" w:color="auto"/>
      </w:divBdr>
    </w:div>
    <w:div w:id="162214823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004380">
      <w:bodyDiv w:val="1"/>
      <w:marLeft w:val="0"/>
      <w:marRight w:val="0"/>
      <w:marTop w:val="0"/>
      <w:marBottom w:val="0"/>
      <w:divBdr>
        <w:top w:val="none" w:sz="0" w:space="0" w:color="auto"/>
        <w:left w:val="none" w:sz="0" w:space="0" w:color="auto"/>
        <w:bottom w:val="none" w:sz="0" w:space="0" w:color="auto"/>
        <w:right w:val="none" w:sz="0" w:space="0" w:color="auto"/>
      </w:divBdr>
    </w:div>
    <w:div w:id="1632906310">
      <w:bodyDiv w:val="1"/>
      <w:marLeft w:val="0"/>
      <w:marRight w:val="0"/>
      <w:marTop w:val="0"/>
      <w:marBottom w:val="0"/>
      <w:divBdr>
        <w:top w:val="none" w:sz="0" w:space="0" w:color="auto"/>
        <w:left w:val="none" w:sz="0" w:space="0" w:color="auto"/>
        <w:bottom w:val="none" w:sz="0" w:space="0" w:color="auto"/>
        <w:right w:val="none" w:sz="0" w:space="0" w:color="auto"/>
      </w:divBdr>
    </w:div>
    <w:div w:id="1642922291">
      <w:bodyDiv w:val="1"/>
      <w:marLeft w:val="0"/>
      <w:marRight w:val="0"/>
      <w:marTop w:val="0"/>
      <w:marBottom w:val="0"/>
      <w:divBdr>
        <w:top w:val="none" w:sz="0" w:space="0" w:color="auto"/>
        <w:left w:val="none" w:sz="0" w:space="0" w:color="auto"/>
        <w:bottom w:val="none" w:sz="0" w:space="0" w:color="auto"/>
        <w:right w:val="none" w:sz="0" w:space="0" w:color="auto"/>
      </w:divBdr>
    </w:div>
    <w:div w:id="1645546721">
      <w:bodyDiv w:val="1"/>
      <w:marLeft w:val="0"/>
      <w:marRight w:val="0"/>
      <w:marTop w:val="0"/>
      <w:marBottom w:val="0"/>
      <w:divBdr>
        <w:top w:val="none" w:sz="0" w:space="0" w:color="auto"/>
        <w:left w:val="none" w:sz="0" w:space="0" w:color="auto"/>
        <w:bottom w:val="none" w:sz="0" w:space="0" w:color="auto"/>
        <w:right w:val="none" w:sz="0" w:space="0" w:color="auto"/>
      </w:divBdr>
    </w:div>
    <w:div w:id="1649287989">
      <w:bodyDiv w:val="1"/>
      <w:marLeft w:val="0"/>
      <w:marRight w:val="0"/>
      <w:marTop w:val="0"/>
      <w:marBottom w:val="0"/>
      <w:divBdr>
        <w:top w:val="none" w:sz="0" w:space="0" w:color="auto"/>
        <w:left w:val="none" w:sz="0" w:space="0" w:color="auto"/>
        <w:bottom w:val="none" w:sz="0" w:space="0" w:color="auto"/>
        <w:right w:val="none" w:sz="0" w:space="0" w:color="auto"/>
      </w:divBdr>
    </w:div>
    <w:div w:id="1678851159">
      <w:bodyDiv w:val="1"/>
      <w:marLeft w:val="0"/>
      <w:marRight w:val="0"/>
      <w:marTop w:val="0"/>
      <w:marBottom w:val="0"/>
      <w:divBdr>
        <w:top w:val="none" w:sz="0" w:space="0" w:color="auto"/>
        <w:left w:val="none" w:sz="0" w:space="0" w:color="auto"/>
        <w:bottom w:val="none" w:sz="0" w:space="0" w:color="auto"/>
        <w:right w:val="none" w:sz="0" w:space="0" w:color="auto"/>
      </w:divBdr>
    </w:div>
    <w:div w:id="1684819716">
      <w:bodyDiv w:val="1"/>
      <w:marLeft w:val="0"/>
      <w:marRight w:val="0"/>
      <w:marTop w:val="0"/>
      <w:marBottom w:val="0"/>
      <w:divBdr>
        <w:top w:val="none" w:sz="0" w:space="0" w:color="auto"/>
        <w:left w:val="none" w:sz="0" w:space="0" w:color="auto"/>
        <w:bottom w:val="none" w:sz="0" w:space="0" w:color="auto"/>
        <w:right w:val="none" w:sz="0" w:space="0" w:color="auto"/>
      </w:divBdr>
    </w:div>
    <w:div w:id="1686976132">
      <w:bodyDiv w:val="1"/>
      <w:marLeft w:val="0"/>
      <w:marRight w:val="0"/>
      <w:marTop w:val="0"/>
      <w:marBottom w:val="0"/>
      <w:divBdr>
        <w:top w:val="none" w:sz="0" w:space="0" w:color="auto"/>
        <w:left w:val="none" w:sz="0" w:space="0" w:color="auto"/>
        <w:bottom w:val="none" w:sz="0" w:space="0" w:color="auto"/>
        <w:right w:val="none" w:sz="0" w:space="0" w:color="auto"/>
      </w:divBdr>
    </w:div>
    <w:div w:id="1691562522">
      <w:bodyDiv w:val="1"/>
      <w:marLeft w:val="0"/>
      <w:marRight w:val="0"/>
      <w:marTop w:val="0"/>
      <w:marBottom w:val="0"/>
      <w:divBdr>
        <w:top w:val="none" w:sz="0" w:space="0" w:color="auto"/>
        <w:left w:val="none" w:sz="0" w:space="0" w:color="auto"/>
        <w:bottom w:val="none" w:sz="0" w:space="0" w:color="auto"/>
        <w:right w:val="none" w:sz="0" w:space="0" w:color="auto"/>
      </w:divBdr>
    </w:div>
    <w:div w:id="1697005881">
      <w:bodyDiv w:val="1"/>
      <w:marLeft w:val="0"/>
      <w:marRight w:val="0"/>
      <w:marTop w:val="0"/>
      <w:marBottom w:val="0"/>
      <w:divBdr>
        <w:top w:val="none" w:sz="0" w:space="0" w:color="auto"/>
        <w:left w:val="none" w:sz="0" w:space="0" w:color="auto"/>
        <w:bottom w:val="none" w:sz="0" w:space="0" w:color="auto"/>
        <w:right w:val="none" w:sz="0" w:space="0" w:color="auto"/>
      </w:divBdr>
    </w:div>
    <w:div w:id="1707291971">
      <w:bodyDiv w:val="1"/>
      <w:marLeft w:val="0"/>
      <w:marRight w:val="0"/>
      <w:marTop w:val="0"/>
      <w:marBottom w:val="0"/>
      <w:divBdr>
        <w:top w:val="none" w:sz="0" w:space="0" w:color="auto"/>
        <w:left w:val="none" w:sz="0" w:space="0" w:color="auto"/>
        <w:bottom w:val="none" w:sz="0" w:space="0" w:color="auto"/>
        <w:right w:val="none" w:sz="0" w:space="0" w:color="auto"/>
      </w:divBdr>
    </w:div>
    <w:div w:id="1717393020">
      <w:bodyDiv w:val="1"/>
      <w:marLeft w:val="0"/>
      <w:marRight w:val="0"/>
      <w:marTop w:val="0"/>
      <w:marBottom w:val="0"/>
      <w:divBdr>
        <w:top w:val="none" w:sz="0" w:space="0" w:color="auto"/>
        <w:left w:val="none" w:sz="0" w:space="0" w:color="auto"/>
        <w:bottom w:val="none" w:sz="0" w:space="0" w:color="auto"/>
        <w:right w:val="none" w:sz="0" w:space="0" w:color="auto"/>
      </w:divBdr>
    </w:div>
    <w:div w:id="1732803452">
      <w:bodyDiv w:val="1"/>
      <w:marLeft w:val="0"/>
      <w:marRight w:val="0"/>
      <w:marTop w:val="0"/>
      <w:marBottom w:val="0"/>
      <w:divBdr>
        <w:top w:val="none" w:sz="0" w:space="0" w:color="auto"/>
        <w:left w:val="none" w:sz="0" w:space="0" w:color="auto"/>
        <w:bottom w:val="none" w:sz="0" w:space="0" w:color="auto"/>
        <w:right w:val="none" w:sz="0" w:space="0" w:color="auto"/>
      </w:divBdr>
    </w:div>
    <w:div w:id="1734114754">
      <w:bodyDiv w:val="1"/>
      <w:marLeft w:val="0"/>
      <w:marRight w:val="0"/>
      <w:marTop w:val="0"/>
      <w:marBottom w:val="0"/>
      <w:divBdr>
        <w:top w:val="none" w:sz="0" w:space="0" w:color="auto"/>
        <w:left w:val="none" w:sz="0" w:space="0" w:color="auto"/>
        <w:bottom w:val="none" w:sz="0" w:space="0" w:color="auto"/>
        <w:right w:val="none" w:sz="0" w:space="0" w:color="auto"/>
      </w:divBdr>
    </w:div>
    <w:div w:id="1736851055">
      <w:bodyDiv w:val="1"/>
      <w:marLeft w:val="0"/>
      <w:marRight w:val="0"/>
      <w:marTop w:val="0"/>
      <w:marBottom w:val="0"/>
      <w:divBdr>
        <w:top w:val="none" w:sz="0" w:space="0" w:color="auto"/>
        <w:left w:val="none" w:sz="0" w:space="0" w:color="auto"/>
        <w:bottom w:val="none" w:sz="0" w:space="0" w:color="auto"/>
        <w:right w:val="none" w:sz="0" w:space="0" w:color="auto"/>
      </w:divBdr>
    </w:div>
    <w:div w:id="1756397054">
      <w:bodyDiv w:val="1"/>
      <w:marLeft w:val="0"/>
      <w:marRight w:val="0"/>
      <w:marTop w:val="0"/>
      <w:marBottom w:val="0"/>
      <w:divBdr>
        <w:top w:val="none" w:sz="0" w:space="0" w:color="auto"/>
        <w:left w:val="none" w:sz="0" w:space="0" w:color="auto"/>
        <w:bottom w:val="none" w:sz="0" w:space="0" w:color="auto"/>
        <w:right w:val="none" w:sz="0" w:space="0" w:color="auto"/>
      </w:divBdr>
    </w:div>
    <w:div w:id="1757631496">
      <w:bodyDiv w:val="1"/>
      <w:marLeft w:val="0"/>
      <w:marRight w:val="0"/>
      <w:marTop w:val="0"/>
      <w:marBottom w:val="0"/>
      <w:divBdr>
        <w:top w:val="none" w:sz="0" w:space="0" w:color="auto"/>
        <w:left w:val="none" w:sz="0" w:space="0" w:color="auto"/>
        <w:bottom w:val="none" w:sz="0" w:space="0" w:color="auto"/>
        <w:right w:val="none" w:sz="0" w:space="0" w:color="auto"/>
      </w:divBdr>
    </w:div>
    <w:div w:id="1762487648">
      <w:bodyDiv w:val="1"/>
      <w:marLeft w:val="0"/>
      <w:marRight w:val="0"/>
      <w:marTop w:val="0"/>
      <w:marBottom w:val="0"/>
      <w:divBdr>
        <w:top w:val="none" w:sz="0" w:space="0" w:color="auto"/>
        <w:left w:val="none" w:sz="0" w:space="0" w:color="auto"/>
        <w:bottom w:val="none" w:sz="0" w:space="0" w:color="auto"/>
        <w:right w:val="none" w:sz="0" w:space="0" w:color="auto"/>
      </w:divBdr>
    </w:div>
    <w:div w:id="1767193479">
      <w:bodyDiv w:val="1"/>
      <w:marLeft w:val="0"/>
      <w:marRight w:val="0"/>
      <w:marTop w:val="0"/>
      <w:marBottom w:val="0"/>
      <w:divBdr>
        <w:top w:val="none" w:sz="0" w:space="0" w:color="auto"/>
        <w:left w:val="none" w:sz="0" w:space="0" w:color="auto"/>
        <w:bottom w:val="none" w:sz="0" w:space="0" w:color="auto"/>
        <w:right w:val="none" w:sz="0" w:space="0" w:color="auto"/>
      </w:divBdr>
    </w:div>
    <w:div w:id="1775855823">
      <w:bodyDiv w:val="1"/>
      <w:marLeft w:val="0"/>
      <w:marRight w:val="0"/>
      <w:marTop w:val="0"/>
      <w:marBottom w:val="0"/>
      <w:divBdr>
        <w:top w:val="none" w:sz="0" w:space="0" w:color="auto"/>
        <w:left w:val="none" w:sz="0" w:space="0" w:color="auto"/>
        <w:bottom w:val="none" w:sz="0" w:space="0" w:color="auto"/>
        <w:right w:val="none" w:sz="0" w:space="0" w:color="auto"/>
      </w:divBdr>
    </w:div>
    <w:div w:id="1791436133">
      <w:bodyDiv w:val="1"/>
      <w:marLeft w:val="0"/>
      <w:marRight w:val="0"/>
      <w:marTop w:val="0"/>
      <w:marBottom w:val="0"/>
      <w:divBdr>
        <w:top w:val="none" w:sz="0" w:space="0" w:color="auto"/>
        <w:left w:val="none" w:sz="0" w:space="0" w:color="auto"/>
        <w:bottom w:val="none" w:sz="0" w:space="0" w:color="auto"/>
        <w:right w:val="none" w:sz="0" w:space="0" w:color="auto"/>
      </w:divBdr>
    </w:div>
    <w:div w:id="1791585813">
      <w:bodyDiv w:val="1"/>
      <w:marLeft w:val="0"/>
      <w:marRight w:val="0"/>
      <w:marTop w:val="0"/>
      <w:marBottom w:val="0"/>
      <w:divBdr>
        <w:top w:val="none" w:sz="0" w:space="0" w:color="auto"/>
        <w:left w:val="none" w:sz="0" w:space="0" w:color="auto"/>
        <w:bottom w:val="none" w:sz="0" w:space="0" w:color="auto"/>
        <w:right w:val="none" w:sz="0" w:space="0" w:color="auto"/>
      </w:divBdr>
    </w:div>
    <w:div w:id="180318539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5000784">
      <w:bodyDiv w:val="1"/>
      <w:marLeft w:val="0"/>
      <w:marRight w:val="0"/>
      <w:marTop w:val="0"/>
      <w:marBottom w:val="0"/>
      <w:divBdr>
        <w:top w:val="none" w:sz="0" w:space="0" w:color="auto"/>
        <w:left w:val="none" w:sz="0" w:space="0" w:color="auto"/>
        <w:bottom w:val="none" w:sz="0" w:space="0" w:color="auto"/>
        <w:right w:val="none" w:sz="0" w:space="0" w:color="auto"/>
      </w:divBdr>
    </w:div>
    <w:div w:id="1833259388">
      <w:bodyDiv w:val="1"/>
      <w:marLeft w:val="0"/>
      <w:marRight w:val="0"/>
      <w:marTop w:val="0"/>
      <w:marBottom w:val="0"/>
      <w:divBdr>
        <w:top w:val="none" w:sz="0" w:space="0" w:color="auto"/>
        <w:left w:val="none" w:sz="0" w:space="0" w:color="auto"/>
        <w:bottom w:val="none" w:sz="0" w:space="0" w:color="auto"/>
        <w:right w:val="none" w:sz="0" w:space="0" w:color="auto"/>
      </w:divBdr>
    </w:div>
    <w:div w:id="1837376498">
      <w:bodyDiv w:val="1"/>
      <w:marLeft w:val="0"/>
      <w:marRight w:val="0"/>
      <w:marTop w:val="0"/>
      <w:marBottom w:val="0"/>
      <w:divBdr>
        <w:top w:val="none" w:sz="0" w:space="0" w:color="auto"/>
        <w:left w:val="none" w:sz="0" w:space="0" w:color="auto"/>
        <w:bottom w:val="none" w:sz="0" w:space="0" w:color="auto"/>
        <w:right w:val="none" w:sz="0" w:space="0" w:color="auto"/>
      </w:divBdr>
    </w:div>
    <w:div w:id="1837571556">
      <w:bodyDiv w:val="1"/>
      <w:marLeft w:val="0"/>
      <w:marRight w:val="0"/>
      <w:marTop w:val="0"/>
      <w:marBottom w:val="0"/>
      <w:divBdr>
        <w:top w:val="none" w:sz="0" w:space="0" w:color="auto"/>
        <w:left w:val="none" w:sz="0" w:space="0" w:color="auto"/>
        <w:bottom w:val="none" w:sz="0" w:space="0" w:color="auto"/>
        <w:right w:val="none" w:sz="0" w:space="0" w:color="auto"/>
      </w:divBdr>
    </w:div>
    <w:div w:id="1840346515">
      <w:bodyDiv w:val="1"/>
      <w:marLeft w:val="0"/>
      <w:marRight w:val="0"/>
      <w:marTop w:val="0"/>
      <w:marBottom w:val="0"/>
      <w:divBdr>
        <w:top w:val="none" w:sz="0" w:space="0" w:color="auto"/>
        <w:left w:val="none" w:sz="0" w:space="0" w:color="auto"/>
        <w:bottom w:val="none" w:sz="0" w:space="0" w:color="auto"/>
        <w:right w:val="none" w:sz="0" w:space="0" w:color="auto"/>
      </w:divBdr>
    </w:div>
    <w:div w:id="1857498623">
      <w:bodyDiv w:val="1"/>
      <w:marLeft w:val="0"/>
      <w:marRight w:val="0"/>
      <w:marTop w:val="0"/>
      <w:marBottom w:val="0"/>
      <w:divBdr>
        <w:top w:val="none" w:sz="0" w:space="0" w:color="auto"/>
        <w:left w:val="none" w:sz="0" w:space="0" w:color="auto"/>
        <w:bottom w:val="none" w:sz="0" w:space="0" w:color="auto"/>
        <w:right w:val="none" w:sz="0" w:space="0" w:color="auto"/>
      </w:divBdr>
    </w:div>
    <w:div w:id="1858159796">
      <w:bodyDiv w:val="1"/>
      <w:marLeft w:val="0"/>
      <w:marRight w:val="0"/>
      <w:marTop w:val="0"/>
      <w:marBottom w:val="0"/>
      <w:divBdr>
        <w:top w:val="none" w:sz="0" w:space="0" w:color="auto"/>
        <w:left w:val="none" w:sz="0" w:space="0" w:color="auto"/>
        <w:bottom w:val="none" w:sz="0" w:space="0" w:color="auto"/>
        <w:right w:val="none" w:sz="0" w:space="0" w:color="auto"/>
      </w:divBdr>
    </w:div>
    <w:div w:id="1873418325">
      <w:bodyDiv w:val="1"/>
      <w:marLeft w:val="0"/>
      <w:marRight w:val="0"/>
      <w:marTop w:val="0"/>
      <w:marBottom w:val="0"/>
      <w:divBdr>
        <w:top w:val="none" w:sz="0" w:space="0" w:color="auto"/>
        <w:left w:val="none" w:sz="0" w:space="0" w:color="auto"/>
        <w:bottom w:val="none" w:sz="0" w:space="0" w:color="auto"/>
        <w:right w:val="none" w:sz="0" w:space="0" w:color="auto"/>
      </w:divBdr>
    </w:div>
    <w:div w:id="1875773999">
      <w:bodyDiv w:val="1"/>
      <w:marLeft w:val="0"/>
      <w:marRight w:val="0"/>
      <w:marTop w:val="0"/>
      <w:marBottom w:val="0"/>
      <w:divBdr>
        <w:top w:val="none" w:sz="0" w:space="0" w:color="auto"/>
        <w:left w:val="none" w:sz="0" w:space="0" w:color="auto"/>
        <w:bottom w:val="none" w:sz="0" w:space="0" w:color="auto"/>
        <w:right w:val="none" w:sz="0" w:space="0" w:color="auto"/>
      </w:divBdr>
    </w:div>
    <w:div w:id="1880776164">
      <w:bodyDiv w:val="1"/>
      <w:marLeft w:val="0"/>
      <w:marRight w:val="0"/>
      <w:marTop w:val="0"/>
      <w:marBottom w:val="0"/>
      <w:divBdr>
        <w:top w:val="none" w:sz="0" w:space="0" w:color="auto"/>
        <w:left w:val="none" w:sz="0" w:space="0" w:color="auto"/>
        <w:bottom w:val="none" w:sz="0" w:space="0" w:color="auto"/>
        <w:right w:val="none" w:sz="0" w:space="0" w:color="auto"/>
      </w:divBdr>
    </w:div>
    <w:div w:id="1887402597">
      <w:bodyDiv w:val="1"/>
      <w:marLeft w:val="0"/>
      <w:marRight w:val="0"/>
      <w:marTop w:val="0"/>
      <w:marBottom w:val="0"/>
      <w:divBdr>
        <w:top w:val="none" w:sz="0" w:space="0" w:color="auto"/>
        <w:left w:val="none" w:sz="0" w:space="0" w:color="auto"/>
        <w:bottom w:val="none" w:sz="0" w:space="0" w:color="auto"/>
        <w:right w:val="none" w:sz="0" w:space="0" w:color="auto"/>
      </w:divBdr>
    </w:div>
    <w:div w:id="1902061763">
      <w:bodyDiv w:val="1"/>
      <w:marLeft w:val="0"/>
      <w:marRight w:val="0"/>
      <w:marTop w:val="0"/>
      <w:marBottom w:val="0"/>
      <w:divBdr>
        <w:top w:val="none" w:sz="0" w:space="0" w:color="auto"/>
        <w:left w:val="none" w:sz="0" w:space="0" w:color="auto"/>
        <w:bottom w:val="none" w:sz="0" w:space="0" w:color="auto"/>
        <w:right w:val="none" w:sz="0" w:space="0" w:color="auto"/>
      </w:divBdr>
    </w:div>
    <w:div w:id="1903979553">
      <w:bodyDiv w:val="1"/>
      <w:marLeft w:val="0"/>
      <w:marRight w:val="0"/>
      <w:marTop w:val="0"/>
      <w:marBottom w:val="0"/>
      <w:divBdr>
        <w:top w:val="none" w:sz="0" w:space="0" w:color="auto"/>
        <w:left w:val="none" w:sz="0" w:space="0" w:color="auto"/>
        <w:bottom w:val="none" w:sz="0" w:space="0" w:color="auto"/>
        <w:right w:val="none" w:sz="0" w:space="0" w:color="auto"/>
      </w:divBdr>
    </w:div>
    <w:div w:id="1917394458">
      <w:bodyDiv w:val="1"/>
      <w:marLeft w:val="0"/>
      <w:marRight w:val="0"/>
      <w:marTop w:val="0"/>
      <w:marBottom w:val="0"/>
      <w:divBdr>
        <w:top w:val="none" w:sz="0" w:space="0" w:color="auto"/>
        <w:left w:val="none" w:sz="0" w:space="0" w:color="auto"/>
        <w:bottom w:val="none" w:sz="0" w:space="0" w:color="auto"/>
        <w:right w:val="none" w:sz="0" w:space="0" w:color="auto"/>
      </w:divBdr>
    </w:div>
    <w:div w:id="1918899871">
      <w:bodyDiv w:val="1"/>
      <w:marLeft w:val="0"/>
      <w:marRight w:val="0"/>
      <w:marTop w:val="0"/>
      <w:marBottom w:val="0"/>
      <w:divBdr>
        <w:top w:val="none" w:sz="0" w:space="0" w:color="auto"/>
        <w:left w:val="none" w:sz="0" w:space="0" w:color="auto"/>
        <w:bottom w:val="none" w:sz="0" w:space="0" w:color="auto"/>
        <w:right w:val="none" w:sz="0" w:space="0" w:color="auto"/>
      </w:divBdr>
    </w:div>
    <w:div w:id="1925261089">
      <w:bodyDiv w:val="1"/>
      <w:marLeft w:val="0"/>
      <w:marRight w:val="0"/>
      <w:marTop w:val="0"/>
      <w:marBottom w:val="0"/>
      <w:divBdr>
        <w:top w:val="none" w:sz="0" w:space="0" w:color="auto"/>
        <w:left w:val="none" w:sz="0" w:space="0" w:color="auto"/>
        <w:bottom w:val="none" w:sz="0" w:space="0" w:color="auto"/>
        <w:right w:val="none" w:sz="0" w:space="0" w:color="auto"/>
      </w:divBdr>
    </w:div>
    <w:div w:id="1932618372">
      <w:bodyDiv w:val="1"/>
      <w:marLeft w:val="0"/>
      <w:marRight w:val="0"/>
      <w:marTop w:val="0"/>
      <w:marBottom w:val="0"/>
      <w:divBdr>
        <w:top w:val="none" w:sz="0" w:space="0" w:color="auto"/>
        <w:left w:val="none" w:sz="0" w:space="0" w:color="auto"/>
        <w:bottom w:val="none" w:sz="0" w:space="0" w:color="auto"/>
        <w:right w:val="none" w:sz="0" w:space="0" w:color="auto"/>
      </w:divBdr>
    </w:div>
    <w:div w:id="1936278456">
      <w:bodyDiv w:val="1"/>
      <w:marLeft w:val="0"/>
      <w:marRight w:val="0"/>
      <w:marTop w:val="0"/>
      <w:marBottom w:val="0"/>
      <w:divBdr>
        <w:top w:val="none" w:sz="0" w:space="0" w:color="auto"/>
        <w:left w:val="none" w:sz="0" w:space="0" w:color="auto"/>
        <w:bottom w:val="none" w:sz="0" w:space="0" w:color="auto"/>
        <w:right w:val="none" w:sz="0" w:space="0" w:color="auto"/>
      </w:divBdr>
    </w:div>
    <w:div w:id="1946961849">
      <w:bodyDiv w:val="1"/>
      <w:marLeft w:val="0"/>
      <w:marRight w:val="0"/>
      <w:marTop w:val="0"/>
      <w:marBottom w:val="0"/>
      <w:divBdr>
        <w:top w:val="none" w:sz="0" w:space="0" w:color="auto"/>
        <w:left w:val="none" w:sz="0" w:space="0" w:color="auto"/>
        <w:bottom w:val="none" w:sz="0" w:space="0" w:color="auto"/>
        <w:right w:val="none" w:sz="0" w:space="0" w:color="auto"/>
      </w:divBdr>
    </w:div>
    <w:div w:id="1954091520">
      <w:bodyDiv w:val="1"/>
      <w:marLeft w:val="0"/>
      <w:marRight w:val="0"/>
      <w:marTop w:val="0"/>
      <w:marBottom w:val="0"/>
      <w:divBdr>
        <w:top w:val="none" w:sz="0" w:space="0" w:color="auto"/>
        <w:left w:val="none" w:sz="0" w:space="0" w:color="auto"/>
        <w:bottom w:val="none" w:sz="0" w:space="0" w:color="auto"/>
        <w:right w:val="none" w:sz="0" w:space="0" w:color="auto"/>
      </w:divBdr>
    </w:div>
    <w:div w:id="1965844382">
      <w:bodyDiv w:val="1"/>
      <w:marLeft w:val="0"/>
      <w:marRight w:val="0"/>
      <w:marTop w:val="0"/>
      <w:marBottom w:val="0"/>
      <w:divBdr>
        <w:top w:val="none" w:sz="0" w:space="0" w:color="auto"/>
        <w:left w:val="none" w:sz="0" w:space="0" w:color="auto"/>
        <w:bottom w:val="none" w:sz="0" w:space="0" w:color="auto"/>
        <w:right w:val="none" w:sz="0" w:space="0" w:color="auto"/>
      </w:divBdr>
    </w:div>
    <w:div w:id="1966810155">
      <w:bodyDiv w:val="1"/>
      <w:marLeft w:val="0"/>
      <w:marRight w:val="0"/>
      <w:marTop w:val="0"/>
      <w:marBottom w:val="0"/>
      <w:divBdr>
        <w:top w:val="none" w:sz="0" w:space="0" w:color="auto"/>
        <w:left w:val="none" w:sz="0" w:space="0" w:color="auto"/>
        <w:bottom w:val="none" w:sz="0" w:space="0" w:color="auto"/>
        <w:right w:val="none" w:sz="0" w:space="0" w:color="auto"/>
      </w:divBdr>
    </w:div>
    <w:div w:id="1967808703">
      <w:bodyDiv w:val="1"/>
      <w:marLeft w:val="0"/>
      <w:marRight w:val="0"/>
      <w:marTop w:val="0"/>
      <w:marBottom w:val="0"/>
      <w:divBdr>
        <w:top w:val="none" w:sz="0" w:space="0" w:color="auto"/>
        <w:left w:val="none" w:sz="0" w:space="0" w:color="auto"/>
        <w:bottom w:val="none" w:sz="0" w:space="0" w:color="auto"/>
        <w:right w:val="none" w:sz="0" w:space="0" w:color="auto"/>
      </w:divBdr>
    </w:div>
    <w:div w:id="1970738587">
      <w:bodyDiv w:val="1"/>
      <w:marLeft w:val="0"/>
      <w:marRight w:val="0"/>
      <w:marTop w:val="0"/>
      <w:marBottom w:val="0"/>
      <w:divBdr>
        <w:top w:val="none" w:sz="0" w:space="0" w:color="auto"/>
        <w:left w:val="none" w:sz="0" w:space="0" w:color="auto"/>
        <w:bottom w:val="none" w:sz="0" w:space="0" w:color="auto"/>
        <w:right w:val="none" w:sz="0" w:space="0" w:color="auto"/>
      </w:divBdr>
    </w:div>
    <w:div w:id="1973438705">
      <w:bodyDiv w:val="1"/>
      <w:marLeft w:val="0"/>
      <w:marRight w:val="0"/>
      <w:marTop w:val="0"/>
      <w:marBottom w:val="0"/>
      <w:divBdr>
        <w:top w:val="none" w:sz="0" w:space="0" w:color="auto"/>
        <w:left w:val="none" w:sz="0" w:space="0" w:color="auto"/>
        <w:bottom w:val="none" w:sz="0" w:space="0" w:color="auto"/>
        <w:right w:val="none" w:sz="0" w:space="0" w:color="auto"/>
      </w:divBdr>
    </w:div>
    <w:div w:id="1988656765">
      <w:bodyDiv w:val="1"/>
      <w:marLeft w:val="0"/>
      <w:marRight w:val="0"/>
      <w:marTop w:val="0"/>
      <w:marBottom w:val="0"/>
      <w:divBdr>
        <w:top w:val="none" w:sz="0" w:space="0" w:color="auto"/>
        <w:left w:val="none" w:sz="0" w:space="0" w:color="auto"/>
        <w:bottom w:val="none" w:sz="0" w:space="0" w:color="auto"/>
        <w:right w:val="none" w:sz="0" w:space="0" w:color="auto"/>
      </w:divBdr>
    </w:div>
    <w:div w:id="1991903992">
      <w:bodyDiv w:val="1"/>
      <w:marLeft w:val="0"/>
      <w:marRight w:val="0"/>
      <w:marTop w:val="0"/>
      <w:marBottom w:val="0"/>
      <w:divBdr>
        <w:top w:val="none" w:sz="0" w:space="0" w:color="auto"/>
        <w:left w:val="none" w:sz="0" w:space="0" w:color="auto"/>
        <w:bottom w:val="none" w:sz="0" w:space="0" w:color="auto"/>
        <w:right w:val="none" w:sz="0" w:space="0" w:color="auto"/>
      </w:divBdr>
    </w:div>
    <w:div w:id="1995375668">
      <w:bodyDiv w:val="1"/>
      <w:marLeft w:val="0"/>
      <w:marRight w:val="0"/>
      <w:marTop w:val="0"/>
      <w:marBottom w:val="0"/>
      <w:divBdr>
        <w:top w:val="none" w:sz="0" w:space="0" w:color="auto"/>
        <w:left w:val="none" w:sz="0" w:space="0" w:color="auto"/>
        <w:bottom w:val="none" w:sz="0" w:space="0" w:color="auto"/>
        <w:right w:val="none" w:sz="0" w:space="0" w:color="auto"/>
      </w:divBdr>
    </w:div>
    <w:div w:id="1996449215">
      <w:bodyDiv w:val="1"/>
      <w:marLeft w:val="0"/>
      <w:marRight w:val="0"/>
      <w:marTop w:val="0"/>
      <w:marBottom w:val="0"/>
      <w:divBdr>
        <w:top w:val="none" w:sz="0" w:space="0" w:color="auto"/>
        <w:left w:val="none" w:sz="0" w:space="0" w:color="auto"/>
        <w:bottom w:val="none" w:sz="0" w:space="0" w:color="auto"/>
        <w:right w:val="none" w:sz="0" w:space="0" w:color="auto"/>
      </w:divBdr>
    </w:div>
    <w:div w:id="1997027242">
      <w:bodyDiv w:val="1"/>
      <w:marLeft w:val="0"/>
      <w:marRight w:val="0"/>
      <w:marTop w:val="0"/>
      <w:marBottom w:val="0"/>
      <w:divBdr>
        <w:top w:val="none" w:sz="0" w:space="0" w:color="auto"/>
        <w:left w:val="none" w:sz="0" w:space="0" w:color="auto"/>
        <w:bottom w:val="none" w:sz="0" w:space="0" w:color="auto"/>
        <w:right w:val="none" w:sz="0" w:space="0" w:color="auto"/>
      </w:divBdr>
    </w:div>
    <w:div w:id="1997027733">
      <w:bodyDiv w:val="1"/>
      <w:marLeft w:val="0"/>
      <w:marRight w:val="0"/>
      <w:marTop w:val="0"/>
      <w:marBottom w:val="0"/>
      <w:divBdr>
        <w:top w:val="none" w:sz="0" w:space="0" w:color="auto"/>
        <w:left w:val="none" w:sz="0" w:space="0" w:color="auto"/>
        <w:bottom w:val="none" w:sz="0" w:space="0" w:color="auto"/>
        <w:right w:val="none" w:sz="0" w:space="0" w:color="auto"/>
      </w:divBdr>
    </w:div>
    <w:div w:id="2001886111">
      <w:bodyDiv w:val="1"/>
      <w:marLeft w:val="0"/>
      <w:marRight w:val="0"/>
      <w:marTop w:val="0"/>
      <w:marBottom w:val="0"/>
      <w:divBdr>
        <w:top w:val="none" w:sz="0" w:space="0" w:color="auto"/>
        <w:left w:val="none" w:sz="0" w:space="0" w:color="auto"/>
        <w:bottom w:val="none" w:sz="0" w:space="0" w:color="auto"/>
        <w:right w:val="none" w:sz="0" w:space="0" w:color="auto"/>
      </w:divBdr>
    </w:div>
    <w:div w:id="2034455807">
      <w:bodyDiv w:val="1"/>
      <w:marLeft w:val="0"/>
      <w:marRight w:val="0"/>
      <w:marTop w:val="0"/>
      <w:marBottom w:val="0"/>
      <w:divBdr>
        <w:top w:val="none" w:sz="0" w:space="0" w:color="auto"/>
        <w:left w:val="none" w:sz="0" w:space="0" w:color="auto"/>
        <w:bottom w:val="none" w:sz="0" w:space="0" w:color="auto"/>
        <w:right w:val="none" w:sz="0" w:space="0" w:color="auto"/>
      </w:divBdr>
    </w:div>
    <w:div w:id="2037804086">
      <w:bodyDiv w:val="1"/>
      <w:marLeft w:val="0"/>
      <w:marRight w:val="0"/>
      <w:marTop w:val="0"/>
      <w:marBottom w:val="0"/>
      <w:divBdr>
        <w:top w:val="none" w:sz="0" w:space="0" w:color="auto"/>
        <w:left w:val="none" w:sz="0" w:space="0" w:color="auto"/>
        <w:bottom w:val="none" w:sz="0" w:space="0" w:color="auto"/>
        <w:right w:val="none" w:sz="0" w:space="0" w:color="auto"/>
      </w:divBdr>
    </w:div>
    <w:div w:id="2047364896">
      <w:bodyDiv w:val="1"/>
      <w:marLeft w:val="0"/>
      <w:marRight w:val="0"/>
      <w:marTop w:val="0"/>
      <w:marBottom w:val="0"/>
      <w:divBdr>
        <w:top w:val="none" w:sz="0" w:space="0" w:color="auto"/>
        <w:left w:val="none" w:sz="0" w:space="0" w:color="auto"/>
        <w:bottom w:val="none" w:sz="0" w:space="0" w:color="auto"/>
        <w:right w:val="none" w:sz="0" w:space="0" w:color="auto"/>
      </w:divBdr>
    </w:div>
    <w:div w:id="2055233230">
      <w:bodyDiv w:val="1"/>
      <w:marLeft w:val="0"/>
      <w:marRight w:val="0"/>
      <w:marTop w:val="0"/>
      <w:marBottom w:val="0"/>
      <w:divBdr>
        <w:top w:val="none" w:sz="0" w:space="0" w:color="auto"/>
        <w:left w:val="none" w:sz="0" w:space="0" w:color="auto"/>
        <w:bottom w:val="none" w:sz="0" w:space="0" w:color="auto"/>
        <w:right w:val="none" w:sz="0" w:space="0" w:color="auto"/>
      </w:divBdr>
    </w:div>
    <w:div w:id="2057122494">
      <w:bodyDiv w:val="1"/>
      <w:marLeft w:val="0"/>
      <w:marRight w:val="0"/>
      <w:marTop w:val="0"/>
      <w:marBottom w:val="0"/>
      <w:divBdr>
        <w:top w:val="none" w:sz="0" w:space="0" w:color="auto"/>
        <w:left w:val="none" w:sz="0" w:space="0" w:color="auto"/>
        <w:bottom w:val="none" w:sz="0" w:space="0" w:color="auto"/>
        <w:right w:val="none" w:sz="0" w:space="0" w:color="auto"/>
      </w:divBdr>
    </w:div>
    <w:div w:id="2068062628">
      <w:bodyDiv w:val="1"/>
      <w:marLeft w:val="0"/>
      <w:marRight w:val="0"/>
      <w:marTop w:val="0"/>
      <w:marBottom w:val="0"/>
      <w:divBdr>
        <w:top w:val="none" w:sz="0" w:space="0" w:color="auto"/>
        <w:left w:val="none" w:sz="0" w:space="0" w:color="auto"/>
        <w:bottom w:val="none" w:sz="0" w:space="0" w:color="auto"/>
        <w:right w:val="none" w:sz="0" w:space="0" w:color="auto"/>
      </w:divBdr>
    </w:div>
    <w:div w:id="2069180165">
      <w:bodyDiv w:val="1"/>
      <w:marLeft w:val="0"/>
      <w:marRight w:val="0"/>
      <w:marTop w:val="0"/>
      <w:marBottom w:val="0"/>
      <w:divBdr>
        <w:top w:val="none" w:sz="0" w:space="0" w:color="auto"/>
        <w:left w:val="none" w:sz="0" w:space="0" w:color="auto"/>
        <w:bottom w:val="none" w:sz="0" w:space="0" w:color="auto"/>
        <w:right w:val="none" w:sz="0" w:space="0" w:color="auto"/>
      </w:divBdr>
    </w:div>
    <w:div w:id="2071539930">
      <w:bodyDiv w:val="1"/>
      <w:marLeft w:val="0"/>
      <w:marRight w:val="0"/>
      <w:marTop w:val="0"/>
      <w:marBottom w:val="0"/>
      <w:divBdr>
        <w:top w:val="none" w:sz="0" w:space="0" w:color="auto"/>
        <w:left w:val="none" w:sz="0" w:space="0" w:color="auto"/>
        <w:bottom w:val="none" w:sz="0" w:space="0" w:color="auto"/>
        <w:right w:val="none" w:sz="0" w:space="0" w:color="auto"/>
      </w:divBdr>
    </w:div>
    <w:div w:id="2073431583">
      <w:bodyDiv w:val="1"/>
      <w:marLeft w:val="0"/>
      <w:marRight w:val="0"/>
      <w:marTop w:val="0"/>
      <w:marBottom w:val="0"/>
      <w:divBdr>
        <w:top w:val="none" w:sz="0" w:space="0" w:color="auto"/>
        <w:left w:val="none" w:sz="0" w:space="0" w:color="auto"/>
        <w:bottom w:val="none" w:sz="0" w:space="0" w:color="auto"/>
        <w:right w:val="none" w:sz="0" w:space="0" w:color="auto"/>
      </w:divBdr>
    </w:div>
    <w:div w:id="2079278187">
      <w:bodyDiv w:val="1"/>
      <w:marLeft w:val="0"/>
      <w:marRight w:val="0"/>
      <w:marTop w:val="0"/>
      <w:marBottom w:val="0"/>
      <w:divBdr>
        <w:top w:val="none" w:sz="0" w:space="0" w:color="auto"/>
        <w:left w:val="none" w:sz="0" w:space="0" w:color="auto"/>
        <w:bottom w:val="none" w:sz="0" w:space="0" w:color="auto"/>
        <w:right w:val="none" w:sz="0" w:space="0" w:color="auto"/>
      </w:divBdr>
    </w:div>
    <w:div w:id="208459694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532311">
      <w:bodyDiv w:val="1"/>
      <w:marLeft w:val="0"/>
      <w:marRight w:val="0"/>
      <w:marTop w:val="0"/>
      <w:marBottom w:val="0"/>
      <w:divBdr>
        <w:top w:val="none" w:sz="0" w:space="0" w:color="auto"/>
        <w:left w:val="none" w:sz="0" w:space="0" w:color="auto"/>
        <w:bottom w:val="none" w:sz="0" w:space="0" w:color="auto"/>
        <w:right w:val="none" w:sz="0" w:space="0" w:color="auto"/>
      </w:divBdr>
    </w:div>
    <w:div w:id="2092268855">
      <w:bodyDiv w:val="1"/>
      <w:marLeft w:val="0"/>
      <w:marRight w:val="0"/>
      <w:marTop w:val="0"/>
      <w:marBottom w:val="0"/>
      <w:divBdr>
        <w:top w:val="none" w:sz="0" w:space="0" w:color="auto"/>
        <w:left w:val="none" w:sz="0" w:space="0" w:color="auto"/>
        <w:bottom w:val="none" w:sz="0" w:space="0" w:color="auto"/>
        <w:right w:val="none" w:sz="0" w:space="0" w:color="auto"/>
      </w:divBdr>
    </w:div>
    <w:div w:id="2095740171">
      <w:bodyDiv w:val="1"/>
      <w:marLeft w:val="0"/>
      <w:marRight w:val="0"/>
      <w:marTop w:val="0"/>
      <w:marBottom w:val="0"/>
      <w:divBdr>
        <w:top w:val="none" w:sz="0" w:space="0" w:color="auto"/>
        <w:left w:val="none" w:sz="0" w:space="0" w:color="auto"/>
        <w:bottom w:val="none" w:sz="0" w:space="0" w:color="auto"/>
        <w:right w:val="none" w:sz="0" w:space="0" w:color="auto"/>
      </w:divBdr>
    </w:div>
    <w:div w:id="2099134513">
      <w:bodyDiv w:val="1"/>
      <w:marLeft w:val="0"/>
      <w:marRight w:val="0"/>
      <w:marTop w:val="0"/>
      <w:marBottom w:val="0"/>
      <w:divBdr>
        <w:top w:val="none" w:sz="0" w:space="0" w:color="auto"/>
        <w:left w:val="none" w:sz="0" w:space="0" w:color="auto"/>
        <w:bottom w:val="none" w:sz="0" w:space="0" w:color="auto"/>
        <w:right w:val="none" w:sz="0" w:space="0" w:color="auto"/>
      </w:divBdr>
    </w:div>
    <w:div w:id="2099523761">
      <w:bodyDiv w:val="1"/>
      <w:marLeft w:val="0"/>
      <w:marRight w:val="0"/>
      <w:marTop w:val="0"/>
      <w:marBottom w:val="0"/>
      <w:divBdr>
        <w:top w:val="none" w:sz="0" w:space="0" w:color="auto"/>
        <w:left w:val="none" w:sz="0" w:space="0" w:color="auto"/>
        <w:bottom w:val="none" w:sz="0" w:space="0" w:color="auto"/>
        <w:right w:val="none" w:sz="0" w:space="0" w:color="auto"/>
      </w:divBdr>
    </w:div>
    <w:div w:id="210241041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7944257">
      <w:bodyDiv w:val="1"/>
      <w:marLeft w:val="0"/>
      <w:marRight w:val="0"/>
      <w:marTop w:val="0"/>
      <w:marBottom w:val="0"/>
      <w:divBdr>
        <w:top w:val="none" w:sz="0" w:space="0" w:color="auto"/>
        <w:left w:val="none" w:sz="0" w:space="0" w:color="auto"/>
        <w:bottom w:val="none" w:sz="0" w:space="0" w:color="auto"/>
        <w:right w:val="none" w:sz="0" w:space="0" w:color="auto"/>
      </w:divBdr>
    </w:div>
    <w:div w:id="2130004500">
      <w:bodyDiv w:val="1"/>
      <w:marLeft w:val="0"/>
      <w:marRight w:val="0"/>
      <w:marTop w:val="0"/>
      <w:marBottom w:val="0"/>
      <w:divBdr>
        <w:top w:val="none" w:sz="0" w:space="0" w:color="auto"/>
        <w:left w:val="none" w:sz="0" w:space="0" w:color="auto"/>
        <w:bottom w:val="none" w:sz="0" w:space="0" w:color="auto"/>
        <w:right w:val="none" w:sz="0" w:space="0" w:color="auto"/>
      </w:divBdr>
    </w:div>
    <w:div w:id="2133474122">
      <w:bodyDiv w:val="1"/>
      <w:marLeft w:val="0"/>
      <w:marRight w:val="0"/>
      <w:marTop w:val="0"/>
      <w:marBottom w:val="0"/>
      <w:divBdr>
        <w:top w:val="none" w:sz="0" w:space="0" w:color="auto"/>
        <w:left w:val="none" w:sz="0" w:space="0" w:color="auto"/>
        <w:bottom w:val="none" w:sz="0" w:space="0" w:color="auto"/>
        <w:right w:val="none" w:sz="0" w:space="0" w:color="auto"/>
      </w:divBdr>
    </w:div>
    <w:div w:id="2134015424">
      <w:bodyDiv w:val="1"/>
      <w:marLeft w:val="0"/>
      <w:marRight w:val="0"/>
      <w:marTop w:val="0"/>
      <w:marBottom w:val="0"/>
      <w:divBdr>
        <w:top w:val="none" w:sz="0" w:space="0" w:color="auto"/>
        <w:left w:val="none" w:sz="0" w:space="0" w:color="auto"/>
        <w:bottom w:val="none" w:sz="0" w:space="0" w:color="auto"/>
        <w:right w:val="none" w:sz="0" w:space="0" w:color="auto"/>
      </w:divBdr>
    </w:div>
    <w:div w:id="2137093096">
      <w:bodyDiv w:val="1"/>
      <w:marLeft w:val="0"/>
      <w:marRight w:val="0"/>
      <w:marTop w:val="0"/>
      <w:marBottom w:val="0"/>
      <w:divBdr>
        <w:top w:val="none" w:sz="0" w:space="0" w:color="auto"/>
        <w:left w:val="none" w:sz="0" w:space="0" w:color="auto"/>
        <w:bottom w:val="none" w:sz="0" w:space="0" w:color="auto"/>
        <w:right w:val="none" w:sz="0" w:space="0" w:color="auto"/>
      </w:divBdr>
    </w:div>
    <w:div w:id="214404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onr.org.uk/publications/regulatory-guidance/regulatory-assessment-and-permissioning/safety-assessment-principles-saps/2014/11/saps-2014/"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onr.org.uk/media/gixbe2br/licence-condition-handbook.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onr.org.uk/generic-design-assessment/assessment-of-reactors/uk-european-pressurised-reactor-uk-epr/" TargetMode="External"/><Relationship Id="rId10" Type="http://schemas.openxmlformats.org/officeDocument/2006/relationships/header" Target="header1.xml"/><Relationship Id="rId19" Type="http://schemas.openxmlformats.org/officeDocument/2006/relationships/hyperlink" Target="http://www.onr.org.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www.onr.org.uk/publications/regulatory-guid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E489848E8619464F964EE6F7E6F0E601"/>
        <w:category>
          <w:name w:val="General"/>
          <w:gallery w:val="placeholder"/>
        </w:category>
        <w:types>
          <w:type w:val="bbPlcHdr"/>
        </w:types>
        <w:behaviors>
          <w:behavior w:val="content"/>
        </w:behaviors>
        <w:guid w:val="{6B8C0059-256E-4249-B811-33998EF5018A}"/>
      </w:docPartPr>
      <w:docPartBody>
        <w:p w:rsidR="005D7063" w:rsidRDefault="00134FE4" w:rsidP="00134FE4">
          <w:pPr>
            <w:pStyle w:val="E489848E8619464F964EE6F7E6F0E601"/>
          </w:pPr>
          <w:r w:rsidRPr="00561874">
            <w:rPr>
              <w:rStyle w:val="PlaceholderText"/>
            </w:rPr>
            <w:t>[Title]</w:t>
          </w:r>
        </w:p>
      </w:docPartBody>
    </w:docPart>
    <w:docPart>
      <w:docPartPr>
        <w:name w:val="6B495171326B4CAE988324888C8FD21B"/>
        <w:category>
          <w:name w:val="General"/>
          <w:gallery w:val="placeholder"/>
        </w:category>
        <w:types>
          <w:type w:val="bbPlcHdr"/>
        </w:types>
        <w:behaviors>
          <w:behavior w:val="content"/>
        </w:behaviors>
        <w:guid w:val="{F574F5E9-FA1F-4E8C-AE83-AD0653EEBC9F}"/>
      </w:docPartPr>
      <w:docPartBody>
        <w:p w:rsidR="005D7063" w:rsidRDefault="00134FE4" w:rsidP="00134FE4">
          <w:pPr>
            <w:pStyle w:val="6B495171326B4CAE988324888C8FD21B"/>
          </w:pPr>
          <w:r w:rsidRPr="0056187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4978"/>
    <w:rsid w:val="000C5F75"/>
    <w:rsid w:val="00134FE4"/>
    <w:rsid w:val="00183F29"/>
    <w:rsid w:val="00205246"/>
    <w:rsid w:val="002550FD"/>
    <w:rsid w:val="002D34E4"/>
    <w:rsid w:val="00333F8E"/>
    <w:rsid w:val="00350199"/>
    <w:rsid w:val="003F0369"/>
    <w:rsid w:val="003F63D5"/>
    <w:rsid w:val="004031D5"/>
    <w:rsid w:val="00430738"/>
    <w:rsid w:val="004D2E44"/>
    <w:rsid w:val="005D7063"/>
    <w:rsid w:val="005E7EFD"/>
    <w:rsid w:val="00611F13"/>
    <w:rsid w:val="00662D80"/>
    <w:rsid w:val="006C1F51"/>
    <w:rsid w:val="006C2B3E"/>
    <w:rsid w:val="006E7EFF"/>
    <w:rsid w:val="006F072E"/>
    <w:rsid w:val="007154C5"/>
    <w:rsid w:val="007259DF"/>
    <w:rsid w:val="007513A3"/>
    <w:rsid w:val="00770DA3"/>
    <w:rsid w:val="007F4597"/>
    <w:rsid w:val="00835E07"/>
    <w:rsid w:val="008A716B"/>
    <w:rsid w:val="00921022"/>
    <w:rsid w:val="00922A66"/>
    <w:rsid w:val="00B17A13"/>
    <w:rsid w:val="00BB1929"/>
    <w:rsid w:val="00BD59DF"/>
    <w:rsid w:val="00C1710C"/>
    <w:rsid w:val="00C41BCC"/>
    <w:rsid w:val="00CA0CE9"/>
    <w:rsid w:val="00CE37EF"/>
    <w:rsid w:val="00D01BD6"/>
    <w:rsid w:val="00DB2198"/>
    <w:rsid w:val="00DD19FC"/>
    <w:rsid w:val="00DD7BA4"/>
    <w:rsid w:val="00E318CE"/>
    <w:rsid w:val="00E646E1"/>
    <w:rsid w:val="00F14254"/>
    <w:rsid w:val="00F46B5D"/>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4FE4"/>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E489848E8619464F964EE6F7E6F0E601">
    <w:name w:val="E489848E8619464F964EE6F7E6F0E601"/>
    <w:rsid w:val="00134FE4"/>
    <w:rPr>
      <w:kern w:val="2"/>
      <w14:ligatures w14:val="standardContextual"/>
    </w:rPr>
  </w:style>
  <w:style w:type="paragraph" w:customStyle="1" w:styleId="6B495171326B4CAE988324888C8FD21B">
    <w:name w:val="6B495171326B4CAE988324888C8FD21B"/>
    <w:rsid w:val="00134FE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EDFProjectupdate</b:Tag>
    <b:SourceType>Report</b:SourceType>
    <b:Guid>{3A0B407F-41BB-4EB0-8C02-48DB6255CE21}</b:Guid>
    <b:Title>EDF Hinkley Point C - January 2024 project update - video (c. 1m:30s) - https://www.edfenergy.com/energy/nuclear-new-build-projects/hinkley-point-c/news-views/january-2024-project-update</b:Title>
    <b:URL>https://www.edfenergy.com/energy/nuclear-new-build-projects/hinkley-point-c/news-views/january-2024-project-update</b:URL>
    <b:RefOrder>1</b:RefOrder>
  </b:Source>
  <b:Source>
    <b:Tag>201332202</b:Tag>
    <b:SourceType>Report</b:SourceType>
    <b:Guid>{5CFA1885-DA0C-4627-AAAF-1D0324B92354}</b:Guid>
    <b:Title>ONR-GDA-AR-12-024 Rev 0 - GDA Close-out for the EDF and AREVA UK EPR™ Reactor - GDA Issue GI-UKEPR-CC-02 Revision 3 – Consolidated Final GDA Submission including agreed Design Changes for the UK EPR (2013/32202)</b:Title>
    <b:RefOrder>2</b:RefOrder>
  </b:Source>
  <b:Source>
    <b:Tag>UKAEA1982</b:Tag>
    <b:SourceType>Report</b:SourceType>
    <b:Guid>{172D2950-74F5-4DD8-9261-7027E5E78075}</b:Guid>
    <b:Title>UKAEA, 'An assessment of the integrity of PWR pressure vessels, A UK study group report,' 1982</b:Title>
    <b:RefOrder>3</b:RefOrder>
  </b:Source>
  <b:Source>
    <b:Tag>TAGSI</b:Tag>
    <b:SourceType>Report</b:SourceType>
    <b:Guid>{13A24C01-A2CB-4552-BDFC-55C3F22EA933}</b:Guid>
    <b:Title>TAGSI response to NII questions on incredibility of failure safety cases, TAGSI report TAGSI/P(97)140 Revision 6, 1998 (2016/138079)</b:Title>
    <b:RefOrder>4</b:RefOrder>
  </b:Source>
  <b:Source>
    <b:Tag>ONRSAPs</b:Tag>
    <b:SourceType>Misc</b:SourceType>
    <b:Guid>{4C42102C-DD12-4235-8909-851D8B75E534}</b:Guid>
    <b:Author>
      <b:Author>
        <b:NameList>
          <b:Person>
            <b:Last>ONR</b:Last>
          </b:Person>
        </b:NameList>
      </b:Author>
    </b:Author>
    <b:Title>Safety Assessment Principles for Nuclear Facilities</b:Title>
    <b:Year>2014 Edition, Revision 1 (January 2020) CM9 Ref. 2019/367414</b:Year>
    <b:RefOrder>16</b:RefOrder>
  </b:Source>
  <b:Source>
    <b:Tag>TAG16</b:Tag>
    <b:SourceType>Report</b:SourceType>
    <b:Guid>{558B56F4-10E4-42A4-9821-F3478FFFB719}</b:Guid>
    <b:Title>NS-TAST-GD-016 - ONR Technical Assessment Guide - Integrity of metal structures, systems and components. (2020/253779)</b:Title>
    <b:RefOrder>17</b:RefOrder>
  </b:Source>
  <b:Source>
    <b:Tag>SSG88</b:Tag>
    <b:SourceType>Report</b:SourceType>
    <b:Guid>{CD171FA0-D80E-4B95-AE76-EB881330DC8F}</b:Guid>
    <b:Title>SSG 88 - IAEA Specific Safety Guide 88 - Design Extension Conditions and the Concept of Practical Elimination in the Design of Nuclear Power Plants. https://www-pub.iaea.org/MTCD/Publications/PDF/PUB2055_web.pdf</b:Title>
    <b:RefOrder>5</b:RefOrder>
  </b:Source>
  <b:Source>
    <b:Tag>ROUKEPR43</b:Tag>
    <b:SourceType>Report</b:SourceType>
    <b:Guid>{F5C2DCD0-EB74-45B1-8337-0EF485021E70}</b:Guid>
    <b:Title>Regulatory Observation RO-EPR-043 - Safety functional categorisation and structures, systems and Components (SSC) classification for the UK EPR. (2009/467248)</b:Title>
    <b:RefOrder>6</b:RefOrder>
  </b:Source>
  <b:Source>
    <b:Tag>GDAissues</b:Tag>
    <b:SourceType>Report</b:SourceType>
    <b:Guid>{3040BFD9-12E9-4820-A2B3-024A109BD080}</b:Guid>
    <b:Title>UK EPR - GDA issues and resolution plans - https://www.onr.org.uk/publications/regulatory-reports/generic-design-assessment/uk-epr-gda-issues-and-resolution-plans/</b:Title>
    <b:RefOrder>7</b:RefOrder>
  </b:Source>
  <b:Source>
    <b:Tag>ONRGDAAR12006</b:Tag>
    <b:SourceType>Report</b:SourceType>
    <b:Guid>{9E29C15F-F6F0-423E-AEF9-656C97650FBF}</b:Guid>
    <b:Title>ONR-GDA-AR-12-006 Rev 0 - GDA Close-out for the EDF and AREVA UK EPR™ Reactor - GDA Issue GI-UKEPR-CE-01 Revision 1 – Hypothesis and Methodology Notes for Class 1 Structures. (2013/32236) https://www.onr.org.uk/media/aqbb1kum/gi-ukepr-ce-01.pdf</b:Title>
    <b:RefOrder>8</b:RefOrder>
  </b:Source>
  <b:Source>
    <b:Tag>SSG39</b:Tag>
    <b:SourceType>Report</b:SourceType>
    <b:Guid>{036701C6-1673-4FAA-8BAA-1104399D962F}</b:Guid>
    <b:Title>SSG 39 - IAEA Specific Safety Guide 39 - Design of Instrumentation and Control Systems for Nuclear Power Plants. https://www-pub.iaea.org/MTCD/publications/PDF/Pub1694_web.pdf</b:Title>
    <b:RefOrder>9</b:RefOrder>
  </b:Source>
  <b:Source>
    <b:Tag>RPS2009</b:Tag>
    <b:SourceType>Report</b:SourceType>
    <b:Guid>{14C77DDD-C9DD-423C-90B8-CAB16F954B18}</b:Guid>
    <b:Title>Joint Regulatory Position Statement on the EPR Pressurised Water Reactor. https://www.french-nuclear-safety.fr/asn-informs/news-releases/epr-pressurised-water-reactor</b:Title>
    <b:RefOrder>10</b:RefOrder>
  </b:Source>
  <b:Source>
    <b:Tag>PCERCH15</b:Tag>
    <b:SourceType>Report</b:SourceType>
    <b:Guid>{7A6DA7CB-22AC-4CEE-B373-DAB258F87852}</b:Guid>
    <b:Title>UKEPR-0003-015 Issue 03 - PCER – Sub-chapter 1.5 – Safety assessment and international practice. https://www.edfenergy.com/sites/default/files/sub-chapter_1.5_-_safety_assessment_and_international_practice_1.pdf</b:Title>
    <b:RefOrder>18</b:RefOrder>
  </b:Source>
  <b:Source>
    <b:Tag>ASN</b:Tag>
    <b:SourceType>Report</b:SourceType>
    <b:Guid>{4D25CA9C-F947-418F-95AA-A8331879399A}</b:Guid>
    <b:Title>ASN lifts its reservations regarding the I&amp;C architecture of the Flamanville 3 EPR. https://www.french-nuclear-safety.fr/asn-informs/news-releases/I-C-architecture-of-the-Flamanville-3-EPR</b:Title>
    <b:RefOrder>11</b:RefOrder>
  </b:Source>
  <b:Source>
    <b:Tag>Step4</b:Tag>
    <b:SourceType>Report</b:SourceType>
    <b:Guid>{96751693-7396-4623-B3CB-1B905377D1CC}</b:Guid>
    <b:Title>UKEPR GDA- Step 4 assessment reports. https://www.onr.org.uk/publications/regulatory-reports/generic-design-assessment/uk-epr-reports/</b:Title>
    <b:RefOrder>12</b:RefOrder>
  </b:Source>
  <b:Source>
    <b:Tag>ONRNRPAR18006</b:Tag>
    <b:SourceType>Report</b:SourceType>
    <b:Guid>{AABB3B06-A86E-4A2E-B113-96DDB15215DF}</b:Guid>
    <b:Title>ONR-NR-PAR-18-006 Rev 1 - Project assessment report - ONR assessment of a request by NNB GenCo (HPC) Ltd for Consent to commence unit 1 nuclear island concrete. https://www.onr.org.uk/media/ngbaoy5o/hinkley-point-c-18-006.pdf</b:Title>
    <b:RefOrder>13</b:RefOrder>
  </b:Source>
  <b:Source>
    <b:Tag>ONRGDAAR11020a</b:Tag>
    <b:SourceType>Report</b:SourceType>
    <b:Guid>{8D867654-FDB7-44F0-A765-D8B0703A3B00}</b:Guid>
    <b:Title>ONR-GDA-AR-11-020a Revision 0, Step 4 Fault Studies – Design Basis Faults Assessment of the EDF and AREVA UK EPR Reactor, ONR, 21 November 2011 </b:Title>
    <b:RefOrder>14</b:RefOrder>
  </b:Source>
  <b:Source>
    <b:Tag>ONRGDAAR11032</b:Tag>
    <b:SourceType>Report</b:SourceType>
    <b:Guid>{A84998D5-B3C1-4BBF-840B-ADBF86502C46}</b:Guid>
    <b:Title>ONR-GDA-AR-11-032 Revision 0, Step 4 Cross-cutting Topics Assessment of the EDF and AREVA UK EPR™ Reactor, ONR, 18 November 2011</b:Title>
    <b:RefOrder>15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93EAEC-1039-4146-89EE-8377C69C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29</Pages>
  <Words>9010</Words>
  <Characters>51362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ONR’s Regulatory influence on the EPR Design in the UK</vt:lpstr>
    </vt:vector>
  </TitlesOfParts>
  <Manager>Office for Nuclear Regulation</Manager>
  <Company>Office for Nuclear Regulation</Company>
  <LinksUpToDate>false</LinksUpToDate>
  <CharactersWithSpaces>60252</CharactersWithSpaces>
  <SharedDoc>false</SharedDoc>
  <HLinks>
    <vt:vector size="300" baseType="variant">
      <vt:variant>
        <vt:i4>8060968</vt:i4>
      </vt:variant>
      <vt:variant>
        <vt:i4>351</vt:i4>
      </vt:variant>
      <vt:variant>
        <vt:i4>0</vt:i4>
      </vt:variant>
      <vt:variant>
        <vt:i4>5</vt:i4>
      </vt:variant>
      <vt:variant>
        <vt:lpwstr>http://www.onr.org.uk/generic-design-assessment/assessment-of-reactors/uk-european-pressurised-reactor-uk-epr/</vt:lpwstr>
      </vt:variant>
      <vt:variant>
        <vt:lpwstr/>
      </vt:variant>
      <vt:variant>
        <vt:i4>4784213</vt:i4>
      </vt:variant>
      <vt:variant>
        <vt:i4>348</vt:i4>
      </vt:variant>
      <vt:variant>
        <vt:i4>0</vt:i4>
      </vt:variant>
      <vt:variant>
        <vt:i4>5</vt:i4>
      </vt:variant>
      <vt:variant>
        <vt:lpwstr>https://www.onr.org.uk/publications/regulatory-guidance/</vt:lpwstr>
      </vt:variant>
      <vt:variant>
        <vt:lpwstr/>
      </vt:variant>
      <vt:variant>
        <vt:i4>3866744</vt:i4>
      </vt:variant>
      <vt:variant>
        <vt:i4>345</vt:i4>
      </vt:variant>
      <vt:variant>
        <vt:i4>0</vt:i4>
      </vt:variant>
      <vt:variant>
        <vt:i4>5</vt:i4>
      </vt:variant>
      <vt:variant>
        <vt:lpwstr>http://www.onr.org.uk/publications/regulatory-guidance/regulatory-assessment-and-permissioning/safety-assessment-principles-saps/2014/11/saps-2014/</vt:lpwstr>
      </vt:variant>
      <vt:variant>
        <vt:lpwstr/>
      </vt:variant>
      <vt:variant>
        <vt:i4>2752630</vt:i4>
      </vt:variant>
      <vt:variant>
        <vt:i4>342</vt:i4>
      </vt:variant>
      <vt:variant>
        <vt:i4>0</vt:i4>
      </vt:variant>
      <vt:variant>
        <vt:i4>5</vt:i4>
      </vt:variant>
      <vt:variant>
        <vt:lpwstr>http://www.onr.org.uk/media/gixbe2br/licence-condition-handbook.pdf</vt:lpwstr>
      </vt:variant>
      <vt:variant>
        <vt:lpwstr/>
      </vt:variant>
      <vt:variant>
        <vt:i4>6553639</vt:i4>
      </vt:variant>
      <vt:variant>
        <vt:i4>339</vt:i4>
      </vt:variant>
      <vt:variant>
        <vt:i4>0</vt:i4>
      </vt:variant>
      <vt:variant>
        <vt:i4>5</vt:i4>
      </vt:variant>
      <vt:variant>
        <vt:lpwstr>http://www.onr.org.uk/</vt:lpwstr>
      </vt:variant>
      <vt:variant>
        <vt:lpwstr/>
      </vt:variant>
      <vt:variant>
        <vt:i4>1441846</vt:i4>
      </vt:variant>
      <vt:variant>
        <vt:i4>248</vt:i4>
      </vt:variant>
      <vt:variant>
        <vt:i4>0</vt:i4>
      </vt:variant>
      <vt:variant>
        <vt:i4>5</vt:i4>
      </vt:variant>
      <vt:variant>
        <vt:lpwstr/>
      </vt:variant>
      <vt:variant>
        <vt:lpwstr>_Toc177987888</vt:lpwstr>
      </vt:variant>
      <vt:variant>
        <vt:i4>1441846</vt:i4>
      </vt:variant>
      <vt:variant>
        <vt:i4>242</vt:i4>
      </vt:variant>
      <vt:variant>
        <vt:i4>0</vt:i4>
      </vt:variant>
      <vt:variant>
        <vt:i4>5</vt:i4>
      </vt:variant>
      <vt:variant>
        <vt:lpwstr/>
      </vt:variant>
      <vt:variant>
        <vt:lpwstr>_Toc177987887</vt:lpwstr>
      </vt:variant>
      <vt:variant>
        <vt:i4>1441846</vt:i4>
      </vt:variant>
      <vt:variant>
        <vt:i4>236</vt:i4>
      </vt:variant>
      <vt:variant>
        <vt:i4>0</vt:i4>
      </vt:variant>
      <vt:variant>
        <vt:i4>5</vt:i4>
      </vt:variant>
      <vt:variant>
        <vt:lpwstr/>
      </vt:variant>
      <vt:variant>
        <vt:lpwstr>_Toc177987886</vt:lpwstr>
      </vt:variant>
      <vt:variant>
        <vt:i4>1441846</vt:i4>
      </vt:variant>
      <vt:variant>
        <vt:i4>230</vt:i4>
      </vt:variant>
      <vt:variant>
        <vt:i4>0</vt:i4>
      </vt:variant>
      <vt:variant>
        <vt:i4>5</vt:i4>
      </vt:variant>
      <vt:variant>
        <vt:lpwstr/>
      </vt:variant>
      <vt:variant>
        <vt:lpwstr>_Toc177987885</vt:lpwstr>
      </vt:variant>
      <vt:variant>
        <vt:i4>1441846</vt:i4>
      </vt:variant>
      <vt:variant>
        <vt:i4>224</vt:i4>
      </vt:variant>
      <vt:variant>
        <vt:i4>0</vt:i4>
      </vt:variant>
      <vt:variant>
        <vt:i4>5</vt:i4>
      </vt:variant>
      <vt:variant>
        <vt:lpwstr/>
      </vt:variant>
      <vt:variant>
        <vt:lpwstr>_Toc177987884</vt:lpwstr>
      </vt:variant>
      <vt:variant>
        <vt:i4>1441846</vt:i4>
      </vt:variant>
      <vt:variant>
        <vt:i4>218</vt:i4>
      </vt:variant>
      <vt:variant>
        <vt:i4>0</vt:i4>
      </vt:variant>
      <vt:variant>
        <vt:i4>5</vt:i4>
      </vt:variant>
      <vt:variant>
        <vt:lpwstr/>
      </vt:variant>
      <vt:variant>
        <vt:lpwstr>_Toc177987883</vt:lpwstr>
      </vt:variant>
      <vt:variant>
        <vt:i4>1441846</vt:i4>
      </vt:variant>
      <vt:variant>
        <vt:i4>212</vt:i4>
      </vt:variant>
      <vt:variant>
        <vt:i4>0</vt:i4>
      </vt:variant>
      <vt:variant>
        <vt:i4>5</vt:i4>
      </vt:variant>
      <vt:variant>
        <vt:lpwstr/>
      </vt:variant>
      <vt:variant>
        <vt:lpwstr>_Toc177987882</vt:lpwstr>
      </vt:variant>
      <vt:variant>
        <vt:i4>1441846</vt:i4>
      </vt:variant>
      <vt:variant>
        <vt:i4>206</vt:i4>
      </vt:variant>
      <vt:variant>
        <vt:i4>0</vt:i4>
      </vt:variant>
      <vt:variant>
        <vt:i4>5</vt:i4>
      </vt:variant>
      <vt:variant>
        <vt:lpwstr/>
      </vt:variant>
      <vt:variant>
        <vt:lpwstr>_Toc177987881</vt:lpwstr>
      </vt:variant>
      <vt:variant>
        <vt:i4>1441846</vt:i4>
      </vt:variant>
      <vt:variant>
        <vt:i4>200</vt:i4>
      </vt:variant>
      <vt:variant>
        <vt:i4>0</vt:i4>
      </vt:variant>
      <vt:variant>
        <vt:i4>5</vt:i4>
      </vt:variant>
      <vt:variant>
        <vt:lpwstr/>
      </vt:variant>
      <vt:variant>
        <vt:lpwstr>_Toc177987880</vt:lpwstr>
      </vt:variant>
      <vt:variant>
        <vt:i4>1638454</vt:i4>
      </vt:variant>
      <vt:variant>
        <vt:i4>194</vt:i4>
      </vt:variant>
      <vt:variant>
        <vt:i4>0</vt:i4>
      </vt:variant>
      <vt:variant>
        <vt:i4>5</vt:i4>
      </vt:variant>
      <vt:variant>
        <vt:lpwstr/>
      </vt:variant>
      <vt:variant>
        <vt:lpwstr>_Toc177987879</vt:lpwstr>
      </vt:variant>
      <vt:variant>
        <vt:i4>1638454</vt:i4>
      </vt:variant>
      <vt:variant>
        <vt:i4>188</vt:i4>
      </vt:variant>
      <vt:variant>
        <vt:i4>0</vt:i4>
      </vt:variant>
      <vt:variant>
        <vt:i4>5</vt:i4>
      </vt:variant>
      <vt:variant>
        <vt:lpwstr/>
      </vt:variant>
      <vt:variant>
        <vt:lpwstr>_Toc177987878</vt:lpwstr>
      </vt:variant>
      <vt:variant>
        <vt:i4>1638454</vt:i4>
      </vt:variant>
      <vt:variant>
        <vt:i4>182</vt:i4>
      </vt:variant>
      <vt:variant>
        <vt:i4>0</vt:i4>
      </vt:variant>
      <vt:variant>
        <vt:i4>5</vt:i4>
      </vt:variant>
      <vt:variant>
        <vt:lpwstr/>
      </vt:variant>
      <vt:variant>
        <vt:lpwstr>_Toc177987877</vt:lpwstr>
      </vt:variant>
      <vt:variant>
        <vt:i4>1638454</vt:i4>
      </vt:variant>
      <vt:variant>
        <vt:i4>176</vt:i4>
      </vt:variant>
      <vt:variant>
        <vt:i4>0</vt:i4>
      </vt:variant>
      <vt:variant>
        <vt:i4>5</vt:i4>
      </vt:variant>
      <vt:variant>
        <vt:lpwstr/>
      </vt:variant>
      <vt:variant>
        <vt:lpwstr>_Toc177987876</vt:lpwstr>
      </vt:variant>
      <vt:variant>
        <vt:i4>1638454</vt:i4>
      </vt:variant>
      <vt:variant>
        <vt:i4>170</vt:i4>
      </vt:variant>
      <vt:variant>
        <vt:i4>0</vt:i4>
      </vt:variant>
      <vt:variant>
        <vt:i4>5</vt:i4>
      </vt:variant>
      <vt:variant>
        <vt:lpwstr/>
      </vt:variant>
      <vt:variant>
        <vt:lpwstr>_Toc177987875</vt:lpwstr>
      </vt:variant>
      <vt:variant>
        <vt:i4>1638454</vt:i4>
      </vt:variant>
      <vt:variant>
        <vt:i4>164</vt:i4>
      </vt:variant>
      <vt:variant>
        <vt:i4>0</vt:i4>
      </vt:variant>
      <vt:variant>
        <vt:i4>5</vt:i4>
      </vt:variant>
      <vt:variant>
        <vt:lpwstr/>
      </vt:variant>
      <vt:variant>
        <vt:lpwstr>_Toc177987874</vt:lpwstr>
      </vt:variant>
      <vt:variant>
        <vt:i4>1638454</vt:i4>
      </vt:variant>
      <vt:variant>
        <vt:i4>158</vt:i4>
      </vt:variant>
      <vt:variant>
        <vt:i4>0</vt:i4>
      </vt:variant>
      <vt:variant>
        <vt:i4>5</vt:i4>
      </vt:variant>
      <vt:variant>
        <vt:lpwstr/>
      </vt:variant>
      <vt:variant>
        <vt:lpwstr>_Toc177987873</vt:lpwstr>
      </vt:variant>
      <vt:variant>
        <vt:i4>1638454</vt:i4>
      </vt:variant>
      <vt:variant>
        <vt:i4>152</vt:i4>
      </vt:variant>
      <vt:variant>
        <vt:i4>0</vt:i4>
      </vt:variant>
      <vt:variant>
        <vt:i4>5</vt:i4>
      </vt:variant>
      <vt:variant>
        <vt:lpwstr/>
      </vt:variant>
      <vt:variant>
        <vt:lpwstr>_Toc177987872</vt:lpwstr>
      </vt:variant>
      <vt:variant>
        <vt:i4>1638454</vt:i4>
      </vt:variant>
      <vt:variant>
        <vt:i4>146</vt:i4>
      </vt:variant>
      <vt:variant>
        <vt:i4>0</vt:i4>
      </vt:variant>
      <vt:variant>
        <vt:i4>5</vt:i4>
      </vt:variant>
      <vt:variant>
        <vt:lpwstr/>
      </vt:variant>
      <vt:variant>
        <vt:lpwstr>_Toc177987871</vt:lpwstr>
      </vt:variant>
      <vt:variant>
        <vt:i4>1638454</vt:i4>
      </vt:variant>
      <vt:variant>
        <vt:i4>140</vt:i4>
      </vt:variant>
      <vt:variant>
        <vt:i4>0</vt:i4>
      </vt:variant>
      <vt:variant>
        <vt:i4>5</vt:i4>
      </vt:variant>
      <vt:variant>
        <vt:lpwstr/>
      </vt:variant>
      <vt:variant>
        <vt:lpwstr>_Toc177987870</vt:lpwstr>
      </vt:variant>
      <vt:variant>
        <vt:i4>1572918</vt:i4>
      </vt:variant>
      <vt:variant>
        <vt:i4>134</vt:i4>
      </vt:variant>
      <vt:variant>
        <vt:i4>0</vt:i4>
      </vt:variant>
      <vt:variant>
        <vt:i4>5</vt:i4>
      </vt:variant>
      <vt:variant>
        <vt:lpwstr/>
      </vt:variant>
      <vt:variant>
        <vt:lpwstr>_Toc177987869</vt:lpwstr>
      </vt:variant>
      <vt:variant>
        <vt:i4>1572918</vt:i4>
      </vt:variant>
      <vt:variant>
        <vt:i4>128</vt:i4>
      </vt:variant>
      <vt:variant>
        <vt:i4>0</vt:i4>
      </vt:variant>
      <vt:variant>
        <vt:i4>5</vt:i4>
      </vt:variant>
      <vt:variant>
        <vt:lpwstr/>
      </vt:variant>
      <vt:variant>
        <vt:lpwstr>_Toc177987868</vt:lpwstr>
      </vt:variant>
      <vt:variant>
        <vt:i4>1572918</vt:i4>
      </vt:variant>
      <vt:variant>
        <vt:i4>122</vt:i4>
      </vt:variant>
      <vt:variant>
        <vt:i4>0</vt:i4>
      </vt:variant>
      <vt:variant>
        <vt:i4>5</vt:i4>
      </vt:variant>
      <vt:variant>
        <vt:lpwstr/>
      </vt:variant>
      <vt:variant>
        <vt:lpwstr>_Toc177987867</vt:lpwstr>
      </vt:variant>
      <vt:variant>
        <vt:i4>1572918</vt:i4>
      </vt:variant>
      <vt:variant>
        <vt:i4>116</vt:i4>
      </vt:variant>
      <vt:variant>
        <vt:i4>0</vt:i4>
      </vt:variant>
      <vt:variant>
        <vt:i4>5</vt:i4>
      </vt:variant>
      <vt:variant>
        <vt:lpwstr/>
      </vt:variant>
      <vt:variant>
        <vt:lpwstr>_Toc177987866</vt:lpwstr>
      </vt:variant>
      <vt:variant>
        <vt:i4>1572918</vt:i4>
      </vt:variant>
      <vt:variant>
        <vt:i4>110</vt:i4>
      </vt:variant>
      <vt:variant>
        <vt:i4>0</vt:i4>
      </vt:variant>
      <vt:variant>
        <vt:i4>5</vt:i4>
      </vt:variant>
      <vt:variant>
        <vt:lpwstr/>
      </vt:variant>
      <vt:variant>
        <vt:lpwstr>_Toc177987865</vt:lpwstr>
      </vt:variant>
      <vt:variant>
        <vt:i4>1572918</vt:i4>
      </vt:variant>
      <vt:variant>
        <vt:i4>104</vt:i4>
      </vt:variant>
      <vt:variant>
        <vt:i4>0</vt:i4>
      </vt:variant>
      <vt:variant>
        <vt:i4>5</vt:i4>
      </vt:variant>
      <vt:variant>
        <vt:lpwstr/>
      </vt:variant>
      <vt:variant>
        <vt:lpwstr>_Toc177987864</vt:lpwstr>
      </vt:variant>
      <vt:variant>
        <vt:i4>1572918</vt:i4>
      </vt:variant>
      <vt:variant>
        <vt:i4>98</vt:i4>
      </vt:variant>
      <vt:variant>
        <vt:i4>0</vt:i4>
      </vt:variant>
      <vt:variant>
        <vt:i4>5</vt:i4>
      </vt:variant>
      <vt:variant>
        <vt:lpwstr/>
      </vt:variant>
      <vt:variant>
        <vt:lpwstr>_Toc177987863</vt:lpwstr>
      </vt:variant>
      <vt:variant>
        <vt:i4>1572918</vt:i4>
      </vt:variant>
      <vt:variant>
        <vt:i4>92</vt:i4>
      </vt:variant>
      <vt:variant>
        <vt:i4>0</vt:i4>
      </vt:variant>
      <vt:variant>
        <vt:i4>5</vt:i4>
      </vt:variant>
      <vt:variant>
        <vt:lpwstr/>
      </vt:variant>
      <vt:variant>
        <vt:lpwstr>_Toc177987862</vt:lpwstr>
      </vt:variant>
      <vt:variant>
        <vt:i4>1572918</vt:i4>
      </vt:variant>
      <vt:variant>
        <vt:i4>86</vt:i4>
      </vt:variant>
      <vt:variant>
        <vt:i4>0</vt:i4>
      </vt:variant>
      <vt:variant>
        <vt:i4>5</vt:i4>
      </vt:variant>
      <vt:variant>
        <vt:lpwstr/>
      </vt:variant>
      <vt:variant>
        <vt:lpwstr>_Toc177987861</vt:lpwstr>
      </vt:variant>
      <vt:variant>
        <vt:i4>1572918</vt:i4>
      </vt:variant>
      <vt:variant>
        <vt:i4>80</vt:i4>
      </vt:variant>
      <vt:variant>
        <vt:i4>0</vt:i4>
      </vt:variant>
      <vt:variant>
        <vt:i4>5</vt:i4>
      </vt:variant>
      <vt:variant>
        <vt:lpwstr/>
      </vt:variant>
      <vt:variant>
        <vt:lpwstr>_Toc177987860</vt:lpwstr>
      </vt:variant>
      <vt:variant>
        <vt:i4>1769526</vt:i4>
      </vt:variant>
      <vt:variant>
        <vt:i4>74</vt:i4>
      </vt:variant>
      <vt:variant>
        <vt:i4>0</vt:i4>
      </vt:variant>
      <vt:variant>
        <vt:i4>5</vt:i4>
      </vt:variant>
      <vt:variant>
        <vt:lpwstr/>
      </vt:variant>
      <vt:variant>
        <vt:lpwstr>_Toc177987859</vt:lpwstr>
      </vt:variant>
      <vt:variant>
        <vt:i4>1769526</vt:i4>
      </vt:variant>
      <vt:variant>
        <vt:i4>68</vt:i4>
      </vt:variant>
      <vt:variant>
        <vt:i4>0</vt:i4>
      </vt:variant>
      <vt:variant>
        <vt:i4>5</vt:i4>
      </vt:variant>
      <vt:variant>
        <vt:lpwstr/>
      </vt:variant>
      <vt:variant>
        <vt:lpwstr>_Toc177987858</vt:lpwstr>
      </vt:variant>
      <vt:variant>
        <vt:i4>1769526</vt:i4>
      </vt:variant>
      <vt:variant>
        <vt:i4>62</vt:i4>
      </vt:variant>
      <vt:variant>
        <vt:i4>0</vt:i4>
      </vt:variant>
      <vt:variant>
        <vt:i4>5</vt:i4>
      </vt:variant>
      <vt:variant>
        <vt:lpwstr/>
      </vt:variant>
      <vt:variant>
        <vt:lpwstr>_Toc177987857</vt:lpwstr>
      </vt:variant>
      <vt:variant>
        <vt:i4>1769526</vt:i4>
      </vt:variant>
      <vt:variant>
        <vt:i4>56</vt:i4>
      </vt:variant>
      <vt:variant>
        <vt:i4>0</vt:i4>
      </vt:variant>
      <vt:variant>
        <vt:i4>5</vt:i4>
      </vt:variant>
      <vt:variant>
        <vt:lpwstr/>
      </vt:variant>
      <vt:variant>
        <vt:lpwstr>_Toc177987856</vt:lpwstr>
      </vt:variant>
      <vt:variant>
        <vt:i4>1769526</vt:i4>
      </vt:variant>
      <vt:variant>
        <vt:i4>50</vt:i4>
      </vt:variant>
      <vt:variant>
        <vt:i4>0</vt:i4>
      </vt:variant>
      <vt:variant>
        <vt:i4>5</vt:i4>
      </vt:variant>
      <vt:variant>
        <vt:lpwstr/>
      </vt:variant>
      <vt:variant>
        <vt:lpwstr>_Toc177987855</vt:lpwstr>
      </vt:variant>
      <vt:variant>
        <vt:i4>1769526</vt:i4>
      </vt:variant>
      <vt:variant>
        <vt:i4>44</vt:i4>
      </vt:variant>
      <vt:variant>
        <vt:i4>0</vt:i4>
      </vt:variant>
      <vt:variant>
        <vt:i4>5</vt:i4>
      </vt:variant>
      <vt:variant>
        <vt:lpwstr/>
      </vt:variant>
      <vt:variant>
        <vt:lpwstr>_Toc177987854</vt:lpwstr>
      </vt:variant>
      <vt:variant>
        <vt:i4>1769526</vt:i4>
      </vt:variant>
      <vt:variant>
        <vt:i4>38</vt:i4>
      </vt:variant>
      <vt:variant>
        <vt:i4>0</vt:i4>
      </vt:variant>
      <vt:variant>
        <vt:i4>5</vt:i4>
      </vt:variant>
      <vt:variant>
        <vt:lpwstr/>
      </vt:variant>
      <vt:variant>
        <vt:lpwstr>_Toc177987853</vt:lpwstr>
      </vt:variant>
      <vt:variant>
        <vt:i4>1769526</vt:i4>
      </vt:variant>
      <vt:variant>
        <vt:i4>32</vt:i4>
      </vt:variant>
      <vt:variant>
        <vt:i4>0</vt:i4>
      </vt:variant>
      <vt:variant>
        <vt:i4>5</vt:i4>
      </vt:variant>
      <vt:variant>
        <vt:lpwstr/>
      </vt:variant>
      <vt:variant>
        <vt:lpwstr>_Toc177987852</vt:lpwstr>
      </vt:variant>
      <vt:variant>
        <vt:i4>1769526</vt:i4>
      </vt:variant>
      <vt:variant>
        <vt:i4>26</vt:i4>
      </vt:variant>
      <vt:variant>
        <vt:i4>0</vt:i4>
      </vt:variant>
      <vt:variant>
        <vt:i4>5</vt:i4>
      </vt:variant>
      <vt:variant>
        <vt:lpwstr/>
      </vt:variant>
      <vt:variant>
        <vt:lpwstr>_Toc177987851</vt:lpwstr>
      </vt:variant>
      <vt:variant>
        <vt:i4>1769526</vt:i4>
      </vt:variant>
      <vt:variant>
        <vt:i4>20</vt:i4>
      </vt:variant>
      <vt:variant>
        <vt:i4>0</vt:i4>
      </vt:variant>
      <vt:variant>
        <vt:i4>5</vt:i4>
      </vt:variant>
      <vt:variant>
        <vt:lpwstr/>
      </vt:variant>
      <vt:variant>
        <vt:lpwstr>_Toc177987850</vt:lpwstr>
      </vt:variant>
      <vt:variant>
        <vt:i4>1703990</vt:i4>
      </vt:variant>
      <vt:variant>
        <vt:i4>14</vt:i4>
      </vt:variant>
      <vt:variant>
        <vt:i4>0</vt:i4>
      </vt:variant>
      <vt:variant>
        <vt:i4>5</vt:i4>
      </vt:variant>
      <vt:variant>
        <vt:lpwstr/>
      </vt:variant>
      <vt:variant>
        <vt:lpwstr>_Toc177987849</vt:lpwstr>
      </vt:variant>
      <vt:variant>
        <vt:i4>1703990</vt:i4>
      </vt:variant>
      <vt:variant>
        <vt:i4>8</vt:i4>
      </vt:variant>
      <vt:variant>
        <vt:i4>0</vt:i4>
      </vt:variant>
      <vt:variant>
        <vt:i4>5</vt:i4>
      </vt:variant>
      <vt:variant>
        <vt:lpwstr/>
      </vt:variant>
      <vt:variant>
        <vt:lpwstr>_Toc177987848</vt:lpwstr>
      </vt:variant>
      <vt:variant>
        <vt:i4>1703990</vt:i4>
      </vt:variant>
      <vt:variant>
        <vt:i4>2</vt:i4>
      </vt:variant>
      <vt:variant>
        <vt:i4>0</vt:i4>
      </vt:variant>
      <vt:variant>
        <vt:i4>5</vt:i4>
      </vt:variant>
      <vt:variant>
        <vt:lpwstr/>
      </vt:variant>
      <vt:variant>
        <vt:lpwstr>_Toc177987847</vt:lpwstr>
      </vt:variant>
      <vt:variant>
        <vt:i4>5177461</vt:i4>
      </vt:variant>
      <vt:variant>
        <vt:i4>6</vt:i4>
      </vt:variant>
      <vt:variant>
        <vt:i4>0</vt:i4>
      </vt:variant>
      <vt:variant>
        <vt:i4>5</vt:i4>
      </vt:variant>
      <vt:variant>
        <vt:lpwstr>mailto:Finlay.Duff@onr.gov.uk</vt:lpwstr>
      </vt:variant>
      <vt:variant>
        <vt:lpwstr/>
      </vt:variant>
      <vt:variant>
        <vt:i4>5177461</vt:i4>
      </vt:variant>
      <vt:variant>
        <vt:i4>3</vt:i4>
      </vt:variant>
      <vt:variant>
        <vt:i4>0</vt:i4>
      </vt:variant>
      <vt:variant>
        <vt:i4>5</vt:i4>
      </vt:variant>
      <vt:variant>
        <vt:lpwstr>mailto:Finlay.Duff@onr.gov.uk</vt:lpwstr>
      </vt:variant>
      <vt:variant>
        <vt:lpwstr/>
      </vt:variant>
      <vt:variant>
        <vt:i4>5177461</vt:i4>
      </vt:variant>
      <vt:variant>
        <vt:i4>0</vt:i4>
      </vt:variant>
      <vt:variant>
        <vt:i4>0</vt:i4>
      </vt:variant>
      <vt:variant>
        <vt:i4>5</vt:i4>
      </vt:variant>
      <vt:variant>
        <vt:lpwstr>mailto:Finlay.Duff@onr.gov.uk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ONR’s Regulatory influence on the EPR Design in the UK</dc:title>
  <dc:subject>[Subtitle or description]</dc:subject>
  <dc:creator>Liam Dunning</dc:creator>
  <cp:keywords>[Key words separated by commas]</cp:keywords>
  <dc:description/>
  <cp:lastModifiedBy>Peter Wynne</cp:lastModifiedBy>
  <cp:revision>3</cp:revision>
  <cp:lastPrinted>2024-10-02T15:09:00Z</cp:lastPrinted>
  <dcterms:created xsi:type="dcterms:W3CDTF">2024-10-03T10:11:00Z</dcterms:created>
  <dcterms:modified xsi:type="dcterms:W3CDTF">2024-10-03T10:55:00Z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2023-03-14T09:26:05Z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dcdcf9fa-a733-4d1d-b5da-43f8d9fdfadf</vt:lpwstr>
  </property>
  <property fmtid="{D5CDD505-2E9C-101B-9397-08002B2CF9AE}" pid="8" name="MSIP_Label_9e5e003a-90eb-47c9-a506-ad47e7a0b281_ContentBits">
    <vt:lpwstr>0</vt:lpwstr>
  </property>
</Properties>
</file>