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F791A" w14:paraId="6C65111E" w14:textId="77777777" w:rsidTr="00881B6F">
        <w:trPr>
          <w:trHeight w:val="1162"/>
        </w:trPr>
        <w:tc>
          <w:tcPr>
            <w:tcW w:w="9156" w:type="dxa"/>
            <w:tcBorders>
              <w:bottom w:val="single" w:sz="24" w:space="0" w:color="22413A"/>
            </w:tcBorders>
          </w:tcPr>
          <w:p w14:paraId="35C1F1C6" w14:textId="0A3359D3" w:rsidR="00C20562" w:rsidRPr="00CF791A" w:rsidRDefault="00C20562" w:rsidP="005D154B">
            <w:pPr>
              <w:jc w:val="center"/>
            </w:pPr>
            <w:bookmarkStart w:id="0" w:name="_Toc466022543"/>
          </w:p>
        </w:tc>
      </w:tr>
      <w:tr w:rsidR="00D0226A" w:rsidRPr="00CF791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05371695" w:rsidR="00595C8C" w:rsidRPr="00CF791A" w:rsidRDefault="00595C8C" w:rsidP="00595C8C">
            <w:pPr>
              <w:pStyle w:val="InnerCoverTitle"/>
              <w:rPr>
                <w:sz w:val="36"/>
                <w:szCs w:val="36"/>
              </w:rPr>
            </w:pPr>
            <w:r w:rsidRPr="00CF791A">
              <w:rPr>
                <w:sz w:val="36"/>
                <w:szCs w:val="36"/>
              </w:rPr>
              <w:t>ONR</w:t>
            </w:r>
            <w:r w:rsidR="00310522" w:rsidRPr="00CF791A">
              <w:rPr>
                <w:sz w:val="36"/>
                <w:szCs w:val="36"/>
              </w:rPr>
              <w:t xml:space="preserve"> </w:t>
            </w:r>
            <w:r w:rsidR="00996A47" w:rsidRPr="00CF791A">
              <w:rPr>
                <w:sz w:val="36"/>
                <w:szCs w:val="36"/>
              </w:rPr>
              <w:t>Document</w:t>
            </w:r>
          </w:p>
          <w:sdt>
            <w:sdtPr>
              <w:rPr>
                <w:sz w:val="52"/>
                <w:szCs w:val="52"/>
              </w:rPr>
              <w:id w:val="1228188510"/>
              <w:placeholder>
                <w:docPart w:val="DefaultPlaceholder_-1854013440"/>
              </w:placeholder>
            </w:sdtPr>
            <w:sdtEndPr/>
            <w:sdtContent>
              <w:p w14:paraId="7C4EA414" w14:textId="4C7B8EC6" w:rsidR="00D0226A" w:rsidRPr="00CF791A" w:rsidRDefault="00776548" w:rsidP="001E03E1">
                <w:pPr>
                  <w:pStyle w:val="CoverTitle"/>
                  <w:rPr>
                    <w:szCs w:val="90"/>
                  </w:rPr>
                </w:pPr>
                <w:r w:rsidRPr="00CF791A">
                  <w:rPr>
                    <w:sz w:val="52"/>
                    <w:szCs w:val="52"/>
                  </w:rPr>
                  <w:t>Safety assessment principles for nuclear facilities (2026 edition</w:t>
                </w:r>
                <w:r w:rsidR="008419B2">
                  <w:rPr>
                    <w:sz w:val="52"/>
                    <w:szCs w:val="52"/>
                  </w:rPr>
                  <w:t>)</w:t>
                </w:r>
              </w:p>
            </w:sdtContent>
          </w:sdt>
        </w:tc>
      </w:tr>
    </w:tbl>
    <w:p w14:paraId="56A09D10" w14:textId="77777777" w:rsidR="00D0226A" w:rsidRPr="00CF791A" w:rsidRDefault="00D0226A">
      <w:pPr>
        <w:spacing w:after="0"/>
      </w:pPr>
    </w:p>
    <w:p w14:paraId="2047C513" w14:textId="44B02B63" w:rsidR="002813E9" w:rsidRPr="00CF791A" w:rsidRDefault="002813E9" w:rsidP="002813E9">
      <w:pPr>
        <w:spacing w:after="0"/>
      </w:pPr>
    </w:p>
    <w:p w14:paraId="6AB6425B" w14:textId="77777777" w:rsidR="00D0226A" w:rsidRPr="00CF791A" w:rsidRDefault="00881B6F">
      <w:pPr>
        <w:spacing w:after="0"/>
      </w:pPr>
      <w:r w:rsidRPr="00CF791A">
        <w:rPr>
          <w:noProof/>
        </w:rPr>
        <w:drawing>
          <wp:anchor distT="0" distB="0" distL="114300" distR="114300" simplePos="0" relativeHeight="25165465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283E56B" w:rsidR="00267815" w:rsidRPr="00CF791A" w:rsidRDefault="00724D64">
      <w:pPr>
        <w:spacing w:after="0"/>
      </w:pPr>
      <w:r w:rsidRPr="00CF791A">
        <w:rPr>
          <w:noProof/>
        </w:rPr>
        <w:drawing>
          <wp:anchor distT="0" distB="0" distL="114300" distR="114300" simplePos="0" relativeHeight="251661824" behindDoc="0" locked="0" layoutInCell="1" allowOverlap="1" wp14:anchorId="3F4DA1DF" wp14:editId="0B997128">
            <wp:simplePos x="0" y="0"/>
            <wp:positionH relativeFrom="margin">
              <wp:posOffset>28575</wp:posOffset>
            </wp:positionH>
            <wp:positionV relativeFrom="paragraph">
              <wp:posOffset>950595</wp:posOffset>
            </wp:positionV>
            <wp:extent cx="4793421" cy="5040000"/>
            <wp:effectExtent l="171450" t="190500" r="198120" b="198755"/>
            <wp:wrapNone/>
            <wp:docPr id="1997079027" name="Picture 2" descr="2026 SAPs opening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79027" name="Picture 2" descr="2026 SAPs opening graphi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3421" cy="504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67815" w:rsidRPr="00CF791A">
        <w:br w:type="page"/>
      </w:r>
    </w:p>
    <w:p w14:paraId="3AE5EE98" w14:textId="77777777" w:rsidR="00267815" w:rsidRPr="00CF791A" w:rsidRDefault="00267815" w:rsidP="00EE0C77">
      <w:pPr>
        <w:pStyle w:val="ContentsHeading"/>
      </w:pPr>
      <w:r w:rsidRPr="00CF791A">
        <w:lastRenderedPageBreak/>
        <w:t>Contents</w:t>
      </w:r>
    </w:p>
    <w:p w14:paraId="3FDDD0AC" w14:textId="6E55F294" w:rsidR="008419B2" w:rsidRDefault="00C94174">
      <w:pPr>
        <w:pStyle w:val="TOC1"/>
        <w:tabs>
          <w:tab w:val="left" w:pos="482"/>
        </w:tabs>
        <w:rPr>
          <w:rFonts w:asciiTheme="minorHAnsi" w:eastAsiaTheme="minorEastAsia" w:hAnsiTheme="minorHAnsi" w:cstheme="minorBidi"/>
          <w:kern w:val="2"/>
          <w:szCs w:val="24"/>
          <w:lang w:eastAsia="en-GB" w:bidi="ar-SA"/>
          <w14:ligatures w14:val="standardContextual"/>
        </w:rPr>
      </w:pPr>
      <w:r w:rsidRPr="00CF791A">
        <w:rPr>
          <w:noProof w:val="0"/>
        </w:rPr>
        <w:fldChar w:fldCharType="begin"/>
      </w:r>
      <w:r w:rsidRPr="00CF791A">
        <w:rPr>
          <w:noProof w:val="0"/>
        </w:rPr>
        <w:instrText xml:space="preserve"> TOC \o "1-1" \h \z \u </w:instrText>
      </w:r>
      <w:r w:rsidRPr="00CF791A">
        <w:rPr>
          <w:noProof w:val="0"/>
        </w:rPr>
        <w:fldChar w:fldCharType="separate"/>
      </w:r>
      <w:hyperlink w:anchor="_Toc235711315" w:history="1">
        <w:r w:rsidR="008419B2" w:rsidRPr="006A4D84">
          <w:rPr>
            <w:rStyle w:val="Hyperlink"/>
          </w:rPr>
          <w:t>1.</w:t>
        </w:r>
        <w:r w:rsidR="008419B2">
          <w:rPr>
            <w:rFonts w:asciiTheme="minorHAnsi" w:eastAsiaTheme="minorEastAsia" w:hAnsiTheme="minorHAnsi" w:cstheme="minorBidi"/>
            <w:kern w:val="2"/>
            <w:szCs w:val="24"/>
            <w:lang w:eastAsia="en-GB" w:bidi="ar-SA"/>
            <w14:ligatures w14:val="standardContextual"/>
          </w:rPr>
          <w:tab/>
        </w:r>
        <w:r w:rsidR="008419B2" w:rsidRPr="006A4D84">
          <w:rPr>
            <w:rStyle w:val="Hyperlink"/>
          </w:rPr>
          <w:t>Introduction</w:t>
        </w:r>
        <w:r w:rsidR="008419B2">
          <w:rPr>
            <w:webHidden/>
          </w:rPr>
          <w:tab/>
        </w:r>
        <w:r w:rsidR="008419B2">
          <w:rPr>
            <w:webHidden/>
          </w:rPr>
          <w:fldChar w:fldCharType="begin"/>
        </w:r>
        <w:r w:rsidR="008419B2">
          <w:rPr>
            <w:webHidden/>
          </w:rPr>
          <w:instrText xml:space="preserve"> PAGEREF _Toc235711315 \h </w:instrText>
        </w:r>
        <w:r w:rsidR="008419B2">
          <w:rPr>
            <w:webHidden/>
          </w:rPr>
        </w:r>
        <w:r w:rsidR="008419B2">
          <w:rPr>
            <w:webHidden/>
          </w:rPr>
          <w:fldChar w:fldCharType="separate"/>
        </w:r>
        <w:r w:rsidR="008419B2">
          <w:rPr>
            <w:webHidden/>
          </w:rPr>
          <w:t>3</w:t>
        </w:r>
        <w:r w:rsidR="008419B2">
          <w:rPr>
            <w:webHidden/>
          </w:rPr>
          <w:fldChar w:fldCharType="end"/>
        </w:r>
      </w:hyperlink>
    </w:p>
    <w:p w14:paraId="3B9B345F" w14:textId="4E7F684C"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16" w:history="1">
        <w:r w:rsidRPr="006A4D84">
          <w:rPr>
            <w:rStyle w:val="Hyperlink"/>
          </w:rPr>
          <w:t>2.</w:t>
        </w:r>
        <w:r>
          <w:rPr>
            <w:rFonts w:asciiTheme="minorHAnsi" w:eastAsiaTheme="minorEastAsia" w:hAnsiTheme="minorHAnsi" w:cstheme="minorBidi"/>
            <w:kern w:val="2"/>
            <w:szCs w:val="24"/>
            <w:lang w:eastAsia="en-GB" w:bidi="ar-SA"/>
            <w14:ligatures w14:val="standardContextual"/>
          </w:rPr>
          <w:tab/>
        </w:r>
        <w:r w:rsidRPr="006A4D84">
          <w:rPr>
            <w:rStyle w:val="Hyperlink"/>
          </w:rPr>
          <w:t>Fundamental principles</w:t>
        </w:r>
        <w:r>
          <w:rPr>
            <w:webHidden/>
          </w:rPr>
          <w:tab/>
        </w:r>
        <w:r>
          <w:rPr>
            <w:webHidden/>
          </w:rPr>
          <w:fldChar w:fldCharType="begin"/>
        </w:r>
        <w:r>
          <w:rPr>
            <w:webHidden/>
          </w:rPr>
          <w:instrText xml:space="preserve"> PAGEREF _Toc235711316 \h </w:instrText>
        </w:r>
        <w:r>
          <w:rPr>
            <w:webHidden/>
          </w:rPr>
        </w:r>
        <w:r>
          <w:rPr>
            <w:webHidden/>
          </w:rPr>
          <w:fldChar w:fldCharType="separate"/>
        </w:r>
        <w:r>
          <w:rPr>
            <w:webHidden/>
          </w:rPr>
          <w:t>6</w:t>
        </w:r>
        <w:r>
          <w:rPr>
            <w:webHidden/>
          </w:rPr>
          <w:fldChar w:fldCharType="end"/>
        </w:r>
      </w:hyperlink>
    </w:p>
    <w:p w14:paraId="4C34EAD7" w14:textId="568E55A7"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17" w:history="1">
        <w:r w:rsidRPr="006A4D84">
          <w:rPr>
            <w:rStyle w:val="Hyperlink"/>
          </w:rPr>
          <w:t>3.</w:t>
        </w:r>
        <w:r>
          <w:rPr>
            <w:rFonts w:asciiTheme="minorHAnsi" w:eastAsiaTheme="minorEastAsia" w:hAnsiTheme="minorHAnsi" w:cstheme="minorBidi"/>
            <w:kern w:val="2"/>
            <w:szCs w:val="24"/>
            <w:lang w:eastAsia="en-GB" w:bidi="ar-SA"/>
            <w14:ligatures w14:val="standardContextual"/>
          </w:rPr>
          <w:tab/>
        </w:r>
        <w:r w:rsidRPr="006A4D84">
          <w:rPr>
            <w:rStyle w:val="Hyperlink"/>
          </w:rPr>
          <w:t>Safety cases</w:t>
        </w:r>
        <w:r>
          <w:rPr>
            <w:webHidden/>
          </w:rPr>
          <w:tab/>
        </w:r>
        <w:r>
          <w:rPr>
            <w:webHidden/>
          </w:rPr>
          <w:fldChar w:fldCharType="begin"/>
        </w:r>
        <w:r>
          <w:rPr>
            <w:webHidden/>
          </w:rPr>
          <w:instrText xml:space="preserve"> PAGEREF _Toc235711317 \h </w:instrText>
        </w:r>
        <w:r>
          <w:rPr>
            <w:webHidden/>
          </w:rPr>
        </w:r>
        <w:r>
          <w:rPr>
            <w:webHidden/>
          </w:rPr>
          <w:fldChar w:fldCharType="separate"/>
        </w:r>
        <w:r>
          <w:rPr>
            <w:webHidden/>
          </w:rPr>
          <w:t>8</w:t>
        </w:r>
        <w:r>
          <w:rPr>
            <w:webHidden/>
          </w:rPr>
          <w:fldChar w:fldCharType="end"/>
        </w:r>
      </w:hyperlink>
    </w:p>
    <w:p w14:paraId="25221B24" w14:textId="10927CA3"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18" w:history="1">
        <w:r w:rsidRPr="006A4D84">
          <w:rPr>
            <w:rStyle w:val="Hyperlink"/>
          </w:rPr>
          <w:t>4.</w:t>
        </w:r>
        <w:r>
          <w:rPr>
            <w:rFonts w:asciiTheme="minorHAnsi" w:eastAsiaTheme="minorEastAsia" w:hAnsiTheme="minorHAnsi" w:cstheme="minorBidi"/>
            <w:kern w:val="2"/>
            <w:szCs w:val="24"/>
            <w:lang w:eastAsia="en-GB" w:bidi="ar-SA"/>
            <w14:ligatures w14:val="standardContextual"/>
          </w:rPr>
          <w:tab/>
        </w:r>
        <w:r w:rsidRPr="006A4D84">
          <w:rPr>
            <w:rStyle w:val="Hyperlink"/>
          </w:rPr>
          <w:t>Risk framework</w:t>
        </w:r>
        <w:r>
          <w:rPr>
            <w:webHidden/>
          </w:rPr>
          <w:tab/>
        </w:r>
        <w:r>
          <w:rPr>
            <w:webHidden/>
          </w:rPr>
          <w:fldChar w:fldCharType="begin"/>
        </w:r>
        <w:r>
          <w:rPr>
            <w:webHidden/>
          </w:rPr>
          <w:instrText xml:space="preserve"> PAGEREF _Toc235711318 \h </w:instrText>
        </w:r>
        <w:r>
          <w:rPr>
            <w:webHidden/>
          </w:rPr>
        </w:r>
        <w:r>
          <w:rPr>
            <w:webHidden/>
          </w:rPr>
          <w:fldChar w:fldCharType="separate"/>
        </w:r>
        <w:r>
          <w:rPr>
            <w:webHidden/>
          </w:rPr>
          <w:t>13</w:t>
        </w:r>
        <w:r>
          <w:rPr>
            <w:webHidden/>
          </w:rPr>
          <w:fldChar w:fldCharType="end"/>
        </w:r>
      </w:hyperlink>
    </w:p>
    <w:p w14:paraId="2877F02C" w14:textId="29323A1C"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19" w:history="1">
        <w:r w:rsidRPr="006A4D84">
          <w:rPr>
            <w:rStyle w:val="Hyperlink"/>
          </w:rPr>
          <w:t>5.</w:t>
        </w:r>
        <w:r>
          <w:rPr>
            <w:rFonts w:asciiTheme="minorHAnsi" w:eastAsiaTheme="minorEastAsia" w:hAnsiTheme="minorHAnsi" w:cstheme="minorBidi"/>
            <w:kern w:val="2"/>
            <w:szCs w:val="24"/>
            <w:lang w:eastAsia="en-GB" w:bidi="ar-SA"/>
            <w14:ligatures w14:val="standardContextual"/>
          </w:rPr>
          <w:tab/>
        </w:r>
        <w:r w:rsidRPr="006A4D84">
          <w:rPr>
            <w:rStyle w:val="Hyperlink"/>
          </w:rPr>
          <w:t>Key principles</w:t>
        </w:r>
        <w:r>
          <w:rPr>
            <w:webHidden/>
          </w:rPr>
          <w:tab/>
        </w:r>
        <w:r>
          <w:rPr>
            <w:webHidden/>
          </w:rPr>
          <w:fldChar w:fldCharType="begin"/>
        </w:r>
        <w:r>
          <w:rPr>
            <w:webHidden/>
          </w:rPr>
          <w:instrText xml:space="preserve"> PAGEREF _Toc235711319 \h </w:instrText>
        </w:r>
        <w:r>
          <w:rPr>
            <w:webHidden/>
          </w:rPr>
        </w:r>
        <w:r>
          <w:rPr>
            <w:webHidden/>
          </w:rPr>
          <w:fldChar w:fldCharType="separate"/>
        </w:r>
        <w:r>
          <w:rPr>
            <w:webHidden/>
          </w:rPr>
          <w:t>19</w:t>
        </w:r>
        <w:r>
          <w:rPr>
            <w:webHidden/>
          </w:rPr>
          <w:fldChar w:fldCharType="end"/>
        </w:r>
      </w:hyperlink>
    </w:p>
    <w:p w14:paraId="1C459563" w14:textId="286E0B9D"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20" w:history="1">
        <w:r w:rsidRPr="006A4D84">
          <w:rPr>
            <w:rStyle w:val="Hyperlink"/>
          </w:rPr>
          <w:t>6.</w:t>
        </w:r>
        <w:r>
          <w:rPr>
            <w:rFonts w:asciiTheme="minorHAnsi" w:eastAsiaTheme="minorEastAsia" w:hAnsiTheme="minorHAnsi" w:cstheme="minorBidi"/>
            <w:kern w:val="2"/>
            <w:szCs w:val="24"/>
            <w:lang w:eastAsia="en-GB" w:bidi="ar-SA"/>
            <w14:ligatures w14:val="standardContextual"/>
          </w:rPr>
          <w:tab/>
        </w:r>
        <w:r w:rsidRPr="006A4D84">
          <w:rPr>
            <w:rStyle w:val="Hyperlink"/>
          </w:rPr>
          <w:t>Leadership and management for safety</w:t>
        </w:r>
        <w:r>
          <w:rPr>
            <w:webHidden/>
          </w:rPr>
          <w:tab/>
        </w:r>
        <w:r>
          <w:rPr>
            <w:webHidden/>
          </w:rPr>
          <w:fldChar w:fldCharType="begin"/>
        </w:r>
        <w:r>
          <w:rPr>
            <w:webHidden/>
          </w:rPr>
          <w:instrText xml:space="preserve"> PAGEREF _Toc235711320 \h </w:instrText>
        </w:r>
        <w:r>
          <w:rPr>
            <w:webHidden/>
          </w:rPr>
        </w:r>
        <w:r>
          <w:rPr>
            <w:webHidden/>
          </w:rPr>
          <w:fldChar w:fldCharType="separate"/>
        </w:r>
        <w:r>
          <w:rPr>
            <w:webHidden/>
          </w:rPr>
          <w:t>24</w:t>
        </w:r>
        <w:r>
          <w:rPr>
            <w:webHidden/>
          </w:rPr>
          <w:fldChar w:fldCharType="end"/>
        </w:r>
      </w:hyperlink>
    </w:p>
    <w:p w14:paraId="3480C2CB" w14:textId="0AFD9629"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21" w:history="1">
        <w:r w:rsidRPr="006A4D84">
          <w:rPr>
            <w:rStyle w:val="Hyperlink"/>
          </w:rPr>
          <w:t>7.</w:t>
        </w:r>
        <w:r>
          <w:rPr>
            <w:rFonts w:asciiTheme="minorHAnsi" w:eastAsiaTheme="minorEastAsia" w:hAnsiTheme="minorHAnsi" w:cstheme="minorBidi"/>
            <w:kern w:val="2"/>
            <w:szCs w:val="24"/>
            <w:lang w:eastAsia="en-GB" w:bidi="ar-SA"/>
            <w14:ligatures w14:val="standardContextual"/>
          </w:rPr>
          <w:tab/>
        </w:r>
        <w:r w:rsidRPr="006A4D84">
          <w:rPr>
            <w:rStyle w:val="Hyperlink"/>
          </w:rPr>
          <w:t>Siting and layout</w:t>
        </w:r>
        <w:r>
          <w:rPr>
            <w:webHidden/>
          </w:rPr>
          <w:tab/>
        </w:r>
        <w:r>
          <w:rPr>
            <w:webHidden/>
          </w:rPr>
          <w:fldChar w:fldCharType="begin"/>
        </w:r>
        <w:r>
          <w:rPr>
            <w:webHidden/>
          </w:rPr>
          <w:instrText xml:space="preserve"> PAGEREF _Toc235711321 \h </w:instrText>
        </w:r>
        <w:r>
          <w:rPr>
            <w:webHidden/>
          </w:rPr>
        </w:r>
        <w:r>
          <w:rPr>
            <w:webHidden/>
          </w:rPr>
          <w:fldChar w:fldCharType="separate"/>
        </w:r>
        <w:r>
          <w:rPr>
            <w:webHidden/>
          </w:rPr>
          <w:t>28</w:t>
        </w:r>
        <w:r>
          <w:rPr>
            <w:webHidden/>
          </w:rPr>
          <w:fldChar w:fldCharType="end"/>
        </w:r>
      </w:hyperlink>
    </w:p>
    <w:p w14:paraId="4ABDB8B1" w14:textId="7F918F8B"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22" w:history="1">
        <w:r w:rsidRPr="006A4D84">
          <w:rPr>
            <w:rStyle w:val="Hyperlink"/>
          </w:rPr>
          <w:t>8.</w:t>
        </w:r>
        <w:r>
          <w:rPr>
            <w:rFonts w:asciiTheme="minorHAnsi" w:eastAsiaTheme="minorEastAsia" w:hAnsiTheme="minorHAnsi" w:cstheme="minorBidi"/>
            <w:kern w:val="2"/>
            <w:szCs w:val="24"/>
            <w:lang w:eastAsia="en-GB" w:bidi="ar-SA"/>
            <w14:ligatures w14:val="standardContextual"/>
          </w:rPr>
          <w:tab/>
        </w:r>
        <w:r w:rsidRPr="006A4D84">
          <w:rPr>
            <w:rStyle w:val="Hyperlink"/>
          </w:rPr>
          <w:t>External and internal hazards</w:t>
        </w:r>
        <w:r>
          <w:rPr>
            <w:webHidden/>
          </w:rPr>
          <w:tab/>
        </w:r>
        <w:r>
          <w:rPr>
            <w:webHidden/>
          </w:rPr>
          <w:fldChar w:fldCharType="begin"/>
        </w:r>
        <w:r>
          <w:rPr>
            <w:webHidden/>
          </w:rPr>
          <w:instrText xml:space="preserve"> PAGEREF _Toc235711322 \h </w:instrText>
        </w:r>
        <w:r>
          <w:rPr>
            <w:webHidden/>
          </w:rPr>
        </w:r>
        <w:r>
          <w:rPr>
            <w:webHidden/>
          </w:rPr>
          <w:fldChar w:fldCharType="separate"/>
        </w:r>
        <w:r>
          <w:rPr>
            <w:webHidden/>
          </w:rPr>
          <w:t>32</w:t>
        </w:r>
        <w:r>
          <w:rPr>
            <w:webHidden/>
          </w:rPr>
          <w:fldChar w:fldCharType="end"/>
        </w:r>
      </w:hyperlink>
    </w:p>
    <w:p w14:paraId="6B633B0F" w14:textId="4B83FE42" w:rsidR="008419B2" w:rsidRDefault="008419B2">
      <w:pPr>
        <w:pStyle w:val="TOC1"/>
        <w:tabs>
          <w:tab w:val="left" w:pos="482"/>
        </w:tabs>
        <w:rPr>
          <w:rFonts w:asciiTheme="minorHAnsi" w:eastAsiaTheme="minorEastAsia" w:hAnsiTheme="minorHAnsi" w:cstheme="minorBidi"/>
          <w:kern w:val="2"/>
          <w:szCs w:val="24"/>
          <w:lang w:eastAsia="en-GB" w:bidi="ar-SA"/>
          <w14:ligatures w14:val="standardContextual"/>
        </w:rPr>
      </w:pPr>
      <w:hyperlink w:anchor="_Toc235711323" w:history="1">
        <w:r w:rsidRPr="006A4D84">
          <w:rPr>
            <w:rStyle w:val="Hyperlink"/>
          </w:rPr>
          <w:t>9.</w:t>
        </w:r>
        <w:r>
          <w:rPr>
            <w:rFonts w:asciiTheme="minorHAnsi" w:eastAsiaTheme="minorEastAsia" w:hAnsiTheme="minorHAnsi" w:cstheme="minorBidi"/>
            <w:kern w:val="2"/>
            <w:szCs w:val="24"/>
            <w:lang w:eastAsia="en-GB" w:bidi="ar-SA"/>
            <w14:ligatures w14:val="standardContextual"/>
          </w:rPr>
          <w:tab/>
        </w:r>
        <w:r w:rsidRPr="006A4D84">
          <w:rPr>
            <w:rStyle w:val="Hyperlink"/>
          </w:rPr>
          <w:t>Fault analysis</w:t>
        </w:r>
        <w:r>
          <w:rPr>
            <w:webHidden/>
          </w:rPr>
          <w:tab/>
        </w:r>
        <w:r>
          <w:rPr>
            <w:webHidden/>
          </w:rPr>
          <w:fldChar w:fldCharType="begin"/>
        </w:r>
        <w:r>
          <w:rPr>
            <w:webHidden/>
          </w:rPr>
          <w:instrText xml:space="preserve"> PAGEREF _Toc235711323 \h </w:instrText>
        </w:r>
        <w:r>
          <w:rPr>
            <w:webHidden/>
          </w:rPr>
        </w:r>
        <w:r>
          <w:rPr>
            <w:webHidden/>
          </w:rPr>
          <w:fldChar w:fldCharType="separate"/>
        </w:r>
        <w:r>
          <w:rPr>
            <w:webHidden/>
          </w:rPr>
          <w:t>38</w:t>
        </w:r>
        <w:r>
          <w:rPr>
            <w:webHidden/>
          </w:rPr>
          <w:fldChar w:fldCharType="end"/>
        </w:r>
      </w:hyperlink>
    </w:p>
    <w:p w14:paraId="58DDA9B4" w14:textId="12CD4D48"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4" w:history="1">
        <w:r w:rsidRPr="006A4D84">
          <w:rPr>
            <w:rStyle w:val="Hyperlink"/>
          </w:rPr>
          <w:t>10.</w:t>
        </w:r>
        <w:r>
          <w:rPr>
            <w:rFonts w:asciiTheme="minorHAnsi" w:eastAsiaTheme="minorEastAsia" w:hAnsiTheme="minorHAnsi" w:cstheme="minorBidi"/>
            <w:kern w:val="2"/>
            <w:szCs w:val="24"/>
            <w:lang w:eastAsia="en-GB" w:bidi="ar-SA"/>
            <w14:ligatures w14:val="standardContextual"/>
          </w:rPr>
          <w:tab/>
        </w:r>
        <w:r w:rsidRPr="006A4D84">
          <w:rPr>
            <w:rStyle w:val="Hyperlink"/>
          </w:rPr>
          <w:t>Calculation methods and models</w:t>
        </w:r>
        <w:r>
          <w:rPr>
            <w:webHidden/>
          </w:rPr>
          <w:tab/>
        </w:r>
        <w:r>
          <w:rPr>
            <w:webHidden/>
          </w:rPr>
          <w:fldChar w:fldCharType="begin"/>
        </w:r>
        <w:r>
          <w:rPr>
            <w:webHidden/>
          </w:rPr>
          <w:instrText xml:space="preserve"> PAGEREF _Toc235711324 \h </w:instrText>
        </w:r>
        <w:r>
          <w:rPr>
            <w:webHidden/>
          </w:rPr>
        </w:r>
        <w:r>
          <w:rPr>
            <w:webHidden/>
          </w:rPr>
          <w:fldChar w:fldCharType="separate"/>
        </w:r>
        <w:r>
          <w:rPr>
            <w:webHidden/>
          </w:rPr>
          <w:t>51</w:t>
        </w:r>
        <w:r>
          <w:rPr>
            <w:webHidden/>
          </w:rPr>
          <w:fldChar w:fldCharType="end"/>
        </w:r>
      </w:hyperlink>
    </w:p>
    <w:p w14:paraId="4AC456F3" w14:textId="36D5DB91"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5" w:history="1">
        <w:r w:rsidRPr="006A4D84">
          <w:rPr>
            <w:rStyle w:val="Hyperlink"/>
          </w:rPr>
          <w:t>11.</w:t>
        </w:r>
        <w:r>
          <w:rPr>
            <w:rFonts w:asciiTheme="minorHAnsi" w:eastAsiaTheme="minorEastAsia" w:hAnsiTheme="minorHAnsi" w:cstheme="minorBidi"/>
            <w:kern w:val="2"/>
            <w:szCs w:val="24"/>
            <w:lang w:eastAsia="en-GB" w:bidi="ar-SA"/>
            <w14:ligatures w14:val="standardContextual"/>
          </w:rPr>
          <w:tab/>
        </w:r>
        <w:r w:rsidRPr="006A4D84">
          <w:rPr>
            <w:rStyle w:val="Hyperlink"/>
          </w:rPr>
          <w:t>Analysis informed design</w:t>
        </w:r>
        <w:r>
          <w:rPr>
            <w:webHidden/>
          </w:rPr>
          <w:tab/>
        </w:r>
        <w:r>
          <w:rPr>
            <w:webHidden/>
          </w:rPr>
          <w:fldChar w:fldCharType="begin"/>
        </w:r>
        <w:r>
          <w:rPr>
            <w:webHidden/>
          </w:rPr>
          <w:instrText xml:space="preserve"> PAGEREF _Toc235711325 \h </w:instrText>
        </w:r>
        <w:r>
          <w:rPr>
            <w:webHidden/>
          </w:rPr>
        </w:r>
        <w:r>
          <w:rPr>
            <w:webHidden/>
          </w:rPr>
          <w:fldChar w:fldCharType="separate"/>
        </w:r>
        <w:r>
          <w:rPr>
            <w:webHidden/>
          </w:rPr>
          <w:t>53</w:t>
        </w:r>
        <w:r>
          <w:rPr>
            <w:webHidden/>
          </w:rPr>
          <w:fldChar w:fldCharType="end"/>
        </w:r>
      </w:hyperlink>
    </w:p>
    <w:p w14:paraId="69488C14" w14:textId="6F45E4DB"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6" w:history="1">
        <w:r w:rsidRPr="006A4D84">
          <w:rPr>
            <w:rStyle w:val="Hyperlink"/>
          </w:rPr>
          <w:t>12.</w:t>
        </w:r>
        <w:r>
          <w:rPr>
            <w:rFonts w:asciiTheme="minorHAnsi" w:eastAsiaTheme="minorEastAsia" w:hAnsiTheme="minorHAnsi" w:cstheme="minorBidi"/>
            <w:kern w:val="2"/>
            <w:szCs w:val="24"/>
            <w:lang w:eastAsia="en-GB" w:bidi="ar-SA"/>
            <w14:ligatures w14:val="standardContextual"/>
          </w:rPr>
          <w:tab/>
        </w:r>
        <w:r w:rsidRPr="006A4D84">
          <w:rPr>
            <w:rStyle w:val="Hyperlink"/>
          </w:rPr>
          <w:t>Engineering and design</w:t>
        </w:r>
        <w:r>
          <w:rPr>
            <w:webHidden/>
          </w:rPr>
          <w:tab/>
        </w:r>
        <w:r>
          <w:rPr>
            <w:webHidden/>
          </w:rPr>
          <w:fldChar w:fldCharType="begin"/>
        </w:r>
        <w:r>
          <w:rPr>
            <w:webHidden/>
          </w:rPr>
          <w:instrText xml:space="preserve"> PAGEREF _Toc235711326 \h </w:instrText>
        </w:r>
        <w:r>
          <w:rPr>
            <w:webHidden/>
          </w:rPr>
        </w:r>
        <w:r>
          <w:rPr>
            <w:webHidden/>
          </w:rPr>
          <w:fldChar w:fldCharType="separate"/>
        </w:r>
        <w:r>
          <w:rPr>
            <w:webHidden/>
          </w:rPr>
          <w:t>59</w:t>
        </w:r>
        <w:r>
          <w:rPr>
            <w:webHidden/>
          </w:rPr>
          <w:fldChar w:fldCharType="end"/>
        </w:r>
      </w:hyperlink>
    </w:p>
    <w:p w14:paraId="1F32D95F" w14:textId="56828FA1"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7" w:history="1">
        <w:r w:rsidRPr="006A4D84">
          <w:rPr>
            <w:rStyle w:val="Hyperlink"/>
          </w:rPr>
          <w:t>13.</w:t>
        </w:r>
        <w:r>
          <w:rPr>
            <w:rFonts w:asciiTheme="minorHAnsi" w:eastAsiaTheme="minorEastAsia" w:hAnsiTheme="minorHAnsi" w:cstheme="minorBidi"/>
            <w:kern w:val="2"/>
            <w:szCs w:val="24"/>
            <w:lang w:eastAsia="en-GB" w:bidi="ar-SA"/>
            <w14:ligatures w14:val="standardContextual"/>
          </w:rPr>
          <w:tab/>
        </w:r>
        <w:r w:rsidRPr="006A4D84">
          <w:rPr>
            <w:rStyle w:val="Hyperlink"/>
          </w:rPr>
          <w:t>Maintaining design intent through life</w:t>
        </w:r>
        <w:r>
          <w:rPr>
            <w:webHidden/>
          </w:rPr>
          <w:tab/>
        </w:r>
        <w:r>
          <w:rPr>
            <w:webHidden/>
          </w:rPr>
          <w:fldChar w:fldCharType="begin"/>
        </w:r>
        <w:r>
          <w:rPr>
            <w:webHidden/>
          </w:rPr>
          <w:instrText xml:space="preserve"> PAGEREF _Toc235711327 \h </w:instrText>
        </w:r>
        <w:r>
          <w:rPr>
            <w:webHidden/>
          </w:rPr>
        </w:r>
        <w:r>
          <w:rPr>
            <w:webHidden/>
          </w:rPr>
          <w:fldChar w:fldCharType="separate"/>
        </w:r>
        <w:r>
          <w:rPr>
            <w:webHidden/>
          </w:rPr>
          <w:t>92</w:t>
        </w:r>
        <w:r>
          <w:rPr>
            <w:webHidden/>
          </w:rPr>
          <w:fldChar w:fldCharType="end"/>
        </w:r>
      </w:hyperlink>
    </w:p>
    <w:p w14:paraId="7CC9DFE2" w14:textId="77548EB1"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8" w:history="1">
        <w:r w:rsidRPr="006A4D84">
          <w:rPr>
            <w:rStyle w:val="Hyperlink"/>
          </w:rPr>
          <w:t>14.</w:t>
        </w:r>
        <w:r>
          <w:rPr>
            <w:rFonts w:asciiTheme="minorHAnsi" w:eastAsiaTheme="minorEastAsia" w:hAnsiTheme="minorHAnsi" w:cstheme="minorBidi"/>
            <w:kern w:val="2"/>
            <w:szCs w:val="24"/>
            <w:lang w:eastAsia="en-GB" w:bidi="ar-SA"/>
            <w14:ligatures w14:val="standardContextual"/>
          </w:rPr>
          <w:tab/>
        </w:r>
        <w:r w:rsidRPr="006A4D84">
          <w:rPr>
            <w:rStyle w:val="Hyperlink"/>
          </w:rPr>
          <w:t>Radiological protection</w:t>
        </w:r>
        <w:r>
          <w:rPr>
            <w:webHidden/>
          </w:rPr>
          <w:tab/>
        </w:r>
        <w:r>
          <w:rPr>
            <w:webHidden/>
          </w:rPr>
          <w:fldChar w:fldCharType="begin"/>
        </w:r>
        <w:r>
          <w:rPr>
            <w:webHidden/>
          </w:rPr>
          <w:instrText xml:space="preserve"> PAGEREF _Toc235711328 \h </w:instrText>
        </w:r>
        <w:r>
          <w:rPr>
            <w:webHidden/>
          </w:rPr>
        </w:r>
        <w:r>
          <w:rPr>
            <w:webHidden/>
          </w:rPr>
          <w:fldChar w:fldCharType="separate"/>
        </w:r>
        <w:r>
          <w:rPr>
            <w:webHidden/>
          </w:rPr>
          <w:t>100</w:t>
        </w:r>
        <w:r>
          <w:rPr>
            <w:webHidden/>
          </w:rPr>
          <w:fldChar w:fldCharType="end"/>
        </w:r>
      </w:hyperlink>
    </w:p>
    <w:p w14:paraId="679EE127" w14:textId="64744B3C"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29" w:history="1">
        <w:r w:rsidRPr="006A4D84">
          <w:rPr>
            <w:rStyle w:val="Hyperlink"/>
          </w:rPr>
          <w:t>15.</w:t>
        </w:r>
        <w:r>
          <w:rPr>
            <w:rFonts w:asciiTheme="minorHAnsi" w:eastAsiaTheme="minorEastAsia" w:hAnsiTheme="minorHAnsi" w:cstheme="minorBidi"/>
            <w:kern w:val="2"/>
            <w:szCs w:val="24"/>
            <w:lang w:eastAsia="en-GB" w:bidi="ar-SA"/>
            <w14:ligatures w14:val="standardContextual"/>
          </w:rPr>
          <w:tab/>
        </w:r>
        <w:r w:rsidRPr="006A4D84">
          <w:rPr>
            <w:rStyle w:val="Hyperlink"/>
          </w:rPr>
          <w:t>Accident management and emergency preparedness</w:t>
        </w:r>
        <w:r>
          <w:rPr>
            <w:webHidden/>
          </w:rPr>
          <w:tab/>
        </w:r>
        <w:r>
          <w:rPr>
            <w:webHidden/>
          </w:rPr>
          <w:fldChar w:fldCharType="begin"/>
        </w:r>
        <w:r>
          <w:rPr>
            <w:webHidden/>
          </w:rPr>
          <w:instrText xml:space="preserve"> PAGEREF _Toc235711329 \h </w:instrText>
        </w:r>
        <w:r>
          <w:rPr>
            <w:webHidden/>
          </w:rPr>
        </w:r>
        <w:r>
          <w:rPr>
            <w:webHidden/>
          </w:rPr>
          <w:fldChar w:fldCharType="separate"/>
        </w:r>
        <w:r>
          <w:rPr>
            <w:webHidden/>
          </w:rPr>
          <w:t>103</w:t>
        </w:r>
        <w:r>
          <w:rPr>
            <w:webHidden/>
          </w:rPr>
          <w:fldChar w:fldCharType="end"/>
        </w:r>
      </w:hyperlink>
    </w:p>
    <w:p w14:paraId="55307F57" w14:textId="6294D264"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30" w:history="1">
        <w:r w:rsidRPr="006A4D84">
          <w:rPr>
            <w:rStyle w:val="Hyperlink"/>
          </w:rPr>
          <w:t>16.</w:t>
        </w:r>
        <w:r>
          <w:rPr>
            <w:rFonts w:asciiTheme="minorHAnsi" w:eastAsiaTheme="minorEastAsia" w:hAnsiTheme="minorHAnsi" w:cstheme="minorBidi"/>
            <w:kern w:val="2"/>
            <w:szCs w:val="24"/>
            <w:lang w:eastAsia="en-GB" w:bidi="ar-SA"/>
            <w14:ligatures w14:val="standardContextual"/>
          </w:rPr>
          <w:tab/>
        </w:r>
        <w:r w:rsidRPr="006A4D84">
          <w:rPr>
            <w:rStyle w:val="Hyperlink"/>
          </w:rPr>
          <w:t>Management of nuclear matter (including radioactive waste)</w:t>
        </w:r>
        <w:r>
          <w:rPr>
            <w:webHidden/>
          </w:rPr>
          <w:tab/>
        </w:r>
        <w:r>
          <w:rPr>
            <w:webHidden/>
          </w:rPr>
          <w:fldChar w:fldCharType="begin"/>
        </w:r>
        <w:r>
          <w:rPr>
            <w:webHidden/>
          </w:rPr>
          <w:instrText xml:space="preserve"> PAGEREF _Toc235711330 \h </w:instrText>
        </w:r>
        <w:r>
          <w:rPr>
            <w:webHidden/>
          </w:rPr>
        </w:r>
        <w:r>
          <w:rPr>
            <w:webHidden/>
          </w:rPr>
          <w:fldChar w:fldCharType="separate"/>
        </w:r>
        <w:r>
          <w:rPr>
            <w:webHidden/>
          </w:rPr>
          <w:t>106</w:t>
        </w:r>
        <w:r>
          <w:rPr>
            <w:webHidden/>
          </w:rPr>
          <w:fldChar w:fldCharType="end"/>
        </w:r>
      </w:hyperlink>
    </w:p>
    <w:p w14:paraId="40921535" w14:textId="0F2F25BD"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31" w:history="1">
        <w:r w:rsidRPr="006A4D84">
          <w:rPr>
            <w:rStyle w:val="Hyperlink"/>
          </w:rPr>
          <w:t>17.</w:t>
        </w:r>
        <w:r>
          <w:rPr>
            <w:rFonts w:asciiTheme="minorHAnsi" w:eastAsiaTheme="minorEastAsia" w:hAnsiTheme="minorHAnsi" w:cstheme="minorBidi"/>
            <w:kern w:val="2"/>
            <w:szCs w:val="24"/>
            <w:lang w:eastAsia="en-GB" w:bidi="ar-SA"/>
            <w14:ligatures w14:val="standardContextual"/>
          </w:rPr>
          <w:tab/>
        </w:r>
        <w:r w:rsidRPr="006A4D84">
          <w:rPr>
            <w:rStyle w:val="Hyperlink"/>
          </w:rPr>
          <w:t>Decommissioning</w:t>
        </w:r>
        <w:r>
          <w:rPr>
            <w:webHidden/>
          </w:rPr>
          <w:tab/>
        </w:r>
        <w:r>
          <w:rPr>
            <w:webHidden/>
          </w:rPr>
          <w:fldChar w:fldCharType="begin"/>
        </w:r>
        <w:r>
          <w:rPr>
            <w:webHidden/>
          </w:rPr>
          <w:instrText xml:space="preserve"> PAGEREF _Toc235711331 \h </w:instrText>
        </w:r>
        <w:r>
          <w:rPr>
            <w:webHidden/>
          </w:rPr>
        </w:r>
        <w:r>
          <w:rPr>
            <w:webHidden/>
          </w:rPr>
          <w:fldChar w:fldCharType="separate"/>
        </w:r>
        <w:r>
          <w:rPr>
            <w:webHidden/>
          </w:rPr>
          <w:t>110</w:t>
        </w:r>
        <w:r>
          <w:rPr>
            <w:webHidden/>
          </w:rPr>
          <w:fldChar w:fldCharType="end"/>
        </w:r>
      </w:hyperlink>
    </w:p>
    <w:p w14:paraId="3F445B9C" w14:textId="645DABF5" w:rsidR="008419B2" w:rsidRDefault="008419B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1332" w:history="1">
        <w:r w:rsidRPr="006A4D84">
          <w:rPr>
            <w:rStyle w:val="Hyperlink"/>
          </w:rPr>
          <w:t>18.</w:t>
        </w:r>
        <w:r>
          <w:rPr>
            <w:rFonts w:asciiTheme="minorHAnsi" w:eastAsiaTheme="minorEastAsia" w:hAnsiTheme="minorHAnsi" w:cstheme="minorBidi"/>
            <w:kern w:val="2"/>
            <w:szCs w:val="24"/>
            <w:lang w:eastAsia="en-GB" w:bidi="ar-SA"/>
            <w14:ligatures w14:val="standardContextual"/>
          </w:rPr>
          <w:tab/>
        </w:r>
        <w:r w:rsidRPr="006A4D84">
          <w:rPr>
            <w:rStyle w:val="Hyperlink"/>
          </w:rPr>
          <w:t>Land quality management</w:t>
        </w:r>
        <w:r>
          <w:rPr>
            <w:webHidden/>
          </w:rPr>
          <w:tab/>
        </w:r>
        <w:r>
          <w:rPr>
            <w:webHidden/>
          </w:rPr>
          <w:fldChar w:fldCharType="begin"/>
        </w:r>
        <w:r>
          <w:rPr>
            <w:webHidden/>
          </w:rPr>
          <w:instrText xml:space="preserve"> PAGEREF _Toc235711332 \h </w:instrText>
        </w:r>
        <w:r>
          <w:rPr>
            <w:webHidden/>
          </w:rPr>
        </w:r>
        <w:r>
          <w:rPr>
            <w:webHidden/>
          </w:rPr>
          <w:fldChar w:fldCharType="separate"/>
        </w:r>
        <w:r>
          <w:rPr>
            <w:webHidden/>
          </w:rPr>
          <w:t>113</w:t>
        </w:r>
        <w:r>
          <w:rPr>
            <w:webHidden/>
          </w:rPr>
          <w:fldChar w:fldCharType="end"/>
        </w:r>
      </w:hyperlink>
    </w:p>
    <w:p w14:paraId="3C7B42D8" w14:textId="6560B4B6" w:rsidR="008419B2" w:rsidRDefault="008419B2">
      <w:pPr>
        <w:pStyle w:val="TOC1"/>
        <w:rPr>
          <w:rFonts w:asciiTheme="minorHAnsi" w:eastAsiaTheme="minorEastAsia" w:hAnsiTheme="minorHAnsi" w:cstheme="minorBidi"/>
          <w:kern w:val="2"/>
          <w:szCs w:val="24"/>
          <w:lang w:eastAsia="en-GB" w:bidi="ar-SA"/>
          <w14:ligatures w14:val="standardContextual"/>
        </w:rPr>
      </w:pPr>
      <w:hyperlink w:anchor="_Toc235711333" w:history="1">
        <w:r w:rsidRPr="006A4D84">
          <w:rPr>
            <w:rStyle w:val="Hyperlink"/>
          </w:rPr>
          <w:t>List of acronyms and abbreviations</w:t>
        </w:r>
        <w:r>
          <w:rPr>
            <w:webHidden/>
          </w:rPr>
          <w:tab/>
        </w:r>
        <w:r>
          <w:rPr>
            <w:webHidden/>
          </w:rPr>
          <w:fldChar w:fldCharType="begin"/>
        </w:r>
        <w:r>
          <w:rPr>
            <w:webHidden/>
          </w:rPr>
          <w:instrText xml:space="preserve"> PAGEREF _Toc235711333 \h </w:instrText>
        </w:r>
        <w:r>
          <w:rPr>
            <w:webHidden/>
          </w:rPr>
        </w:r>
        <w:r>
          <w:rPr>
            <w:webHidden/>
          </w:rPr>
          <w:fldChar w:fldCharType="separate"/>
        </w:r>
        <w:r>
          <w:rPr>
            <w:webHidden/>
          </w:rPr>
          <w:t>115</w:t>
        </w:r>
        <w:r>
          <w:rPr>
            <w:webHidden/>
          </w:rPr>
          <w:fldChar w:fldCharType="end"/>
        </w:r>
      </w:hyperlink>
    </w:p>
    <w:p w14:paraId="5FC023C5" w14:textId="39A2C37C" w:rsidR="008419B2" w:rsidRDefault="008419B2">
      <w:pPr>
        <w:pStyle w:val="TOC1"/>
        <w:rPr>
          <w:rFonts w:asciiTheme="minorHAnsi" w:eastAsiaTheme="minorEastAsia" w:hAnsiTheme="minorHAnsi" w:cstheme="minorBidi"/>
          <w:kern w:val="2"/>
          <w:szCs w:val="24"/>
          <w:lang w:eastAsia="en-GB" w:bidi="ar-SA"/>
          <w14:ligatures w14:val="standardContextual"/>
        </w:rPr>
      </w:pPr>
      <w:hyperlink w:anchor="_Toc235711334" w:history="1">
        <w:r w:rsidRPr="006A4D84">
          <w:rPr>
            <w:rStyle w:val="Hyperlink"/>
          </w:rPr>
          <w:t>References</w:t>
        </w:r>
        <w:r>
          <w:rPr>
            <w:webHidden/>
          </w:rPr>
          <w:tab/>
        </w:r>
        <w:r>
          <w:rPr>
            <w:webHidden/>
          </w:rPr>
          <w:fldChar w:fldCharType="begin"/>
        </w:r>
        <w:r>
          <w:rPr>
            <w:webHidden/>
          </w:rPr>
          <w:instrText xml:space="preserve"> PAGEREF _Toc235711334 \h </w:instrText>
        </w:r>
        <w:r>
          <w:rPr>
            <w:webHidden/>
          </w:rPr>
        </w:r>
        <w:r>
          <w:rPr>
            <w:webHidden/>
          </w:rPr>
          <w:fldChar w:fldCharType="separate"/>
        </w:r>
        <w:r>
          <w:rPr>
            <w:webHidden/>
          </w:rPr>
          <w:t>117</w:t>
        </w:r>
        <w:r>
          <w:rPr>
            <w:webHidden/>
          </w:rPr>
          <w:fldChar w:fldCharType="end"/>
        </w:r>
      </w:hyperlink>
    </w:p>
    <w:p w14:paraId="69292B75" w14:textId="05378398" w:rsidR="008419B2" w:rsidRDefault="008419B2">
      <w:pPr>
        <w:pStyle w:val="TOC1"/>
        <w:rPr>
          <w:rFonts w:asciiTheme="minorHAnsi" w:eastAsiaTheme="minorEastAsia" w:hAnsiTheme="minorHAnsi" w:cstheme="minorBidi"/>
          <w:kern w:val="2"/>
          <w:szCs w:val="24"/>
          <w:lang w:eastAsia="en-GB" w:bidi="ar-SA"/>
          <w14:ligatures w14:val="standardContextual"/>
        </w:rPr>
      </w:pPr>
      <w:hyperlink w:anchor="_Toc235711335" w:history="1">
        <w:r w:rsidRPr="006A4D84">
          <w:rPr>
            <w:rStyle w:val="Hyperlink"/>
          </w:rPr>
          <w:t>Document control information</w:t>
        </w:r>
        <w:r>
          <w:rPr>
            <w:webHidden/>
          </w:rPr>
          <w:tab/>
        </w:r>
        <w:r>
          <w:rPr>
            <w:webHidden/>
          </w:rPr>
          <w:fldChar w:fldCharType="begin"/>
        </w:r>
        <w:r>
          <w:rPr>
            <w:webHidden/>
          </w:rPr>
          <w:instrText xml:space="preserve"> PAGEREF _Toc235711335 \h </w:instrText>
        </w:r>
        <w:r>
          <w:rPr>
            <w:webHidden/>
          </w:rPr>
        </w:r>
        <w:r>
          <w:rPr>
            <w:webHidden/>
          </w:rPr>
          <w:fldChar w:fldCharType="separate"/>
        </w:r>
        <w:r>
          <w:rPr>
            <w:webHidden/>
          </w:rPr>
          <w:t>118</w:t>
        </w:r>
        <w:r>
          <w:rPr>
            <w:webHidden/>
          </w:rPr>
          <w:fldChar w:fldCharType="end"/>
        </w:r>
      </w:hyperlink>
    </w:p>
    <w:p w14:paraId="0CC4B54A" w14:textId="6B75211C" w:rsidR="00267815" w:rsidRPr="00CF791A" w:rsidRDefault="00C94174" w:rsidP="00267815">
      <w:r w:rsidRPr="00CF791A">
        <w:fldChar w:fldCharType="end"/>
      </w:r>
    </w:p>
    <w:p w14:paraId="716B9A7E" w14:textId="77777777" w:rsidR="003E098E" w:rsidRPr="00CF791A" w:rsidRDefault="003E098E" w:rsidP="00267815"/>
    <w:p w14:paraId="4812BFF8" w14:textId="77777777" w:rsidR="003E098E" w:rsidRPr="00CF791A" w:rsidRDefault="003E098E" w:rsidP="00267815">
      <w:pPr>
        <w:sectPr w:rsidR="003E098E" w:rsidRPr="00CF791A" w:rsidSect="00996A47">
          <w:footerReference w:type="default" r:id="rId16"/>
          <w:pgSz w:w="11906" w:h="16838" w:code="9"/>
          <w:pgMar w:top="1440" w:right="1440" w:bottom="1440" w:left="1440" w:header="397" w:footer="397" w:gutter="0"/>
          <w:cols w:space="312"/>
          <w:docGrid w:linePitch="360"/>
        </w:sectPr>
      </w:pPr>
    </w:p>
    <w:p w14:paraId="297142CE" w14:textId="55471192" w:rsidR="00E243D0" w:rsidRPr="00AA159A" w:rsidRDefault="00E243D0" w:rsidP="005364DE">
      <w:pPr>
        <w:pStyle w:val="Heading1"/>
      </w:pPr>
      <w:bookmarkStart w:id="1" w:name="_Toc229399615"/>
      <w:bookmarkStart w:id="2" w:name="_Toc229645861"/>
      <w:bookmarkStart w:id="3" w:name="_Toc230177061"/>
      <w:bookmarkStart w:id="4" w:name="_Toc231378898"/>
      <w:bookmarkStart w:id="5" w:name="_Toc229399616"/>
      <w:bookmarkStart w:id="6" w:name="_Toc229645862"/>
      <w:bookmarkStart w:id="7" w:name="_Toc230177062"/>
      <w:bookmarkStart w:id="8" w:name="_Toc231378899"/>
      <w:bookmarkStart w:id="9" w:name="_Toc229399617"/>
      <w:bookmarkStart w:id="10" w:name="_Toc229645863"/>
      <w:bookmarkStart w:id="11" w:name="_Toc230177063"/>
      <w:bookmarkStart w:id="12" w:name="_Toc231378900"/>
      <w:bookmarkStart w:id="13" w:name="_Toc229399618"/>
      <w:bookmarkStart w:id="14" w:name="_Toc229645864"/>
      <w:bookmarkStart w:id="15" w:name="_Toc230177064"/>
      <w:bookmarkStart w:id="16" w:name="_Toc231378901"/>
      <w:bookmarkStart w:id="17" w:name="_Toc229399619"/>
      <w:bookmarkStart w:id="18" w:name="_Toc229645865"/>
      <w:bookmarkStart w:id="19" w:name="_Toc230177065"/>
      <w:bookmarkStart w:id="20" w:name="_Toc231378902"/>
      <w:bookmarkStart w:id="21" w:name="_Toc229399620"/>
      <w:bookmarkStart w:id="22" w:name="_Toc229645866"/>
      <w:bookmarkStart w:id="23" w:name="_Toc230177066"/>
      <w:bookmarkStart w:id="24" w:name="_Toc231378903"/>
      <w:bookmarkStart w:id="25" w:name="_Toc229399621"/>
      <w:bookmarkStart w:id="26" w:name="_Toc229645867"/>
      <w:bookmarkStart w:id="27" w:name="_Toc230177067"/>
      <w:bookmarkStart w:id="28" w:name="_Toc231378904"/>
      <w:bookmarkStart w:id="29" w:name="_Toc221892776"/>
      <w:bookmarkStart w:id="30" w:name="_Toc221893399"/>
      <w:bookmarkStart w:id="31" w:name="_Toc221893441"/>
      <w:bookmarkStart w:id="32" w:name="_Toc221893490"/>
      <w:bookmarkStart w:id="33" w:name="_Toc221893523"/>
      <w:bookmarkStart w:id="34" w:name="_Toc221893719"/>
      <w:bookmarkStart w:id="35" w:name="_Toc221893752"/>
      <w:bookmarkStart w:id="36" w:name="_Toc221893788"/>
      <w:bookmarkStart w:id="37" w:name="_Toc221893822"/>
      <w:bookmarkStart w:id="38" w:name="_Toc221893924"/>
      <w:bookmarkStart w:id="39" w:name="_Toc221892777"/>
      <w:bookmarkStart w:id="40" w:name="_Toc221893400"/>
      <w:bookmarkStart w:id="41" w:name="_Toc221893442"/>
      <w:bookmarkStart w:id="42" w:name="_Toc221893491"/>
      <w:bookmarkStart w:id="43" w:name="_Toc221893524"/>
      <w:bookmarkStart w:id="44" w:name="_Toc221893720"/>
      <w:bookmarkStart w:id="45" w:name="_Toc221893753"/>
      <w:bookmarkStart w:id="46" w:name="_Toc221893789"/>
      <w:bookmarkStart w:id="47" w:name="_Toc221893823"/>
      <w:bookmarkStart w:id="48" w:name="_Toc221893925"/>
      <w:bookmarkStart w:id="49" w:name="_Toc221892778"/>
      <w:bookmarkStart w:id="50" w:name="_Toc221893401"/>
      <w:bookmarkStart w:id="51" w:name="_Toc221893443"/>
      <w:bookmarkStart w:id="52" w:name="_Toc221893492"/>
      <w:bookmarkStart w:id="53" w:name="_Toc221893525"/>
      <w:bookmarkStart w:id="54" w:name="_Toc221893721"/>
      <w:bookmarkStart w:id="55" w:name="_Toc221893754"/>
      <w:bookmarkStart w:id="56" w:name="_Toc221893790"/>
      <w:bookmarkStart w:id="57" w:name="_Toc221893824"/>
      <w:bookmarkStart w:id="58" w:name="_Toc221893926"/>
      <w:bookmarkStart w:id="59" w:name="_Toc221892779"/>
      <w:bookmarkStart w:id="60" w:name="_Toc221893402"/>
      <w:bookmarkStart w:id="61" w:name="_Toc221893444"/>
      <w:bookmarkStart w:id="62" w:name="_Toc221893493"/>
      <w:bookmarkStart w:id="63" w:name="_Toc221893526"/>
      <w:bookmarkStart w:id="64" w:name="_Toc221893722"/>
      <w:bookmarkStart w:id="65" w:name="_Toc221893755"/>
      <w:bookmarkStart w:id="66" w:name="_Toc221893791"/>
      <w:bookmarkStart w:id="67" w:name="_Toc221893825"/>
      <w:bookmarkStart w:id="68" w:name="_Toc221893927"/>
      <w:bookmarkStart w:id="69" w:name="_Toc221892780"/>
      <w:bookmarkStart w:id="70" w:name="_Toc221893403"/>
      <w:bookmarkStart w:id="71" w:name="_Toc221893445"/>
      <w:bookmarkStart w:id="72" w:name="_Toc221893494"/>
      <w:bookmarkStart w:id="73" w:name="_Toc221893527"/>
      <w:bookmarkStart w:id="74" w:name="_Toc221893723"/>
      <w:bookmarkStart w:id="75" w:name="_Toc221893756"/>
      <w:bookmarkStart w:id="76" w:name="_Toc221893792"/>
      <w:bookmarkStart w:id="77" w:name="_Toc221893826"/>
      <w:bookmarkStart w:id="78" w:name="_Toc221893928"/>
      <w:bookmarkStart w:id="79" w:name="_Toc221892781"/>
      <w:bookmarkStart w:id="80" w:name="_Toc221893404"/>
      <w:bookmarkStart w:id="81" w:name="_Toc221893446"/>
      <w:bookmarkStart w:id="82" w:name="_Toc221893495"/>
      <w:bookmarkStart w:id="83" w:name="_Toc221893528"/>
      <w:bookmarkStart w:id="84" w:name="_Toc221893724"/>
      <w:bookmarkStart w:id="85" w:name="_Toc221893757"/>
      <w:bookmarkStart w:id="86" w:name="_Toc221893793"/>
      <w:bookmarkStart w:id="87" w:name="_Toc221893827"/>
      <w:bookmarkStart w:id="88" w:name="_Toc221893929"/>
      <w:bookmarkStart w:id="89" w:name="_Toc221892782"/>
      <w:bookmarkStart w:id="90" w:name="_Toc221893405"/>
      <w:bookmarkStart w:id="91" w:name="_Toc221893447"/>
      <w:bookmarkStart w:id="92" w:name="_Toc221893496"/>
      <w:bookmarkStart w:id="93" w:name="_Toc221893529"/>
      <w:bookmarkStart w:id="94" w:name="_Toc221893725"/>
      <w:bookmarkStart w:id="95" w:name="_Toc221893758"/>
      <w:bookmarkStart w:id="96" w:name="_Toc221893794"/>
      <w:bookmarkStart w:id="97" w:name="_Toc221893828"/>
      <w:bookmarkStart w:id="98" w:name="_Toc221893930"/>
      <w:bookmarkStart w:id="99" w:name="_Toc221892783"/>
      <w:bookmarkStart w:id="100" w:name="_Toc221893406"/>
      <w:bookmarkStart w:id="101" w:name="_Toc221893448"/>
      <w:bookmarkStart w:id="102" w:name="_Toc221893497"/>
      <w:bookmarkStart w:id="103" w:name="_Toc221893530"/>
      <w:bookmarkStart w:id="104" w:name="_Toc221893726"/>
      <w:bookmarkStart w:id="105" w:name="_Toc221893759"/>
      <w:bookmarkStart w:id="106" w:name="_Toc221893795"/>
      <w:bookmarkStart w:id="107" w:name="_Toc221893829"/>
      <w:bookmarkStart w:id="108" w:name="_Toc221893931"/>
      <w:bookmarkStart w:id="109" w:name="_Toc219206138"/>
      <w:bookmarkStart w:id="110" w:name="_Toc219748165"/>
      <w:bookmarkStart w:id="111" w:name="_Toc2357113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AA159A">
        <w:lastRenderedPageBreak/>
        <w:t>Introduction</w:t>
      </w:r>
      <w:bookmarkEnd w:id="109"/>
      <w:bookmarkEnd w:id="110"/>
      <w:bookmarkEnd w:id="111"/>
    </w:p>
    <w:p w14:paraId="791C91EE" w14:textId="354CCB98" w:rsidR="00E243D0" w:rsidRPr="00AA159A" w:rsidRDefault="00E243D0" w:rsidP="009B7D05">
      <w:pPr>
        <w:pStyle w:val="Heading2"/>
      </w:pPr>
      <w:r w:rsidRPr="00AA159A">
        <w:t xml:space="preserve">The purpose of the </w:t>
      </w:r>
      <w:r w:rsidR="004556D1" w:rsidRPr="00AA159A">
        <w:t>SAP</w:t>
      </w:r>
      <w:r w:rsidR="00F3406F" w:rsidRPr="00AA159A">
        <w:t>s</w:t>
      </w:r>
    </w:p>
    <w:p w14:paraId="58174109" w14:textId="41BE774D" w:rsidR="00E243D0" w:rsidRPr="00CF791A" w:rsidRDefault="00E243D0" w:rsidP="00E243D0">
      <w:pPr>
        <w:pStyle w:val="Paragraph"/>
      </w:pPr>
      <w:r w:rsidRPr="00CF791A">
        <w:t>The SAPs support inspectors in their regulatory assessment of nuclear safety (including radioactive waste management) at existing or proposed nuclear installation</w:t>
      </w:r>
      <w:r w:rsidR="00D56C10" w:rsidRPr="00CF791A">
        <w:t>s</w:t>
      </w:r>
      <w:r w:rsidRPr="00CF791A">
        <w:t>. This is usually through our assessment of safety cases in support of regulatory decisions.</w:t>
      </w:r>
    </w:p>
    <w:p w14:paraId="0F26CD90" w14:textId="2BC66149" w:rsidR="00E243D0" w:rsidRDefault="00E243D0" w:rsidP="00E243D0">
      <w:pPr>
        <w:pStyle w:val="Paragraph"/>
      </w:pPr>
      <w:r w:rsidRPr="00CF791A">
        <w:t xml:space="preserve">The principles presented in this document </w:t>
      </w:r>
      <w:r w:rsidR="00AF1509" w:rsidRPr="00CF791A">
        <w:t xml:space="preserve">only </w:t>
      </w:r>
      <w:r w:rsidR="00CF4C19" w:rsidRPr="00CF791A">
        <w:t>apply</w:t>
      </w:r>
      <w:r w:rsidRPr="00CF791A">
        <w:t xml:space="preserve"> to nuclear safety. The use of the word ‘safety’ within the document should be interpreted accordingly.</w:t>
      </w:r>
      <w:r w:rsidR="00EF6A20" w:rsidRPr="00CF791A">
        <w:t xml:space="preserve"> </w:t>
      </w:r>
    </w:p>
    <w:p w14:paraId="69FF28F9" w14:textId="35E658C3" w:rsidR="00F65B73" w:rsidRPr="00CF791A" w:rsidRDefault="00F65B73" w:rsidP="00E243D0">
      <w:pPr>
        <w:pStyle w:val="Paragraph"/>
      </w:pPr>
      <w:r w:rsidRPr="006504CD">
        <w:rPr>
          <w:lang w:val="en-US"/>
        </w:rPr>
        <w:t>Where appropriate, safety cases may include or reference supporting information or assessment produced to satisfy other legal requirements, in line with a graded approach to safety and to avoid unnecessary duplication.</w:t>
      </w:r>
    </w:p>
    <w:p w14:paraId="5EA8D83D" w14:textId="1EF17442" w:rsidR="00E243D0" w:rsidRPr="00CF791A" w:rsidRDefault="00E243D0" w:rsidP="00E243D0">
      <w:pPr>
        <w:pStyle w:val="Paragraph"/>
      </w:pPr>
      <w:r w:rsidRPr="00CF791A">
        <w:t xml:space="preserve">Although it is not their prime purpose, the SAPs </w:t>
      </w:r>
      <w:r w:rsidR="00DE0CBA">
        <w:t>may</w:t>
      </w:r>
      <w:r w:rsidRPr="00CF791A">
        <w:t xml:space="preserve"> also inform designers and dutyholders on ONR's </w:t>
      </w:r>
      <w:r w:rsidR="00A47668">
        <w:t>general</w:t>
      </w:r>
      <w:r w:rsidR="00A47668" w:rsidRPr="00CF791A">
        <w:t xml:space="preserve"> </w:t>
      </w:r>
      <w:r w:rsidRPr="00CF791A">
        <w:t>expectations for safety cases</w:t>
      </w:r>
      <w:r w:rsidR="00616C1F">
        <w:t xml:space="preserve">, but </w:t>
      </w:r>
      <w:r w:rsidRPr="00CF791A">
        <w:t>they are not sufficient on their own to be used as design or operational standards. In most cases the SAPs provide guidance, but in some instances, they refer to legal requirements for the relevant circumstances.</w:t>
      </w:r>
    </w:p>
    <w:p w14:paraId="3B6EDE1A" w14:textId="12CCA840" w:rsidR="003A7C30" w:rsidRPr="00CF791A" w:rsidRDefault="00902F98" w:rsidP="00EF6A20">
      <w:pPr>
        <w:pStyle w:val="Paragraph"/>
      </w:pPr>
      <w:r w:rsidRPr="00CF791A">
        <w:t xml:space="preserve">The principles are supported by </w:t>
      </w:r>
      <w:r w:rsidR="009A206D" w:rsidRPr="00CF791A">
        <w:t>t</w:t>
      </w:r>
      <w:r w:rsidRPr="00CF791A">
        <w:t xml:space="preserve">echnical </w:t>
      </w:r>
      <w:r w:rsidR="009A206D" w:rsidRPr="00CF791A">
        <w:t>a</w:t>
      </w:r>
      <w:r w:rsidRPr="00CF791A">
        <w:t xml:space="preserve">ssessment </w:t>
      </w:r>
      <w:r w:rsidR="009A206D" w:rsidRPr="00CF791A">
        <w:t>g</w:t>
      </w:r>
      <w:r w:rsidRPr="00CF791A">
        <w:t xml:space="preserve">uides (TAGs), and other guidance, to further assist decision making within the nuclear safety regulatory process </w:t>
      </w:r>
      <w:r w:rsidR="007A50AA">
        <w:t>(refer to</w:t>
      </w:r>
      <w:r w:rsidRPr="00CF791A">
        <w:t xml:space="preserve"> the ONR website).</w:t>
      </w:r>
      <w:r w:rsidR="00874A5F" w:rsidRPr="00CF791A">
        <w:t xml:space="preserve"> </w:t>
      </w:r>
    </w:p>
    <w:p w14:paraId="0E7C8E94" w14:textId="77777777" w:rsidR="00E243D0" w:rsidRPr="00AA159A" w:rsidRDefault="00E243D0" w:rsidP="009B7D05">
      <w:pPr>
        <w:pStyle w:val="Heading2"/>
      </w:pPr>
      <w:r w:rsidRPr="00AA159A">
        <w:t>Legal context</w:t>
      </w:r>
    </w:p>
    <w:p w14:paraId="5B768540" w14:textId="60E805E2" w:rsidR="00E243D0" w:rsidRPr="00CF791A" w:rsidRDefault="00E243D0" w:rsidP="00E243D0">
      <w:pPr>
        <w:pStyle w:val="Paragraph"/>
      </w:pPr>
      <w:r w:rsidRPr="00CF791A">
        <w:t xml:space="preserve">Under the Nuclear Installations Act 1965 (NIA), no person or operator can install or operate </w:t>
      </w:r>
      <w:r w:rsidR="00051B73">
        <w:t>defin</w:t>
      </w:r>
      <w:r w:rsidRPr="00CF791A">
        <w:t>ed nuclear installations without a licence granted by ONR. The NIA enables ONR to attach conditions to a licence in the interests of safety or with respect to the handling, treatment and disposal of nuclear matter.</w:t>
      </w:r>
      <w:r w:rsidR="007304DC">
        <w:t xml:space="preserve"> </w:t>
      </w:r>
      <w:r w:rsidRPr="00CF791A">
        <w:t xml:space="preserve">Licence </w:t>
      </w:r>
      <w:r w:rsidR="0092734D">
        <w:t>C</w:t>
      </w:r>
      <w:r w:rsidR="001423D1" w:rsidRPr="00CF791A">
        <w:t xml:space="preserve">ondition </w:t>
      </w:r>
      <w:r w:rsidRPr="00CF791A">
        <w:t xml:space="preserve">(LC) 23(1) of the standard site licence requires the </w:t>
      </w:r>
      <w:r w:rsidR="006470B0">
        <w:t>dutyholder</w:t>
      </w:r>
      <w:r w:rsidR="006470B0" w:rsidRPr="00CF791A">
        <w:t xml:space="preserve"> </w:t>
      </w:r>
      <w:r w:rsidRPr="00CF791A">
        <w:t xml:space="preserve">to produce an adequate safety case to demonstrate safety of its operations and to identify conditions and limits necessary in the interests of safety. </w:t>
      </w:r>
    </w:p>
    <w:p w14:paraId="6CE2DF02" w14:textId="2933C71B" w:rsidR="00E243D0" w:rsidRPr="00CF791A" w:rsidRDefault="00E243D0" w:rsidP="00E243D0">
      <w:pPr>
        <w:pStyle w:val="Paragraph"/>
      </w:pPr>
      <w:r w:rsidRPr="00CF791A">
        <w:t>In judging the adequacy of a safety case, ONR considers whether it meets the requirements of applicable</w:t>
      </w:r>
      <w:r w:rsidR="00F25DB9">
        <w:t xml:space="preserve"> </w:t>
      </w:r>
      <w:r w:rsidRPr="00CF791A">
        <w:t>law</w:t>
      </w:r>
      <w:r w:rsidR="00C24DD6">
        <w:t>, which</w:t>
      </w:r>
      <w:r w:rsidRPr="00CF791A">
        <w:t xml:space="preserve"> includes the relevant statutory provisions of the Health and Safety at Work etc. Act 1974 (HSW Act) and regulations made under the </w:t>
      </w:r>
      <w:r w:rsidR="00C24DD6">
        <w:t>A</w:t>
      </w:r>
      <w:r w:rsidRPr="00CF791A">
        <w:t>ct. Nuclear operators must also comply with other legislation that is not made under the HSW Act</w:t>
      </w:r>
      <w:r w:rsidR="00C24DD6">
        <w:t xml:space="preserve">, but </w:t>
      </w:r>
      <w:r w:rsidRPr="00CF791A">
        <w:t xml:space="preserve">which may also </w:t>
      </w:r>
      <w:r w:rsidR="008551E2" w:rsidRPr="00CF791A">
        <w:t xml:space="preserve">influence </w:t>
      </w:r>
      <w:r w:rsidRPr="00CF791A">
        <w:t xml:space="preserve">safety </w:t>
      </w:r>
      <w:r w:rsidR="008551E2" w:rsidRPr="00CF791A">
        <w:t>outcomes</w:t>
      </w:r>
      <w:r w:rsidRPr="00CF791A">
        <w:t>.</w:t>
      </w:r>
    </w:p>
    <w:p w14:paraId="56924C1B" w14:textId="77514D9A" w:rsidR="00E243D0" w:rsidRPr="00CF791A" w:rsidRDefault="00E243D0" w:rsidP="00C01A1E">
      <w:pPr>
        <w:pStyle w:val="Paragraph"/>
      </w:pPr>
      <w:r w:rsidRPr="00CF791A">
        <w:t xml:space="preserve">The HSW Act places duties on employers to ensure, ‘so far as is reasonably practicable’ (SFAIRP), the health, safety, and welfare of their employees and </w:t>
      </w:r>
      <w:r w:rsidR="00C01A1E" w:rsidRPr="00CF791A">
        <w:t>that other persons are not exposed to risks to their health and safety</w:t>
      </w:r>
      <w:r w:rsidRPr="00CF791A">
        <w:t xml:space="preserve">. These are goal-setting duties that apply to all employers </w:t>
      </w:r>
      <w:r w:rsidR="00FA1AA0" w:rsidRPr="00CF791A">
        <w:t xml:space="preserve">within Great Britain (GB) </w:t>
      </w:r>
      <w:r w:rsidRPr="00CF791A">
        <w:t xml:space="preserve">in relation to all matters of health and safety, including nuclear safety. HSE and ONR guidance </w:t>
      </w:r>
      <w:r w:rsidRPr="00CF791A">
        <w:lastRenderedPageBreak/>
        <w:t xml:space="preserve">generally refers to reducing risks ‘as low as reasonably practicable’ (‘ALARP’) as a convenient means to express the legal duty to ensure health and safety of people SFAIRP. For assessment purposes the concepts of ALARP and SFAIRP are interchangeable and require the same tests to be applied; however, in legal proceedings the words as they appear in the law should be used. </w:t>
      </w:r>
    </w:p>
    <w:p w14:paraId="2442EC52" w14:textId="6FBEE829" w:rsidR="00E243D0" w:rsidRDefault="00E243D0" w:rsidP="00E243D0">
      <w:pPr>
        <w:pStyle w:val="Paragraph"/>
      </w:pPr>
      <w:r w:rsidRPr="00CF791A">
        <w:t xml:space="preserve">The SAPs give no specific guidance on interpretation of case law relevant to reducing risks ALARP as this is captured elsewhere in ONR guidance on regulating duties to reduce risks to ALARP and </w:t>
      </w:r>
      <w:r w:rsidR="00F67DA7" w:rsidRPr="00CF791A">
        <w:t xml:space="preserve">our </w:t>
      </w:r>
      <w:r w:rsidRPr="00CF791A">
        <w:t xml:space="preserve">policy on regulatory decision making. </w:t>
      </w:r>
    </w:p>
    <w:p w14:paraId="40ACDF1F" w14:textId="4E0D8B6C" w:rsidR="00FA6D08" w:rsidRPr="00AA159A" w:rsidRDefault="00CE5EE7" w:rsidP="009B7D05">
      <w:pPr>
        <w:pStyle w:val="Heading2"/>
      </w:pPr>
      <w:r w:rsidRPr="00CE5EE7">
        <w:t>International framework</w:t>
      </w:r>
    </w:p>
    <w:p w14:paraId="42F8736A" w14:textId="0219CAC7" w:rsidR="00FA6D08" w:rsidRPr="00CF791A" w:rsidRDefault="00D02569" w:rsidP="00D02569">
      <w:pPr>
        <w:pStyle w:val="Paragraph"/>
      </w:pPr>
      <w:r w:rsidRPr="00D02569">
        <w:t>To ensure alignment with international expectations for nuclear safety, this edition of the SAPs has been benchmarked against relevant international standards, including the IAEA safety fundamentals and requirements and the WENRA safety objectives and safety reference levels.</w:t>
      </w:r>
    </w:p>
    <w:p w14:paraId="3670C0E9" w14:textId="77777777" w:rsidR="00E243D0" w:rsidRPr="00AA159A" w:rsidRDefault="00E243D0" w:rsidP="009B7D05">
      <w:pPr>
        <w:pStyle w:val="Heading2"/>
      </w:pPr>
      <w:r w:rsidRPr="00AA159A">
        <w:t>Application of the SAPs in assessment</w:t>
      </w:r>
    </w:p>
    <w:p w14:paraId="1EA56A30" w14:textId="60E96931" w:rsidR="00E243D0" w:rsidRPr="00CF791A" w:rsidRDefault="00E243D0" w:rsidP="00E243D0">
      <w:pPr>
        <w:pStyle w:val="Paragraph"/>
      </w:pPr>
      <w:r w:rsidRPr="00CF791A">
        <w:t>The SAPs contain principles and associated guidance to assist inspectors in judging whether, in their opinion</w:t>
      </w:r>
      <w:r w:rsidR="0095117D">
        <w:t>s</w:t>
      </w:r>
      <w:r w:rsidRPr="00CF791A">
        <w:t xml:space="preserve">, the dutyholder’s safety case has satisfactorily demonstrated that the </w:t>
      </w:r>
      <w:r w:rsidR="00095823" w:rsidRPr="00CF791A">
        <w:t>relevant</w:t>
      </w:r>
      <w:r w:rsidRPr="00CF791A">
        <w:t xml:space="preserve"> requirements of the law can be or have been met. </w:t>
      </w:r>
    </w:p>
    <w:p w14:paraId="4A8ACB24" w14:textId="77777777" w:rsidR="00FD4401" w:rsidRDefault="007E56A5" w:rsidP="00803179">
      <w:pPr>
        <w:pStyle w:val="Paragraph"/>
      </w:pPr>
      <w:r>
        <w:t>The principles are not directly legal requirements in most cases. Legal duties are captured in the law and are only referenced in the SAPs by exception. However, the overarching SAP Fundamental Principles closely reflect legislative and international obligations and so use ‘must’ terminology to reflect those obligations.</w:t>
      </w:r>
    </w:p>
    <w:p w14:paraId="42881490" w14:textId="56B3AC7E" w:rsidR="007E56A5" w:rsidRDefault="007E56A5" w:rsidP="00803179">
      <w:pPr>
        <w:pStyle w:val="Paragraph"/>
      </w:pPr>
      <w:r>
        <w:t>The remaining SAPs are a source of potential good practice</w:t>
      </w:r>
      <w:r w:rsidR="00803179">
        <w:t>,</w:t>
      </w:r>
      <w:r w:rsidR="00AA2B57">
        <w:t xml:space="preserve"> </w:t>
      </w:r>
      <w:r w:rsidR="00AA2B57" w:rsidRPr="00CF791A">
        <w:t>and as such are typically written using 'should' or similar language</w:t>
      </w:r>
      <w:r w:rsidR="008C7901">
        <w:t>, s</w:t>
      </w:r>
      <w:r>
        <w:t>ubject to being relevant to the circumstances</w:t>
      </w:r>
      <w:r w:rsidR="008C7901">
        <w:t xml:space="preserve">. </w:t>
      </w:r>
      <w:r w:rsidR="00FD4401">
        <w:t>T</w:t>
      </w:r>
      <w:r>
        <w:t xml:space="preserve">hese SAPs provide guidance </w:t>
      </w:r>
      <w:r w:rsidR="0006174D">
        <w:t>on</w:t>
      </w:r>
      <w:r>
        <w:t xml:space="preserve"> what would typically be considered to meet </w:t>
      </w:r>
      <w:r w:rsidR="004B5507">
        <w:t>nuclear safety</w:t>
      </w:r>
      <w:r w:rsidR="00791257">
        <w:t xml:space="preserve"> expectations</w:t>
      </w:r>
      <w:r w:rsidR="004B5507">
        <w:t xml:space="preserve"> </w:t>
      </w:r>
      <w:r>
        <w:t>and to achiev</w:t>
      </w:r>
      <w:r w:rsidR="00277D42">
        <w:t>e</w:t>
      </w:r>
      <w:r>
        <w:t xml:space="preserve"> overarching legal requirements (such as reducing risks ALARP </w:t>
      </w:r>
      <w:r w:rsidR="00F67405">
        <w:t>or the re</w:t>
      </w:r>
      <w:r w:rsidR="000B2CF1">
        <w:t xml:space="preserve">quirement for an adequate safety case under </w:t>
      </w:r>
      <w:r w:rsidR="001B7AF7">
        <w:t>LC</w:t>
      </w:r>
      <w:r w:rsidR="000B2CF1">
        <w:t>23</w:t>
      </w:r>
      <w:r>
        <w:t>).</w:t>
      </w:r>
    </w:p>
    <w:p w14:paraId="3B7BBADA" w14:textId="1107EA96" w:rsidR="00E243D0" w:rsidRPr="00CF791A" w:rsidRDefault="00E243D0" w:rsidP="00CF5B50">
      <w:pPr>
        <w:pStyle w:val="Paragraph"/>
      </w:pPr>
      <w:r w:rsidRPr="00CF791A">
        <w:t>In carrying out regulatory assessment, inspectors need to</w:t>
      </w:r>
      <w:r w:rsidR="00CF5B50">
        <w:t xml:space="preserve"> </w:t>
      </w:r>
      <w:r w:rsidR="00CF5B50" w:rsidRPr="00CF5B50">
        <w:t>form a view on the extent to which a safety case achieves the safety outcomes represented by the principles</w:t>
      </w:r>
      <w:r w:rsidRPr="00CF791A">
        <w:t xml:space="preserve">. Not all the principles apply to all assessments, or to every facility or activity. </w:t>
      </w:r>
      <w:r w:rsidR="00CA01EB">
        <w:br/>
      </w:r>
      <w:r w:rsidRPr="00CF791A">
        <w:t xml:space="preserve">For example, principles specific to power reactors might not apply to fuel-cycle facilities, and some might not apply to research reactors. The principles are a reference set, and it is the responsibility of the inspector to identify which to apply, as the context of each application will be different. </w:t>
      </w:r>
    </w:p>
    <w:p w14:paraId="14BC116B" w14:textId="77777777" w:rsidR="00E243D0" w:rsidRPr="000C5554" w:rsidRDefault="00E243D0" w:rsidP="000C5554">
      <w:pPr>
        <w:pStyle w:val="Paragraph"/>
        <w:rPr>
          <w:b/>
          <w:bCs w:val="0"/>
        </w:rPr>
      </w:pPr>
      <w:r w:rsidRPr="000C5554">
        <w:rPr>
          <w:b/>
          <w:bCs w:val="0"/>
        </w:rPr>
        <w:t>Overall balance of safety</w:t>
      </w:r>
    </w:p>
    <w:p w14:paraId="0DF4EFA5" w14:textId="465503E5" w:rsidR="00E243D0" w:rsidRPr="00CF791A" w:rsidRDefault="006A0366" w:rsidP="00E243D0">
      <w:pPr>
        <w:pStyle w:val="Paragraph"/>
      </w:pPr>
      <w:r w:rsidRPr="00CF791A">
        <w:t>When applying the p</w:t>
      </w:r>
      <w:r w:rsidR="00E243D0" w:rsidRPr="00CF791A">
        <w:t>rinciples</w:t>
      </w:r>
      <w:r w:rsidR="00D9613C" w:rsidRPr="00CF791A">
        <w:t>,</w:t>
      </w:r>
      <w:r w:rsidR="00E243D0" w:rsidRPr="00CF791A">
        <w:t xml:space="preserve"> </w:t>
      </w:r>
      <w:r w:rsidR="00921280" w:rsidRPr="00CF791A">
        <w:t>p</w:t>
      </w:r>
      <w:r w:rsidR="00E243D0" w:rsidRPr="00CF791A">
        <w:t xml:space="preserve">riority should be given to achieving an overall balance of safety rather than satisfying each principle rigidly. This has not been stated in each case to avoid excessive repetition. ONR inspectors need to apply </w:t>
      </w:r>
      <w:r w:rsidR="00E243D0" w:rsidRPr="00CF791A">
        <w:lastRenderedPageBreak/>
        <w:t xml:space="preserve">judgement on the adequacy of safety in accordance with ONR policy and wider guidance. </w:t>
      </w:r>
    </w:p>
    <w:p w14:paraId="089A4225" w14:textId="488C2A69" w:rsidR="00E243D0" w:rsidRPr="00CF791A" w:rsidRDefault="00E243D0" w:rsidP="00E243D0">
      <w:pPr>
        <w:pStyle w:val="Paragraph"/>
      </w:pPr>
      <w:r w:rsidRPr="00CF791A">
        <w:t xml:space="preserve">When judging whether nuclear risks have been reduced ALARP, it may be necessary to take account of </w:t>
      </w:r>
      <w:r w:rsidR="00041EEE" w:rsidRPr="00CF791A">
        <w:t xml:space="preserve">non-nuclear </w:t>
      </w:r>
      <w:r w:rsidR="00BB6D42">
        <w:t>health</w:t>
      </w:r>
      <w:r w:rsidR="00A730F1">
        <w:t xml:space="preserve"> and </w:t>
      </w:r>
      <w:r w:rsidRPr="00CF791A">
        <w:t>safety risks to confirm whether an appropriate balance has been achieved. The dutyholder may also have to meet other legal duties (for example</w:t>
      </w:r>
      <w:r w:rsidR="000376CD" w:rsidRPr="00CF791A">
        <w:t>,</w:t>
      </w:r>
      <w:r w:rsidRPr="00CF791A" w:rsidDel="00944E10">
        <w:t xml:space="preserve"> </w:t>
      </w:r>
      <w:r w:rsidRPr="00CF791A">
        <w:t>security and safeguards requirements) that influence the safety outcomes. In some cases</w:t>
      </w:r>
      <w:r w:rsidR="00813C2A" w:rsidRPr="00CF791A">
        <w:t>,</w:t>
      </w:r>
      <w:r w:rsidRPr="00CF791A">
        <w:t xml:space="preserve"> the aims of other legal duties will be complementary to safety requirements</w:t>
      </w:r>
      <w:r w:rsidR="008023EA">
        <w:t>;</w:t>
      </w:r>
      <w:r w:rsidRPr="00CF791A">
        <w:t xml:space="preserve"> in other</w:t>
      </w:r>
      <w:r w:rsidR="008023EA">
        <w:t>s,</w:t>
      </w:r>
      <w:r w:rsidRPr="00CF791A">
        <w:t xml:space="preserve"> alternative approaches may be required to meet all legal duties.</w:t>
      </w:r>
      <w:r w:rsidR="0007678C" w:rsidRPr="00CF791A">
        <w:t xml:space="preserve"> ONR’s principles for making consistent regulatory judgements on the adequacy of security and safeguard</w:t>
      </w:r>
      <w:r w:rsidR="00B6460F">
        <w:t>s</w:t>
      </w:r>
      <w:r w:rsidR="0007678C" w:rsidRPr="00CF791A">
        <w:t xml:space="preserve"> arrangements are covered in </w:t>
      </w:r>
      <w:r w:rsidR="00B6460F">
        <w:t>the S</w:t>
      </w:r>
      <w:r w:rsidR="0007678C" w:rsidRPr="00CF791A">
        <w:t xml:space="preserve">ecurity </w:t>
      </w:r>
      <w:r w:rsidR="00B6460F">
        <w:t>A</w:t>
      </w:r>
      <w:r w:rsidR="0007678C" w:rsidRPr="00CF791A">
        <w:t xml:space="preserve">ssessment </w:t>
      </w:r>
      <w:r w:rsidR="00B6460F">
        <w:t>P</w:t>
      </w:r>
      <w:r w:rsidR="0007678C" w:rsidRPr="00CF791A">
        <w:t xml:space="preserve">rinciples for the </w:t>
      </w:r>
      <w:r w:rsidR="00B6460F">
        <w:t>C</w:t>
      </w:r>
      <w:r w:rsidR="0007678C" w:rsidRPr="00CF791A">
        <w:t xml:space="preserve">ivil </w:t>
      </w:r>
      <w:r w:rsidR="00B6460F">
        <w:t>N</w:t>
      </w:r>
      <w:r w:rsidR="00B6460F" w:rsidRPr="00CF791A">
        <w:t xml:space="preserve">uclear </w:t>
      </w:r>
      <w:r w:rsidR="00B6460F">
        <w:t>I</w:t>
      </w:r>
      <w:r w:rsidR="00B6460F" w:rsidRPr="00CF791A">
        <w:t xml:space="preserve">ndustry </w:t>
      </w:r>
      <w:r w:rsidR="008364F9" w:rsidRPr="00CF791A">
        <w:t>(Sy</w:t>
      </w:r>
      <w:r w:rsidR="00303F8C" w:rsidRPr="00CF791A">
        <w:t>APs)</w:t>
      </w:r>
      <w:r w:rsidR="00CA01EB">
        <w:t xml:space="preserve"> </w:t>
      </w:r>
      <w:sdt>
        <w:sdtPr>
          <w:id w:val="-1716183879"/>
          <w:citation/>
        </w:sdtPr>
        <w:sdtEndPr/>
        <w:sdtContent>
          <w:r w:rsidR="00CA01EB">
            <w:fldChar w:fldCharType="begin"/>
          </w:r>
          <w:r w:rsidR="00CA01EB">
            <w:instrText xml:space="preserve"> CITATION Off22 \l 2057 </w:instrText>
          </w:r>
          <w:r w:rsidR="00CA01EB">
            <w:fldChar w:fldCharType="separate"/>
          </w:r>
          <w:r w:rsidR="00875BCE" w:rsidRPr="00875BCE">
            <w:rPr>
              <w:noProof/>
            </w:rPr>
            <w:t>[1]</w:t>
          </w:r>
          <w:r w:rsidR="00CA01EB">
            <w:fldChar w:fldCharType="end"/>
          </w:r>
        </w:sdtContent>
      </w:sdt>
      <w:r w:rsidR="0007678C" w:rsidRPr="00CF791A">
        <w:t xml:space="preserve">, and </w:t>
      </w:r>
      <w:r w:rsidR="00B6460F">
        <w:t>N</w:t>
      </w:r>
      <w:r w:rsidR="0007678C" w:rsidRPr="00CF791A">
        <w:t xml:space="preserve">uclear </w:t>
      </w:r>
      <w:r w:rsidR="00B6460F">
        <w:t>M</w:t>
      </w:r>
      <w:r w:rsidR="00B6460F" w:rsidRPr="00CF791A">
        <w:t xml:space="preserve">aterial </w:t>
      </w:r>
      <w:r w:rsidR="00B6460F">
        <w:t>A</w:t>
      </w:r>
      <w:r w:rsidR="00B6460F" w:rsidRPr="00CF791A">
        <w:t>ccountancy</w:t>
      </w:r>
      <w:r w:rsidR="0007678C" w:rsidRPr="00CF791A">
        <w:t xml:space="preserve">, </w:t>
      </w:r>
      <w:r w:rsidR="00B6460F">
        <w:t>C</w:t>
      </w:r>
      <w:r w:rsidR="00B6460F" w:rsidRPr="00CF791A">
        <w:t xml:space="preserve">ontrol </w:t>
      </w:r>
      <w:r w:rsidR="0007678C" w:rsidRPr="00CF791A">
        <w:t xml:space="preserve">and </w:t>
      </w:r>
      <w:r w:rsidR="00B6460F">
        <w:t>S</w:t>
      </w:r>
      <w:r w:rsidR="00B6460F" w:rsidRPr="00CF791A">
        <w:t xml:space="preserve">afeguards </w:t>
      </w:r>
      <w:r w:rsidR="00B6460F">
        <w:t>A</w:t>
      </w:r>
      <w:r w:rsidR="00B6460F" w:rsidRPr="00CF791A">
        <w:t xml:space="preserve">ssessment </w:t>
      </w:r>
      <w:r w:rsidR="00B6460F">
        <w:t>P</w:t>
      </w:r>
      <w:r w:rsidR="00B6460F" w:rsidRPr="00CF791A">
        <w:t xml:space="preserve">rinciples </w:t>
      </w:r>
      <w:r w:rsidR="0007678C" w:rsidRPr="00CF791A">
        <w:t>(ONMACS)</w:t>
      </w:r>
      <w:r w:rsidR="007A50AA">
        <w:t xml:space="preserve"> </w:t>
      </w:r>
      <w:sdt>
        <w:sdtPr>
          <w:id w:val="613637111"/>
          <w:citation/>
        </w:sdtPr>
        <w:sdtEndPr/>
        <w:sdtContent>
          <w:r w:rsidR="007A50AA">
            <w:fldChar w:fldCharType="begin"/>
          </w:r>
          <w:r w:rsidR="007A50AA">
            <w:instrText xml:space="preserve"> CITATION Off25 \l 2057 </w:instrText>
          </w:r>
          <w:r w:rsidR="007A50AA">
            <w:fldChar w:fldCharType="separate"/>
          </w:r>
          <w:r w:rsidR="00875BCE" w:rsidRPr="00875BCE">
            <w:rPr>
              <w:noProof/>
            </w:rPr>
            <w:t>[2]</w:t>
          </w:r>
          <w:r w:rsidR="007A50AA">
            <w:fldChar w:fldCharType="end"/>
          </w:r>
        </w:sdtContent>
      </w:sdt>
      <w:r w:rsidR="0007678C" w:rsidRPr="00CF791A">
        <w:t>.</w:t>
      </w:r>
    </w:p>
    <w:p w14:paraId="07A8A360" w14:textId="7C5FED28" w:rsidR="00E243D0" w:rsidRPr="000C5554" w:rsidRDefault="00E243D0" w:rsidP="000C5554">
      <w:pPr>
        <w:pStyle w:val="Paragraph"/>
        <w:rPr>
          <w:b/>
          <w:bCs w:val="0"/>
        </w:rPr>
      </w:pPr>
      <w:r w:rsidRPr="000C5554">
        <w:rPr>
          <w:b/>
          <w:bCs w:val="0"/>
        </w:rPr>
        <w:t xml:space="preserve">Regulatory </w:t>
      </w:r>
      <w:r w:rsidR="00E95F9A" w:rsidRPr="000C5554">
        <w:rPr>
          <w:b/>
          <w:bCs w:val="0"/>
        </w:rPr>
        <w:t>targeting</w:t>
      </w:r>
      <w:r w:rsidR="00E95F9A" w:rsidRPr="000C5554" w:rsidDel="00E95F9A">
        <w:rPr>
          <w:b/>
          <w:bCs w:val="0"/>
        </w:rPr>
        <w:t xml:space="preserve"> </w:t>
      </w:r>
    </w:p>
    <w:p w14:paraId="6B904A5A" w14:textId="4A1ADE03" w:rsidR="00E243D0" w:rsidRPr="00CF791A" w:rsidRDefault="00E243D0" w:rsidP="00E243D0">
      <w:pPr>
        <w:pStyle w:val="Paragraph"/>
      </w:pPr>
      <w:r w:rsidRPr="00CF791A">
        <w:t xml:space="preserve">There is a wide </w:t>
      </w:r>
      <w:r w:rsidR="005338CC" w:rsidRPr="00CF791A">
        <w:t>range of hazards</w:t>
      </w:r>
      <w:r w:rsidR="005338CC" w:rsidRPr="00CF791A" w:rsidDel="005338CC">
        <w:t xml:space="preserve"> </w:t>
      </w:r>
      <w:r w:rsidRPr="00CF791A">
        <w:t xml:space="preserve">associated with different nuclear installations, so the depth and rigour of the analysis required will vary considerably. The dutyholder is expected to take a graded approach to management of safety based on the hazards and risks present. </w:t>
      </w:r>
    </w:p>
    <w:p w14:paraId="4A84581F" w14:textId="357A3D23" w:rsidR="00392C76" w:rsidRPr="00CF791A" w:rsidRDefault="00E243D0" w:rsidP="00EF499F">
      <w:pPr>
        <w:pStyle w:val="Paragraph"/>
      </w:pPr>
      <w:r w:rsidRPr="00CF791A">
        <w:t xml:space="preserve">In accordance with ONR regulatory policy, inspectors are expected to adopt a proportionate </w:t>
      </w:r>
      <w:r w:rsidR="00493149" w:rsidRPr="00CF791A">
        <w:t xml:space="preserve">regulatory </w:t>
      </w:r>
      <w:r w:rsidR="00E62008" w:rsidRPr="00CF791A">
        <w:t xml:space="preserve">approach </w:t>
      </w:r>
      <w:r w:rsidRPr="00CF791A">
        <w:t xml:space="preserve">to targeting and sampling their assessment activities, commensurate with </w:t>
      </w:r>
      <w:r w:rsidR="00370C05" w:rsidRPr="00CF791A">
        <w:t>the nuclear safety risks</w:t>
      </w:r>
      <w:r w:rsidRPr="00CF791A">
        <w:t>. Issues such as novelty and uncertainty, regulatory intelligence on dutyholder performance, and wider regulatory policy are also factors to consider in establishing confidence in the safety case.</w:t>
      </w:r>
      <w:r w:rsidR="0002777A" w:rsidRPr="00CF791A" w:rsidDel="0002777A">
        <w:t xml:space="preserve"> </w:t>
      </w:r>
      <w:r w:rsidR="00CC61DA">
        <w:t>W</w:t>
      </w:r>
      <w:r w:rsidR="00507CEE" w:rsidRPr="00507CEE">
        <w:t>here the hazard is high or knowledge of the risk is uncertain, inspectors may choose to concentrate primarily on the hazard</w:t>
      </w:r>
      <w:r w:rsidR="00077737">
        <w:t>.</w:t>
      </w:r>
    </w:p>
    <w:p w14:paraId="21B445FE" w14:textId="77777777" w:rsidR="00E243D0" w:rsidRPr="000C5554" w:rsidRDefault="00E243D0" w:rsidP="000C5554">
      <w:pPr>
        <w:pStyle w:val="Paragraph"/>
        <w:rPr>
          <w:b/>
          <w:bCs w:val="0"/>
        </w:rPr>
      </w:pPr>
      <w:r w:rsidRPr="000C5554">
        <w:rPr>
          <w:b/>
          <w:bCs w:val="0"/>
        </w:rPr>
        <w:t>Alternative approaches</w:t>
      </w:r>
    </w:p>
    <w:p w14:paraId="74A9C0ED" w14:textId="52B8E614" w:rsidR="003142CA" w:rsidRDefault="00E243D0" w:rsidP="006550A7">
      <w:pPr>
        <w:pStyle w:val="Paragraph"/>
      </w:pPr>
      <w:r w:rsidRPr="00CF791A">
        <w:t>ONR has found that</w:t>
      </w:r>
      <w:r w:rsidR="00DD29B5">
        <w:t xml:space="preserve"> the</w:t>
      </w:r>
      <w:r w:rsidRPr="00CF791A">
        <w:t xml:space="preserve"> application of the practices set out in the SAPs is an effective means of delivering safety outcomes that </w:t>
      </w:r>
      <w:r w:rsidR="00C61B9F">
        <w:t>meet the expectations of the law</w:t>
      </w:r>
      <w:r w:rsidRPr="00CF791A">
        <w:t xml:space="preserve">. However, dutyholders may wish to put forward safety cases that differ from the approaches outlined in the SAPs. </w:t>
      </w:r>
      <w:r w:rsidR="00FC6B37">
        <w:t>I</w:t>
      </w:r>
      <w:r w:rsidRPr="00CF791A">
        <w:t xml:space="preserve">nspectors should consider such submissions on their individual merits. Where the approach being followed differs substantially from the expectations set out here, inspectors </w:t>
      </w:r>
      <w:r w:rsidR="00751781" w:rsidRPr="00CF791A">
        <w:t>c</w:t>
      </w:r>
      <w:r w:rsidRPr="00CF791A">
        <w:t xml:space="preserve">ould advise dutyholders </w:t>
      </w:r>
      <w:r w:rsidR="00BA7D0F" w:rsidRPr="00CF791A">
        <w:t xml:space="preserve">that early engagement </w:t>
      </w:r>
      <w:r w:rsidRPr="00CF791A">
        <w:t xml:space="preserve">to discuss the method of demonstration </w:t>
      </w:r>
      <w:r w:rsidR="00C503C8" w:rsidRPr="00CF791A">
        <w:t xml:space="preserve">can avoid </w:t>
      </w:r>
      <w:r w:rsidR="00361E90" w:rsidRPr="00CF791A">
        <w:t>unnecessary</w:t>
      </w:r>
      <w:r w:rsidR="00C503C8" w:rsidRPr="00CF791A">
        <w:t xml:space="preserve"> effort</w:t>
      </w:r>
      <w:r w:rsidRPr="00CF791A">
        <w:t xml:space="preserve">. </w:t>
      </w:r>
      <w:r w:rsidR="00222C48">
        <w:t>I</w:t>
      </w:r>
      <w:r w:rsidRPr="00CF791A">
        <w:t>nspectors will need to be assured that such cases demonstrate equivalence to the safety outcomes associated with the use of the principles here.</w:t>
      </w:r>
    </w:p>
    <w:p w14:paraId="65DBEC80" w14:textId="71CD3CCC" w:rsidR="006550A7" w:rsidRDefault="006550A7">
      <w:pPr>
        <w:spacing w:after="0" w:line="240" w:lineRule="auto"/>
        <w:rPr>
          <w:bCs/>
        </w:rPr>
      </w:pPr>
      <w:bookmarkStart w:id="112" w:name="_Toc219206139"/>
      <w:bookmarkStart w:id="113" w:name="_Toc219748166"/>
      <w:r>
        <w:br w:type="page"/>
      </w:r>
    </w:p>
    <w:p w14:paraId="0E8BD57A" w14:textId="77777777" w:rsidR="00E243D0" w:rsidRPr="00AA159A" w:rsidRDefault="00E243D0" w:rsidP="005364DE">
      <w:pPr>
        <w:pStyle w:val="Heading1"/>
      </w:pPr>
      <w:bookmarkStart w:id="114" w:name="_Toc235711316"/>
      <w:r w:rsidRPr="00AA159A">
        <w:lastRenderedPageBreak/>
        <w:t>Fundamental principles</w:t>
      </w:r>
      <w:bookmarkEnd w:id="112"/>
      <w:bookmarkEnd w:id="113"/>
      <w:bookmarkEnd w:id="114"/>
    </w:p>
    <w:p w14:paraId="25895E99" w14:textId="1DB53E2E" w:rsidR="00E243D0" w:rsidRPr="00CF791A" w:rsidRDefault="00E243D0" w:rsidP="00E243D0">
      <w:pPr>
        <w:pStyle w:val="Paragraph"/>
      </w:pPr>
      <w:r w:rsidRPr="00CF791A">
        <w:t xml:space="preserve">The following fundamental principles </w:t>
      </w:r>
      <w:r w:rsidR="003D35BF" w:rsidRPr="00CF791A">
        <w:t>are</w:t>
      </w:r>
      <w:r w:rsidRPr="00CF791A">
        <w:t xml:space="preserve"> the foundation for the subsequent safety principles. They are based on the International Atomic Energy Agency (IAEA) </w:t>
      </w:r>
      <w:r w:rsidR="00A3020D">
        <w:t>F</w:t>
      </w:r>
      <w:r w:rsidRPr="00CF791A">
        <w:t xml:space="preserve">undamental </w:t>
      </w:r>
      <w:r w:rsidR="00A3020D">
        <w:t>Safety P</w:t>
      </w:r>
      <w:r w:rsidRPr="00CF791A">
        <w:t>rinciples</w:t>
      </w:r>
      <w:r w:rsidR="007A50AA">
        <w:t xml:space="preserve"> </w:t>
      </w:r>
      <w:sdt>
        <w:sdtPr>
          <w:id w:val="1794641220"/>
          <w:citation/>
        </w:sdtPr>
        <w:sdtEndPr/>
        <w:sdtContent>
          <w:r w:rsidR="00F47ACB">
            <w:fldChar w:fldCharType="begin"/>
          </w:r>
          <w:r w:rsidR="00F47ACB">
            <w:instrText xml:space="preserve"> CITATION IAE61 \l 2057 </w:instrText>
          </w:r>
          <w:r w:rsidR="00F47ACB">
            <w:fldChar w:fldCharType="separate"/>
          </w:r>
          <w:r w:rsidR="00875BCE" w:rsidRPr="00875BCE">
            <w:rPr>
              <w:noProof/>
            </w:rPr>
            <w:t>[3]</w:t>
          </w:r>
          <w:r w:rsidR="00F47ACB">
            <w:fldChar w:fldCharType="end"/>
          </w:r>
        </w:sdtContent>
      </w:sdt>
      <w:r w:rsidR="00EE3230">
        <w:t xml:space="preserve">, which </w:t>
      </w:r>
      <w:r w:rsidRPr="00CF791A">
        <w:t xml:space="preserve">cover a wider scope than the purpose of ONR SAPs, </w:t>
      </w:r>
      <w:r w:rsidR="00D71400">
        <w:t xml:space="preserve">and </w:t>
      </w:r>
      <w:r w:rsidR="00B8781B" w:rsidRPr="00CF791A">
        <w:t>therefore</w:t>
      </w:r>
      <w:r w:rsidRPr="00CF791A">
        <w:t xml:space="preserve"> </w:t>
      </w:r>
      <w:r w:rsidR="00EC3AE7" w:rsidRPr="00CF791A">
        <w:t>these principles</w:t>
      </w:r>
      <w:r w:rsidRPr="00CF791A">
        <w:t xml:space="preserve"> </w:t>
      </w:r>
      <w:r w:rsidR="00EC3AE7" w:rsidRPr="00CF791A">
        <w:t xml:space="preserve">have </w:t>
      </w:r>
      <w:r w:rsidRPr="00CF791A">
        <w:t xml:space="preserve">been drawn from those aspects of IAEA’s </w:t>
      </w:r>
      <w:r w:rsidR="00EC3AE7" w:rsidRPr="00CF791A">
        <w:t xml:space="preserve">fundamental </w:t>
      </w:r>
      <w:r w:rsidRPr="00CF791A">
        <w:t>principles that are relevant to the remit of the SAPs</w:t>
      </w:r>
      <w:r w:rsidRPr="00CF791A">
        <w:rPr>
          <w:iCs/>
        </w:rPr>
        <w:t>.</w:t>
      </w:r>
    </w:p>
    <w:p w14:paraId="21FECCAE" w14:textId="77777777" w:rsidR="00E243D0" w:rsidRPr="00AA159A" w:rsidRDefault="00E243D0" w:rsidP="009B7D05">
      <w:pPr>
        <w:pStyle w:val="SAPHeading"/>
      </w:pPr>
      <w:r w:rsidRPr="00AA159A">
        <w:t>FP.1 – Responsibility for safety</w:t>
      </w:r>
    </w:p>
    <w:p w14:paraId="46FEF26C" w14:textId="77777777" w:rsidR="00E243D0" w:rsidRPr="00AA159A" w:rsidRDefault="00E243D0" w:rsidP="006C4609">
      <w:pPr>
        <w:pStyle w:val="SAPBodyText"/>
      </w:pPr>
      <w:r w:rsidRPr="00AA159A">
        <w:t>The prime responsibility for safety must rest with the person or organisation responsible for the facilities and activities that give rise to radiation risks.</w:t>
      </w:r>
    </w:p>
    <w:p w14:paraId="3DA6F074" w14:textId="2D3AE52A" w:rsidR="00E243D0" w:rsidRPr="00CF791A" w:rsidRDefault="00E243D0" w:rsidP="00E243D0">
      <w:pPr>
        <w:pStyle w:val="Paragraph"/>
      </w:pPr>
      <w:r w:rsidRPr="00CF791A">
        <w:t>Relevant legislation defines who has responsibility for safety. This person or organisation is referred to as the dutyholder throughout this document. For nuclear licen</w:t>
      </w:r>
      <w:r w:rsidR="005F7053">
        <w:t>s</w:t>
      </w:r>
      <w:r w:rsidRPr="00CF791A">
        <w:t xml:space="preserve">ed sites, the prime responsibility for nuclear safety throughout the lifetime of the installation will sit with the organisation that holds the nuclear site licence (known as the licensee), and this responsibility cannot be delegated. Other groups in the </w:t>
      </w:r>
      <w:r w:rsidR="00843B9B" w:rsidRPr="00CF791A">
        <w:t>dutyholder’s</w:t>
      </w:r>
      <w:r w:rsidRPr="00CF791A">
        <w:t xml:space="preserve"> supply chain, such as</w:t>
      </w:r>
      <w:r w:rsidR="00B12A03" w:rsidRPr="00CF791A">
        <w:t>:</w:t>
      </w:r>
      <w:r w:rsidRPr="00CF791A">
        <w:t xml:space="preserve"> designers, manufacturers, constructors, employers, </w:t>
      </w:r>
      <w:r w:rsidR="00A25757" w:rsidRPr="00CF791A">
        <w:t xml:space="preserve">and </w:t>
      </w:r>
      <w:r w:rsidRPr="00CF791A">
        <w:t>contractors have legal, professional or functional responsibilities to safety.</w:t>
      </w:r>
    </w:p>
    <w:p w14:paraId="4863561A" w14:textId="77777777" w:rsidR="00E243D0" w:rsidRPr="00AA159A" w:rsidRDefault="00E243D0" w:rsidP="009B7D05">
      <w:pPr>
        <w:pStyle w:val="SAPHeading"/>
      </w:pPr>
      <w:r w:rsidRPr="00AA159A">
        <w:t>FP.2 – Leadership and management for safety</w:t>
      </w:r>
    </w:p>
    <w:p w14:paraId="25EAF39F" w14:textId="4A180CDF" w:rsidR="00E243D0" w:rsidRPr="00AA159A" w:rsidRDefault="00E243D0" w:rsidP="006C4609">
      <w:pPr>
        <w:pStyle w:val="SAPBodyText"/>
      </w:pPr>
      <w:r w:rsidRPr="00AA159A">
        <w:t>Effective leadership and management for safety must be established and sustained in organisations concerned with, and facilities and activities that give rise to radiation risks.</w:t>
      </w:r>
    </w:p>
    <w:p w14:paraId="4190DBE0" w14:textId="3D751E7A" w:rsidR="00E243D0" w:rsidRPr="00CF791A" w:rsidRDefault="00E243D0" w:rsidP="00E243D0">
      <w:pPr>
        <w:pStyle w:val="Paragraph"/>
      </w:pPr>
      <w:r w:rsidRPr="00CF791A">
        <w:t xml:space="preserve">ONR’s </w:t>
      </w:r>
      <w:r w:rsidR="00845F57" w:rsidRPr="00CF791A">
        <w:t xml:space="preserve">principles </w:t>
      </w:r>
      <w:r w:rsidRPr="00CF791A">
        <w:t xml:space="preserve">for effective leadership and management for safety are given within </w:t>
      </w:r>
      <w:r w:rsidR="00513A80" w:rsidRPr="00CF791A">
        <w:t xml:space="preserve">the MS SAPs. </w:t>
      </w:r>
    </w:p>
    <w:p w14:paraId="6D4FF44B" w14:textId="77777777" w:rsidR="00E243D0" w:rsidRPr="00AA159A" w:rsidRDefault="00E243D0" w:rsidP="009B7D05">
      <w:pPr>
        <w:pStyle w:val="SAPHeading"/>
      </w:pPr>
      <w:r w:rsidRPr="00AA159A">
        <w:t>FP.3 – Optimisation of protection</w:t>
      </w:r>
    </w:p>
    <w:p w14:paraId="2F5BCBDF" w14:textId="77777777" w:rsidR="00E243D0" w:rsidRPr="00AA159A" w:rsidRDefault="00E243D0" w:rsidP="006C4609">
      <w:pPr>
        <w:pStyle w:val="SAPBodyText"/>
      </w:pPr>
      <w:r w:rsidRPr="00AA159A">
        <w:t xml:space="preserve">Protection must be optimised to provide the highest level of safety that is reasonably practicable. </w:t>
      </w:r>
    </w:p>
    <w:p w14:paraId="6FA8EFC4" w14:textId="644441D5" w:rsidR="00E243D0" w:rsidRPr="00CF791A" w:rsidRDefault="00E243D0" w:rsidP="00E243D0">
      <w:pPr>
        <w:pStyle w:val="Paragraph"/>
      </w:pPr>
      <w:r w:rsidRPr="00CF791A">
        <w:t xml:space="preserve">ONR’s </w:t>
      </w:r>
      <w:r w:rsidR="00845F57" w:rsidRPr="00CF791A">
        <w:t>principles</w:t>
      </w:r>
      <w:r w:rsidR="00845F57" w:rsidRPr="00CF791A" w:rsidDel="00845F57">
        <w:t xml:space="preserve"> </w:t>
      </w:r>
      <w:r w:rsidRPr="00CF791A">
        <w:t xml:space="preserve">on the optimisation of protection </w:t>
      </w:r>
      <w:r w:rsidR="00C21737" w:rsidRPr="00CF791A">
        <w:t xml:space="preserve">are given </w:t>
      </w:r>
      <w:r w:rsidR="002F2061" w:rsidRPr="00CF791A">
        <w:t>through</w:t>
      </w:r>
      <w:r w:rsidR="00C21737" w:rsidRPr="00CF791A">
        <w:t>out</w:t>
      </w:r>
      <w:r w:rsidR="002F2061" w:rsidRPr="00CF791A">
        <w:t xml:space="preserve"> the </w:t>
      </w:r>
      <w:r w:rsidRPr="00CF791A">
        <w:t>section</w:t>
      </w:r>
      <w:r w:rsidR="008A1B96" w:rsidRPr="00CF791A">
        <w:t xml:space="preserve">s on </w:t>
      </w:r>
      <w:r w:rsidR="005F4A74" w:rsidRPr="00CF791A">
        <w:t>analysis informed design and</w:t>
      </w:r>
      <w:r w:rsidR="00C21737" w:rsidRPr="00CF791A">
        <w:t>,</w:t>
      </w:r>
      <w:r w:rsidR="005F4A74" w:rsidRPr="00CF791A">
        <w:t xml:space="preserve"> e</w:t>
      </w:r>
      <w:r w:rsidRPr="00CF791A">
        <w:t>ngineering</w:t>
      </w:r>
      <w:r w:rsidR="00480DA7" w:rsidRPr="00CF791A">
        <w:t xml:space="preserve"> and </w:t>
      </w:r>
      <w:r w:rsidR="005F4A74" w:rsidRPr="00CF791A">
        <w:t>d</w:t>
      </w:r>
      <w:r w:rsidR="00480DA7" w:rsidRPr="00CF791A">
        <w:t>esign</w:t>
      </w:r>
      <w:r w:rsidRPr="00CF791A">
        <w:t>.</w:t>
      </w:r>
    </w:p>
    <w:p w14:paraId="3F033687" w14:textId="389261E1" w:rsidR="00E243D0" w:rsidRPr="00AA159A" w:rsidRDefault="00E243D0" w:rsidP="009B7D05">
      <w:pPr>
        <w:pStyle w:val="SAPHeading"/>
      </w:pPr>
      <w:r w:rsidRPr="00AA159A">
        <w:t xml:space="preserve">FP.4 – Safety </w:t>
      </w:r>
      <w:r w:rsidR="00DA39AA" w:rsidRPr="00AA159A">
        <w:t xml:space="preserve">assessment </w:t>
      </w:r>
    </w:p>
    <w:p w14:paraId="794FAA7D" w14:textId="2220F91C" w:rsidR="00E243D0" w:rsidRPr="00AA159A" w:rsidRDefault="00E243D0" w:rsidP="006C4609">
      <w:pPr>
        <w:pStyle w:val="SAPBodyText"/>
      </w:pPr>
      <w:r w:rsidRPr="00AA159A">
        <w:t xml:space="preserve">Dutyholders must demonstrate effective understanding and control of the hazards posed by a site or facility through a suitable and sufficient safety assessment. </w:t>
      </w:r>
    </w:p>
    <w:p w14:paraId="004C6843" w14:textId="386ABD97" w:rsidR="00E243D0" w:rsidRPr="00CF791A" w:rsidRDefault="00AF7191" w:rsidP="00AF7191">
      <w:pPr>
        <w:pStyle w:val="Paragraph"/>
        <w:rPr>
          <w:color w:val="000000" w:themeColor="text1"/>
          <w:u w:val="single"/>
        </w:rPr>
      </w:pPr>
      <w:r w:rsidRPr="00CF791A">
        <w:t>To demonstrate an effective understanding of the hazards present and the control measures in place, the dutyholder’s safety assessment should include consideration of normal operation and all significant faults and hazards.</w:t>
      </w:r>
    </w:p>
    <w:p w14:paraId="0E4886B8" w14:textId="77777777" w:rsidR="00E243D0" w:rsidRPr="00AA159A" w:rsidRDefault="00E243D0" w:rsidP="009B7D05">
      <w:pPr>
        <w:pStyle w:val="SAPHeading"/>
      </w:pPr>
      <w:r w:rsidRPr="00AA159A">
        <w:lastRenderedPageBreak/>
        <w:t>FP.5 – Limitation of risks to individuals</w:t>
      </w:r>
    </w:p>
    <w:p w14:paraId="0F64F30D" w14:textId="77777777" w:rsidR="00E243D0" w:rsidRPr="00AA159A" w:rsidRDefault="00E243D0" w:rsidP="006C4609">
      <w:pPr>
        <w:pStyle w:val="SAPBodyText"/>
      </w:pPr>
      <w:r w:rsidRPr="00AA159A">
        <w:t>Measures for controlling radiation risks must ensure that no individual bears an unacceptable risk of harm.</w:t>
      </w:r>
    </w:p>
    <w:p w14:paraId="2ECCF007" w14:textId="517B02D8" w:rsidR="00E243D0" w:rsidRPr="00CF791A" w:rsidRDefault="00E243D0" w:rsidP="00E243D0">
      <w:pPr>
        <w:pStyle w:val="Paragraph"/>
      </w:pPr>
      <w:r w:rsidRPr="00CF791A">
        <w:t>The Ionising Radiation</w:t>
      </w:r>
      <w:r w:rsidR="00CA5326" w:rsidRPr="00CF791A">
        <w:t>s</w:t>
      </w:r>
      <w:r w:rsidRPr="00CF791A">
        <w:t xml:space="preserve"> Regulations 2017 (IRR17) provide statutory limits on radiation doses and are the primary legislation controlling radiation exposures to individuals. Further, the SAPs section on </w:t>
      </w:r>
      <w:r w:rsidR="00C910BF" w:rsidRPr="00CF791A">
        <w:t xml:space="preserve">ONR’s risk framework </w:t>
      </w:r>
      <w:r w:rsidRPr="00CF791A">
        <w:t xml:space="preserve">provide </w:t>
      </w:r>
      <w:r w:rsidR="009A261E" w:rsidRPr="00CF791A">
        <w:t>principles</w:t>
      </w:r>
      <w:r w:rsidR="009A261E" w:rsidRPr="00CF791A" w:rsidDel="00845F57">
        <w:t xml:space="preserve"> </w:t>
      </w:r>
      <w:r w:rsidRPr="00CF791A">
        <w:t xml:space="preserve">on the level of risk that are consider tolerable to workers and members of the public. </w:t>
      </w:r>
    </w:p>
    <w:p w14:paraId="07211252" w14:textId="77777777" w:rsidR="00E243D0" w:rsidRPr="00AA159A" w:rsidRDefault="00E243D0" w:rsidP="009B7D05">
      <w:pPr>
        <w:pStyle w:val="SAPHeading"/>
      </w:pPr>
      <w:r w:rsidRPr="00AA159A">
        <w:t>FP.6 – Prevention of accidents</w:t>
      </w:r>
    </w:p>
    <w:p w14:paraId="1AC88E50" w14:textId="77777777" w:rsidR="00E243D0" w:rsidRPr="00AA159A" w:rsidRDefault="00E243D0" w:rsidP="006C4609">
      <w:pPr>
        <w:pStyle w:val="SAPBodyText"/>
      </w:pPr>
      <w:r w:rsidRPr="00AA159A">
        <w:t>All reasonably practicable steps must be taken to prevent and mitigate nuclear or radiation accidents.</w:t>
      </w:r>
    </w:p>
    <w:p w14:paraId="1B084139" w14:textId="4D1F1DD0" w:rsidR="00E243D0" w:rsidRPr="00CF791A" w:rsidRDefault="005A2568" w:rsidP="00E243D0">
      <w:pPr>
        <w:pStyle w:val="Paragraph"/>
      </w:pPr>
      <w:r w:rsidRPr="00CF791A">
        <w:t>Appropriate safety assessment, identification of control measures and adequate accident management and emergency response arrangements are the means by which this SAP can be achieved. The overall concept is one of providing multiple barriers to the occurrence of accidents through the principle of ‘defence in depth’</w:t>
      </w:r>
      <w:r w:rsidR="00520894" w:rsidRPr="00CF791A">
        <w:t xml:space="preserve"> </w:t>
      </w:r>
      <w:r w:rsidR="007A50AA">
        <w:t>(refer to</w:t>
      </w:r>
      <w:r w:rsidR="00520894" w:rsidRPr="00CF791A">
        <w:t xml:space="preserve"> KP.</w:t>
      </w:r>
      <w:r w:rsidR="0081251D">
        <w:t>4</w:t>
      </w:r>
      <w:r w:rsidR="00520894" w:rsidRPr="00CF791A">
        <w:t>)</w:t>
      </w:r>
      <w:r w:rsidRPr="00CF791A">
        <w:t>.</w:t>
      </w:r>
      <w:r w:rsidRPr="00CF791A" w:rsidDel="005A2568">
        <w:t xml:space="preserve"> </w:t>
      </w:r>
    </w:p>
    <w:p w14:paraId="26BAD6FD" w14:textId="77777777" w:rsidR="00E243D0" w:rsidRPr="00AA159A" w:rsidRDefault="00E243D0" w:rsidP="009B7D05">
      <w:pPr>
        <w:pStyle w:val="SAPHeading"/>
      </w:pPr>
      <w:r w:rsidRPr="00AA159A">
        <w:t>FP.7 – Emergency preparedness and response</w:t>
      </w:r>
    </w:p>
    <w:p w14:paraId="68D672FC" w14:textId="77777777" w:rsidR="00E243D0" w:rsidRPr="00AA159A" w:rsidRDefault="00E243D0" w:rsidP="006C4609">
      <w:pPr>
        <w:pStyle w:val="SAPBodyText"/>
      </w:pPr>
      <w:r w:rsidRPr="00AA159A">
        <w:t>Arrangements must be made for emergency preparedness and response in case of nuclear or radiation incidents.</w:t>
      </w:r>
    </w:p>
    <w:p w14:paraId="06062DE7" w14:textId="3DC789C2" w:rsidR="00E243D0" w:rsidRPr="00CF791A" w:rsidRDefault="00E243D0" w:rsidP="00E243D0">
      <w:pPr>
        <w:pStyle w:val="Paragraph"/>
      </w:pPr>
      <w:r w:rsidRPr="00CF791A">
        <w:t xml:space="preserve">ONR’s </w:t>
      </w:r>
      <w:r w:rsidR="009A261E" w:rsidRPr="00CF791A">
        <w:t>principles</w:t>
      </w:r>
      <w:r w:rsidR="009A261E" w:rsidRPr="00CF791A" w:rsidDel="00845F57">
        <w:t xml:space="preserve"> </w:t>
      </w:r>
      <w:r w:rsidRPr="00CF791A">
        <w:t>for emergency preparedness and response</w:t>
      </w:r>
      <w:r w:rsidRPr="00CF791A" w:rsidDel="00A36F3C">
        <w:t xml:space="preserve"> </w:t>
      </w:r>
      <w:r w:rsidRPr="00CF791A">
        <w:t xml:space="preserve">are set out in the </w:t>
      </w:r>
      <w:r w:rsidR="009A261E" w:rsidRPr="00CF791A">
        <w:t xml:space="preserve">SAPs on </w:t>
      </w:r>
      <w:r w:rsidR="00034983" w:rsidRPr="00CF791A">
        <w:t>a</w:t>
      </w:r>
      <w:r w:rsidRPr="00CF791A">
        <w:t xml:space="preserve">ccident </w:t>
      </w:r>
      <w:r w:rsidR="00034983" w:rsidRPr="00CF791A">
        <w:t>m</w:t>
      </w:r>
      <w:r w:rsidRPr="00CF791A">
        <w:t xml:space="preserve">anagement and </w:t>
      </w:r>
      <w:r w:rsidR="00034983" w:rsidRPr="00CF791A">
        <w:t>e</w:t>
      </w:r>
      <w:r w:rsidRPr="00CF791A">
        <w:t xml:space="preserve">mergency </w:t>
      </w:r>
      <w:r w:rsidR="00034983" w:rsidRPr="00CF791A">
        <w:t>p</w:t>
      </w:r>
      <w:r w:rsidRPr="00CF791A">
        <w:t>reparedness</w:t>
      </w:r>
      <w:r w:rsidR="00034983" w:rsidRPr="00CF791A">
        <w:t xml:space="preserve"> </w:t>
      </w:r>
      <w:r w:rsidR="007A50AA">
        <w:t>(refer to</w:t>
      </w:r>
      <w:r w:rsidR="00034983" w:rsidRPr="00CF791A">
        <w:t xml:space="preserve"> AM.1)</w:t>
      </w:r>
      <w:r w:rsidRPr="00CF791A">
        <w:t>.</w:t>
      </w:r>
    </w:p>
    <w:p w14:paraId="361BB02A" w14:textId="77777777" w:rsidR="00E243D0" w:rsidRPr="00AA159A" w:rsidRDefault="00E243D0" w:rsidP="009B7D05">
      <w:pPr>
        <w:pStyle w:val="SAPHeading"/>
      </w:pPr>
      <w:r w:rsidRPr="00AA159A">
        <w:t>FP.8 – Protection of present and future generations</w:t>
      </w:r>
    </w:p>
    <w:p w14:paraId="5F420C67" w14:textId="77777777" w:rsidR="00E243D0" w:rsidRPr="00AA159A" w:rsidRDefault="00E243D0" w:rsidP="006C4609">
      <w:pPr>
        <w:pStyle w:val="SAPBodyText"/>
      </w:pPr>
      <w:r w:rsidRPr="00AA159A">
        <w:t>People, present and future, must be adequately protected against radiation risks.</w:t>
      </w:r>
    </w:p>
    <w:p w14:paraId="03E2C0C2" w14:textId="370A9529" w:rsidR="00E243D0" w:rsidRPr="00CF791A" w:rsidRDefault="00E243D0" w:rsidP="00E243D0">
      <w:pPr>
        <w:pStyle w:val="Paragraph"/>
      </w:pPr>
      <w:r w:rsidRPr="00CF791A">
        <w:t xml:space="preserve">Protection of people is ensured by maintaining multiple barriers to radiation throughout the lifecycle of the facility. The application of </w:t>
      </w:r>
      <w:r w:rsidR="009A261E" w:rsidRPr="00CF791A">
        <w:t xml:space="preserve">safety assessment </w:t>
      </w:r>
      <w:r w:rsidRPr="00CF791A">
        <w:t xml:space="preserve">(FP.4) and </w:t>
      </w:r>
      <w:r w:rsidR="009A261E" w:rsidRPr="00CF791A">
        <w:t xml:space="preserve">optimisation </w:t>
      </w:r>
      <w:r w:rsidRPr="00CF791A">
        <w:t xml:space="preserve">of </w:t>
      </w:r>
      <w:r w:rsidR="009A261E" w:rsidRPr="00CF791A">
        <w:t xml:space="preserve">protection </w:t>
      </w:r>
      <w:r w:rsidRPr="00CF791A">
        <w:t>(FP.3) should ensure that appropriate barriers are maintained.</w:t>
      </w:r>
    </w:p>
    <w:p w14:paraId="2D099730" w14:textId="78B30C95" w:rsidR="00E243D0" w:rsidRPr="00CF791A" w:rsidRDefault="00E243D0" w:rsidP="00E243D0">
      <w:pPr>
        <w:pStyle w:val="Paragraph"/>
        <w:rPr>
          <w:bCs w:val="0"/>
        </w:rPr>
        <w:sectPr w:rsidR="00E243D0" w:rsidRPr="00CF791A" w:rsidSect="00E243D0">
          <w:headerReference w:type="default" r:id="rId17"/>
          <w:headerReference w:type="first" r:id="rId18"/>
          <w:pgSz w:w="11906" w:h="16838" w:code="9"/>
          <w:pgMar w:top="1440" w:right="1440" w:bottom="1440" w:left="1440" w:header="397" w:footer="397" w:gutter="0"/>
          <w:cols w:space="312"/>
          <w:docGrid w:linePitch="360"/>
        </w:sectPr>
      </w:pPr>
      <w:r w:rsidRPr="00CF791A">
        <w:t xml:space="preserve">Radioactive material and waste arising should be stored in an acceptable </w:t>
      </w:r>
      <w:r w:rsidR="00036119" w:rsidRPr="00CF791A">
        <w:t xml:space="preserve">form </w:t>
      </w:r>
      <w:r w:rsidRPr="00CF791A">
        <w:t xml:space="preserve">for its long-term management or appropriately disposed of to protect people and avoid imposing an undue burden on future generations. The sections on management of nuclear </w:t>
      </w:r>
      <w:r w:rsidR="00BA7B46" w:rsidRPr="00CF791A">
        <w:t>matter</w:t>
      </w:r>
      <w:r w:rsidRPr="00CF791A">
        <w:t xml:space="preserve">, decommissioning, and land </w:t>
      </w:r>
      <w:r w:rsidR="00C47F8D" w:rsidRPr="00CF791A">
        <w:t xml:space="preserve">quality </w:t>
      </w:r>
      <w:r w:rsidRPr="00CF791A">
        <w:t>are relevant to the long-term protection of people.</w:t>
      </w:r>
    </w:p>
    <w:p w14:paraId="63F9D591" w14:textId="390A0711" w:rsidR="00E243D0" w:rsidRPr="00AA159A" w:rsidRDefault="00E243D0" w:rsidP="005364DE">
      <w:pPr>
        <w:pStyle w:val="Heading1"/>
      </w:pPr>
      <w:bookmarkStart w:id="115" w:name="_Toc219206140"/>
      <w:bookmarkStart w:id="116" w:name="_Toc219748167"/>
      <w:bookmarkStart w:id="117" w:name="_Toc235711317"/>
      <w:r w:rsidRPr="00AA159A">
        <w:lastRenderedPageBreak/>
        <w:t>Safety cases</w:t>
      </w:r>
      <w:bookmarkEnd w:id="115"/>
      <w:bookmarkEnd w:id="116"/>
      <w:bookmarkEnd w:id="117"/>
    </w:p>
    <w:p w14:paraId="0283004F" w14:textId="50776CCF" w:rsidR="00E243D0" w:rsidRPr="00CF791A" w:rsidRDefault="004E59CB" w:rsidP="00E243D0">
      <w:pPr>
        <w:pStyle w:val="Paragraph"/>
      </w:pPr>
      <w:r w:rsidRPr="00CF791A">
        <w:t>The</w:t>
      </w:r>
      <w:r w:rsidR="00E243D0" w:rsidRPr="00CF791A">
        <w:t xml:space="preserve"> safety case is a structured argument, supported by evidence, to justify safety during each lifecycle stage of the installation. The term ‘safety case’ is used throughout this document to encompass the totality of the documentation developed by dutyholders to demonstrate the </w:t>
      </w:r>
      <w:r w:rsidR="007661D2" w:rsidRPr="00CF791A">
        <w:t xml:space="preserve">safety </w:t>
      </w:r>
      <w:r w:rsidR="00E243D0" w:rsidRPr="00CF791A">
        <w:t xml:space="preserve">of its operations and identify conditions and limits necessary in the interests of safety. </w:t>
      </w:r>
      <w:r w:rsidR="00DA03A0" w:rsidRPr="00CF791A">
        <w:t>An adequate safety case</w:t>
      </w:r>
      <w:r w:rsidR="00DA03A0" w:rsidRPr="00CF791A" w:rsidDel="00DA03A0">
        <w:t xml:space="preserve"> </w:t>
      </w:r>
      <w:r w:rsidR="00E243D0" w:rsidRPr="00CF791A">
        <w:t xml:space="preserve">is a requirement of LC23(1) of the standard nuclear site licence. </w:t>
      </w:r>
    </w:p>
    <w:p w14:paraId="6A193ECF" w14:textId="270A024B" w:rsidR="003648F9" w:rsidRPr="00CF791A" w:rsidRDefault="003648F9" w:rsidP="003648F9">
      <w:pPr>
        <w:pStyle w:val="Paragraph"/>
      </w:pPr>
      <w:r w:rsidRPr="00CF791A">
        <w:t xml:space="preserve">The </w:t>
      </w:r>
      <w:r w:rsidR="007E75A6" w:rsidRPr="00CF791A">
        <w:t xml:space="preserve">safety case </w:t>
      </w:r>
      <w:r w:rsidRPr="00CF791A">
        <w:t xml:space="preserve">SAPs consider overarching concepts for the safety case, including the purpose of the safety case, the ownership, the production </w:t>
      </w:r>
      <w:r w:rsidR="00B35152" w:rsidRPr="00CF791A">
        <w:t xml:space="preserve">&amp; maintenance </w:t>
      </w:r>
      <w:r w:rsidRPr="00CF791A">
        <w:t>process</w:t>
      </w:r>
      <w:r w:rsidR="00B35152" w:rsidRPr="00CF791A">
        <w:t>es</w:t>
      </w:r>
      <w:r w:rsidRPr="00CF791A">
        <w:t>, lifecycle aspects, content and structure.</w:t>
      </w:r>
      <w:r w:rsidR="007304DC">
        <w:t xml:space="preserve"> </w:t>
      </w:r>
      <w:r w:rsidRPr="00CF791A">
        <w:t>Detailed technical aspects of safety case content are presented elsewhere throughout the SAPs.</w:t>
      </w:r>
    </w:p>
    <w:p w14:paraId="2CA9F19E" w14:textId="696462A1" w:rsidR="00FF315C" w:rsidRPr="00CF791A" w:rsidRDefault="00FF315C" w:rsidP="003648F9">
      <w:pPr>
        <w:pStyle w:val="Paragraph"/>
      </w:pPr>
      <w:r w:rsidRPr="00CF791A">
        <w:t>The production of a safety case does not by itself ensure the safety of an installation. What is also necessary is the proper implementation of the requirements that stem from and that are justified by the safety case.</w:t>
      </w:r>
    </w:p>
    <w:p w14:paraId="76AF8800" w14:textId="7A714C1E" w:rsidR="00E243D0" w:rsidRPr="00AA159A" w:rsidRDefault="00E243D0" w:rsidP="009B7D05">
      <w:pPr>
        <w:pStyle w:val="SAPHeading"/>
      </w:pPr>
      <w:r w:rsidRPr="00AA159A">
        <w:t>SC.</w:t>
      </w:r>
      <w:r w:rsidR="005F3BD7" w:rsidRPr="00AA159A">
        <w:t>1</w:t>
      </w:r>
      <w:r w:rsidRPr="00AA159A">
        <w:t xml:space="preserve"> – Purpose of a </w:t>
      </w:r>
      <w:r w:rsidR="0020409E" w:rsidRPr="00AA159A">
        <w:t>s</w:t>
      </w:r>
      <w:r w:rsidRPr="00AA159A">
        <w:t xml:space="preserve">afety case </w:t>
      </w:r>
    </w:p>
    <w:p w14:paraId="470155C6" w14:textId="0B65055D" w:rsidR="00E243D0" w:rsidRPr="00AA159A" w:rsidRDefault="007C7CC6" w:rsidP="006C4609">
      <w:pPr>
        <w:pStyle w:val="SAPBodyText"/>
      </w:pPr>
      <w:r w:rsidRPr="00AA159A">
        <w:t>The safety case should consider the risks and justify adequate controls to manage them for the lifecycle of the installation, including normal operation as well as during fault or accident conditions.</w:t>
      </w:r>
      <w:r w:rsidRPr="00AA159A" w:rsidDel="007C7CC6">
        <w:t xml:space="preserve"> </w:t>
      </w:r>
    </w:p>
    <w:p w14:paraId="19445B62" w14:textId="0E529EA5" w:rsidR="00E243D0" w:rsidRPr="00CF791A" w:rsidRDefault="00E243D0" w:rsidP="00E243D0">
      <w:pPr>
        <w:pStyle w:val="Paragraph"/>
      </w:pPr>
      <w:r w:rsidRPr="00CF791A">
        <w:t>The safety case should demonstrate the nuclear safety of operations within its scope to the standards required by law. It should interact and interface, as appropriate, with the cases relevant for security, environmental protection, the safeguarding of nuclear material</w:t>
      </w:r>
      <w:r w:rsidRPr="00CF791A" w:rsidDel="00775566">
        <w:t xml:space="preserve">, </w:t>
      </w:r>
      <w:r w:rsidR="002C2147" w:rsidRPr="00CF791A">
        <w:t xml:space="preserve">non-nuclear </w:t>
      </w:r>
      <w:r w:rsidRPr="00CF791A">
        <w:t xml:space="preserve">health and safety, and so on. </w:t>
      </w:r>
      <w:r w:rsidR="00170929" w:rsidRPr="00CF791A">
        <w:t>The safety case sets out the trail from safety claims through arguments to evidence.</w:t>
      </w:r>
      <w:r w:rsidR="00170929" w:rsidRPr="00CF791A" w:rsidDel="00170929">
        <w:t xml:space="preserve"> </w:t>
      </w:r>
    </w:p>
    <w:p w14:paraId="6E7278E5" w14:textId="4693AB50" w:rsidR="00E243D0" w:rsidRPr="00CF791A" w:rsidRDefault="00E243D0" w:rsidP="00E243D0">
      <w:pPr>
        <w:pStyle w:val="Paragraph"/>
      </w:pPr>
      <w:r w:rsidRPr="00CF791A">
        <w:t>The</w:t>
      </w:r>
      <w:r w:rsidRPr="00CF791A" w:rsidDel="006E31CD">
        <w:t xml:space="preserve"> </w:t>
      </w:r>
      <w:r w:rsidRPr="00CF791A">
        <w:t xml:space="preserve">safety case should be written to address the needs of the operator’s organisation. It should ensure that descriptions and terms are easy to understand by </w:t>
      </w:r>
      <w:r w:rsidR="001A7171">
        <w:t>users</w:t>
      </w:r>
      <w:r w:rsidR="0019692A">
        <w:t>;</w:t>
      </w:r>
      <w:r w:rsidRPr="00CF791A">
        <w:t xml:space="preserve"> arguments are </w:t>
      </w:r>
      <w:r w:rsidR="00C9076A" w:rsidRPr="00CF791A">
        <w:t>evidence</w:t>
      </w:r>
      <w:r w:rsidR="008C3F4D" w:rsidRPr="00CF791A">
        <w:t xml:space="preserve"> based</w:t>
      </w:r>
      <w:r w:rsidR="00C9076A" w:rsidRPr="00CF791A">
        <w:t xml:space="preserve">, </w:t>
      </w:r>
      <w:r w:rsidRPr="00CF791A">
        <w:t>cogent and coherently developed</w:t>
      </w:r>
      <w:r w:rsidR="0019692A">
        <w:t>;</w:t>
      </w:r>
      <w:r w:rsidRPr="00CF791A">
        <w:t xml:space="preserve"> references are accessible</w:t>
      </w:r>
      <w:r w:rsidR="005B5EB4">
        <w:t>;</w:t>
      </w:r>
      <w:r w:rsidRPr="00CF791A">
        <w:t xml:space="preserve"> and that conclusions are supported and follow logically from the arguments.</w:t>
      </w:r>
    </w:p>
    <w:p w14:paraId="2B0F232A" w14:textId="1D332964" w:rsidR="00763B49" w:rsidRPr="00CF791A" w:rsidRDefault="00763B49" w:rsidP="00763B49">
      <w:pPr>
        <w:pStyle w:val="Paragraph"/>
      </w:pPr>
      <w:r w:rsidRPr="00CF791A">
        <w:t xml:space="preserve">The prime user of a safety case is the dutyholder to demonstrate and ensure nuclear safety to itself, and provides the </w:t>
      </w:r>
      <w:r w:rsidR="006601D9" w:rsidRPr="00CF791A">
        <w:t xml:space="preserve">necessary </w:t>
      </w:r>
      <w:r w:rsidRPr="00CF791A">
        <w:t>information require</w:t>
      </w:r>
      <w:r w:rsidR="006601D9" w:rsidRPr="00CF791A">
        <w:t>d</w:t>
      </w:r>
      <w:r w:rsidRPr="00CF791A">
        <w:t xml:space="preserve"> to safely manage the installation or activity. There are a number of different </w:t>
      </w:r>
      <w:r w:rsidR="00545DC4" w:rsidRPr="00CF791A">
        <w:t>users</w:t>
      </w:r>
      <w:r w:rsidRPr="00CF791A">
        <w:t xml:space="preserve"> within the dutyholder. Th</w:t>
      </w:r>
      <w:r w:rsidR="00D55B4E" w:rsidRPr="00CF791A">
        <w:t xml:space="preserve">ese </w:t>
      </w:r>
      <w:r w:rsidR="00356362" w:rsidRPr="00CF791A">
        <w:t>include</w:t>
      </w:r>
      <w:r w:rsidR="00BD7867" w:rsidRPr="00CF791A">
        <w:t>:</w:t>
      </w:r>
      <w:r w:rsidRPr="00CF791A">
        <w:t xml:space="preserve"> directors and senior managers who are accountable for safety and should rely on the safety case for accurate and objective information on their control measures to make informed decisions</w:t>
      </w:r>
      <w:r w:rsidR="00BD7867" w:rsidRPr="00CF791A">
        <w:t>,</w:t>
      </w:r>
      <w:r w:rsidR="00ED14CF" w:rsidRPr="00CF791A">
        <w:t xml:space="preserve"> </w:t>
      </w:r>
      <w:r w:rsidR="00BD7867" w:rsidRPr="00CF791A">
        <w:t>d</w:t>
      </w:r>
      <w:r w:rsidR="00ED14CF" w:rsidRPr="00CF791A">
        <w:t>esigner</w:t>
      </w:r>
      <w:r w:rsidR="00D92249" w:rsidRPr="00CF791A">
        <w:t>s</w:t>
      </w:r>
      <w:r w:rsidR="00ED14CF" w:rsidRPr="00CF791A">
        <w:t xml:space="preserve"> </w:t>
      </w:r>
      <w:r w:rsidR="00A83D5E" w:rsidRPr="00CF791A">
        <w:t xml:space="preserve">who </w:t>
      </w:r>
      <w:r w:rsidR="005F483A" w:rsidRPr="00CF791A">
        <w:t xml:space="preserve">design the </w:t>
      </w:r>
      <w:r w:rsidR="00BD5172" w:rsidRPr="00CF791A">
        <w:t>controls required to maintain safety</w:t>
      </w:r>
      <w:r w:rsidR="004E7E3D" w:rsidRPr="00CF791A">
        <w:t xml:space="preserve">, and </w:t>
      </w:r>
      <w:r w:rsidRPr="00CF791A">
        <w:t xml:space="preserve">those who interact directly with the facility, who have responsibilities for working to the arrangements set out by the safety case. </w:t>
      </w:r>
    </w:p>
    <w:p w14:paraId="6C3378BD" w14:textId="1727010B" w:rsidR="00A53E7D" w:rsidRPr="00CF791A" w:rsidRDefault="00D23F8E" w:rsidP="00D23F8E">
      <w:pPr>
        <w:pStyle w:val="Paragraph"/>
      </w:pPr>
      <w:r>
        <w:t xml:space="preserve">The safety case </w:t>
      </w:r>
      <w:r w:rsidR="006310F3">
        <w:t>should</w:t>
      </w:r>
      <w:r>
        <w:t xml:space="preserve"> </w:t>
      </w:r>
      <w:r w:rsidR="008F59D9">
        <w:t xml:space="preserve">be </w:t>
      </w:r>
      <w:r w:rsidR="003638CD">
        <w:t xml:space="preserve">written </w:t>
      </w:r>
      <w:r w:rsidR="005D71FE">
        <w:t>to allow</w:t>
      </w:r>
      <w:r w:rsidR="00077EC0">
        <w:t xml:space="preserve"> for </w:t>
      </w:r>
      <w:r>
        <w:t xml:space="preserve">independent </w:t>
      </w:r>
      <w:r w:rsidR="00B100EC">
        <w:t>review</w:t>
      </w:r>
      <w:r w:rsidR="00077EC0">
        <w:t>, which may includ</w:t>
      </w:r>
      <w:r w:rsidR="00B25399">
        <w:t xml:space="preserve">e </w:t>
      </w:r>
      <w:r w:rsidR="00077EC0">
        <w:t>regulatory assessment</w:t>
      </w:r>
      <w:r w:rsidR="002C4551">
        <w:t>.</w:t>
      </w:r>
    </w:p>
    <w:p w14:paraId="07ECEF46" w14:textId="2AFC9F1C" w:rsidR="00763B49" w:rsidRPr="00CF791A" w:rsidRDefault="00763B49" w:rsidP="00763B49">
      <w:pPr>
        <w:pStyle w:val="Paragraph"/>
      </w:pPr>
      <w:r w:rsidRPr="00CF791A">
        <w:lastRenderedPageBreak/>
        <w:t>In accord</w:t>
      </w:r>
      <w:r w:rsidR="00DF7ABF" w:rsidRPr="00CF791A">
        <w:t>ance</w:t>
      </w:r>
      <w:r w:rsidRPr="00CF791A">
        <w:t xml:space="preserve"> with a graded approach </w:t>
      </w:r>
      <w:r w:rsidR="007A50AA">
        <w:t>(refer to</w:t>
      </w:r>
      <w:r w:rsidRPr="00CF791A">
        <w:t xml:space="preserve"> KP.1), the detail presented in the safety case should be commensurate with the significance of the risks and required confidence in the measures to manage those risks.</w:t>
      </w:r>
    </w:p>
    <w:p w14:paraId="32D7695E" w14:textId="16C0DD10" w:rsidR="00763B49" w:rsidRPr="00CF791A" w:rsidRDefault="00763B49" w:rsidP="00763B49">
      <w:pPr>
        <w:pStyle w:val="Paragraph"/>
      </w:pPr>
      <w:r w:rsidRPr="00CF791A">
        <w:t>The safety case should avoid unnecessary complexity. It should not include non-safety matters (</w:t>
      </w:r>
      <w:r w:rsidR="007C1115">
        <w:t>such as</w:t>
      </w:r>
      <w:r w:rsidRPr="00CF791A">
        <w:t xml:space="preserve"> operational performance), except where relevant to the delivery of safety outcomes</w:t>
      </w:r>
      <w:r w:rsidR="007A43F2" w:rsidRPr="00CF791A">
        <w:t>.</w:t>
      </w:r>
    </w:p>
    <w:p w14:paraId="3894CF2B" w14:textId="065EFA4C" w:rsidR="00E243D0" w:rsidRPr="00AA159A" w:rsidRDefault="00E243D0" w:rsidP="009B7D05">
      <w:pPr>
        <w:pStyle w:val="SAPHeading"/>
      </w:pPr>
      <w:r w:rsidRPr="00AA159A">
        <w:t>SC.</w:t>
      </w:r>
      <w:r w:rsidR="005F3BD7" w:rsidRPr="00AA159A">
        <w:t>2</w:t>
      </w:r>
      <w:r w:rsidRPr="00AA159A">
        <w:t xml:space="preserve"> – Safety case ownership</w:t>
      </w:r>
    </w:p>
    <w:p w14:paraId="3FDC86B4" w14:textId="63EEA007" w:rsidR="00E243D0" w:rsidRPr="00AA159A" w:rsidRDefault="005C4803" w:rsidP="006C4609">
      <w:pPr>
        <w:pStyle w:val="SAPBodyText"/>
      </w:pPr>
      <w:r w:rsidRPr="00AA159A">
        <w:t>Ownership of the safety case should reside within the dutyholder’s organisation with those who have direct responsibility for safety</w:t>
      </w:r>
      <w:r w:rsidR="00B91075">
        <w:t>.</w:t>
      </w:r>
    </w:p>
    <w:p w14:paraId="0A287851" w14:textId="0DC773D0" w:rsidR="00E243D0" w:rsidRPr="00CF791A" w:rsidRDefault="00A67AD8" w:rsidP="005D4B73">
      <w:pPr>
        <w:pStyle w:val="Paragraph"/>
      </w:pPr>
      <w:r w:rsidRPr="00CF791A">
        <w:t xml:space="preserve">Safety cases are owned by the dutyholder, as it has the overarching legal duties. </w:t>
      </w:r>
      <w:r w:rsidR="003657E4">
        <w:br/>
      </w:r>
      <w:r w:rsidRPr="00CF791A">
        <w:t xml:space="preserve">An authority for preparing, maintaining, implementing and reviewing the safety case </w:t>
      </w:r>
      <w:r w:rsidR="005D4B73" w:rsidRPr="00AA159A">
        <w:t>should reside with competent persons with accountability for safety within the dutyholder’s organisation</w:t>
      </w:r>
      <w:r w:rsidRPr="00CF791A">
        <w:t xml:space="preserve">. </w:t>
      </w:r>
    </w:p>
    <w:p w14:paraId="2F543396" w14:textId="2D054FA8" w:rsidR="00DA45AD" w:rsidRPr="00AA159A" w:rsidRDefault="00DA45AD" w:rsidP="009B7D05">
      <w:pPr>
        <w:pStyle w:val="SAPHeading"/>
      </w:pPr>
      <w:r w:rsidRPr="00AA159A">
        <w:t>SC.</w:t>
      </w:r>
      <w:r w:rsidR="005F3BD7" w:rsidRPr="00AA159A">
        <w:t>3</w:t>
      </w:r>
      <w:r w:rsidRPr="00AA159A">
        <w:t xml:space="preserve"> – Safety case production process</w:t>
      </w:r>
    </w:p>
    <w:p w14:paraId="4C4BCAD9" w14:textId="282A8C3C" w:rsidR="00DA45AD" w:rsidRPr="00AA159A" w:rsidRDefault="00DA45AD" w:rsidP="006C4609">
      <w:pPr>
        <w:pStyle w:val="SAPBodyText"/>
      </w:pPr>
      <w:r w:rsidRPr="00AA159A">
        <w:t xml:space="preserve">The process for producing safety cases should be designed and implemented </w:t>
      </w:r>
      <w:r w:rsidR="00351F0C" w:rsidRPr="00AA159A">
        <w:t>commensurate with the nuclear safety risk</w:t>
      </w:r>
      <w:r w:rsidRPr="00AA159A">
        <w:t>.</w:t>
      </w:r>
    </w:p>
    <w:p w14:paraId="12B1BA01" w14:textId="3870C186" w:rsidR="00DA45AD" w:rsidRPr="00CF791A" w:rsidRDefault="00DA45AD" w:rsidP="006B2728">
      <w:pPr>
        <w:pStyle w:val="Paragraph"/>
      </w:pPr>
      <w:r w:rsidRPr="00CF791A">
        <w:t xml:space="preserve">The process used to produce safety cases needs to be designed to deliver fit for purpose safety cases. </w:t>
      </w:r>
      <w:r w:rsidR="006B2728" w:rsidRPr="00AA159A">
        <w:t xml:space="preserve">Governance of safety cases (including appropriate independent review and challenge) should be undertaken in line with a graded approach </w:t>
      </w:r>
      <w:r w:rsidR="007A50AA">
        <w:t>(refer to</w:t>
      </w:r>
      <w:r w:rsidR="006B2728" w:rsidRPr="00AA159A">
        <w:t xml:space="preserve"> KP.1) and commensurate with the nuclear safety risks.</w:t>
      </w:r>
    </w:p>
    <w:p w14:paraId="3748F1BC" w14:textId="0A35FA9C" w:rsidR="005A2883" w:rsidRPr="00C23CBB" w:rsidRDefault="005A2883" w:rsidP="005A2883">
      <w:pPr>
        <w:pStyle w:val="Paragraph"/>
      </w:pPr>
      <w:r w:rsidRPr="00C23CBB">
        <w:t xml:space="preserve">Where artificial intelligence has been used in the generation of aspects of the safety case, the owner should apply appropriate </w:t>
      </w:r>
      <w:r w:rsidR="00E743C9">
        <w:t>oversight</w:t>
      </w:r>
      <w:r w:rsidR="00A42A35" w:rsidRPr="00C23CBB">
        <w:t xml:space="preserve"> to </w:t>
      </w:r>
      <w:r w:rsidRPr="00C23CBB">
        <w:t xml:space="preserve">assure itself that the generated input is appropriate for its intended purpose. </w:t>
      </w:r>
      <w:r w:rsidR="007F40E7">
        <w:t xml:space="preserve">Where </w:t>
      </w:r>
      <w:r w:rsidR="00671CB3" w:rsidRPr="009E0CC7">
        <w:t>artificial intelligence</w:t>
      </w:r>
      <w:r w:rsidR="007F40E7">
        <w:t xml:space="preserve"> provides a s</w:t>
      </w:r>
      <w:r w:rsidR="007F40E7" w:rsidRPr="007F40E7">
        <w:t>ubstanti</w:t>
      </w:r>
      <w:r w:rsidR="00671CB3">
        <w:t>al</w:t>
      </w:r>
      <w:r w:rsidR="00D8113B">
        <w:t xml:space="preserve"> </w:t>
      </w:r>
      <w:r w:rsidR="007F40E7" w:rsidRPr="007F40E7">
        <w:t xml:space="preserve">influence </w:t>
      </w:r>
      <w:r w:rsidR="007F40E7">
        <w:t xml:space="preserve">over </w:t>
      </w:r>
      <w:r w:rsidR="007F40E7" w:rsidRPr="007F40E7">
        <w:t>content or analysis</w:t>
      </w:r>
      <w:r w:rsidR="007F40E7">
        <w:t xml:space="preserve"> this should be </w:t>
      </w:r>
      <w:r w:rsidR="003856C3">
        <w:t>made transparent to the reader</w:t>
      </w:r>
      <w:r w:rsidR="007F40E7" w:rsidRPr="007F40E7">
        <w:t>.</w:t>
      </w:r>
    </w:p>
    <w:p w14:paraId="4D9C757F" w14:textId="4DC306D6" w:rsidR="00E243D0" w:rsidRPr="00AA159A" w:rsidRDefault="00E243D0" w:rsidP="009B7D05">
      <w:pPr>
        <w:pStyle w:val="SAPHeading"/>
      </w:pPr>
      <w:r w:rsidRPr="00AA159A">
        <w:t>SC.</w:t>
      </w:r>
      <w:r w:rsidR="005F3BD7" w:rsidRPr="00AA159A">
        <w:t>4</w:t>
      </w:r>
      <w:r w:rsidRPr="00AA159A">
        <w:t xml:space="preserve"> – Installation </w:t>
      </w:r>
      <w:r w:rsidR="0020409E" w:rsidRPr="00AA159A">
        <w:t>l</w:t>
      </w:r>
      <w:r w:rsidRPr="00AA159A">
        <w:t xml:space="preserve">ifecycle </w:t>
      </w:r>
    </w:p>
    <w:p w14:paraId="06545A37" w14:textId="7410FB20" w:rsidR="00E243D0" w:rsidRPr="00AA159A" w:rsidRDefault="00E243D0" w:rsidP="006C4609">
      <w:pPr>
        <w:pStyle w:val="SAPBodyText"/>
      </w:pPr>
      <w:r w:rsidRPr="00AA159A">
        <w:t xml:space="preserve">For each lifecycle stage, control of the hazard should be demonstrated by a valid safety case that </w:t>
      </w:r>
      <w:r w:rsidRPr="00AA159A" w:rsidDel="00291805">
        <w:t xml:space="preserve">takes into account </w:t>
      </w:r>
      <w:r w:rsidRPr="00AA159A">
        <w:t>the implications from previous and</w:t>
      </w:r>
      <w:r w:rsidRPr="00AA159A" w:rsidDel="00757070">
        <w:t xml:space="preserve"> </w:t>
      </w:r>
      <w:r w:rsidRPr="00AA159A">
        <w:t>future stages.</w:t>
      </w:r>
    </w:p>
    <w:p w14:paraId="6D15919F" w14:textId="58BD0F0A" w:rsidR="00E243D0" w:rsidRPr="00CF791A" w:rsidRDefault="00E243D0" w:rsidP="00E243D0">
      <w:pPr>
        <w:pStyle w:val="Paragraph"/>
      </w:pPr>
      <w:r w:rsidRPr="00CF791A">
        <w:t>The specific content and depth of information in a safety case for any stage should be commensurate with the nature of the particular stage and inter-relationships with other stages</w:t>
      </w:r>
      <w:r w:rsidR="002E03EF" w:rsidRPr="00CF791A">
        <w:t xml:space="preserve"> and in</w:t>
      </w:r>
      <w:r w:rsidR="0008365F" w:rsidRPr="00CF791A">
        <w:t xml:space="preserve"> </w:t>
      </w:r>
      <w:r w:rsidR="002E03EF" w:rsidRPr="00CF791A">
        <w:t xml:space="preserve">line with a graded approach </w:t>
      </w:r>
      <w:r w:rsidR="00950898" w:rsidRPr="00CF791A">
        <w:t xml:space="preserve">to safety </w:t>
      </w:r>
      <w:r w:rsidR="007A50AA">
        <w:t>(refer to</w:t>
      </w:r>
      <w:r w:rsidR="002E03EF" w:rsidRPr="00CF791A">
        <w:t xml:space="preserve"> KP.1)</w:t>
      </w:r>
      <w:r w:rsidRPr="00CF791A">
        <w:t>. In the early design stages the safety case will be more a statement of future intent, claims, and principles</w:t>
      </w:r>
      <w:r w:rsidRPr="00CF791A" w:rsidDel="004C3710">
        <w:t>,</w:t>
      </w:r>
      <w:r w:rsidRPr="00CF791A">
        <w:t xml:space="preserve"> whereas a safety case for operational stages should have developed arguments and evidence to support its claims. The safety case should be cognisant of the requirements for decommissioning and radioactive waste management in all lifecycle stages. </w:t>
      </w:r>
    </w:p>
    <w:p w14:paraId="02D771FD" w14:textId="29B0519F" w:rsidR="009A5946" w:rsidRPr="00AA159A" w:rsidRDefault="009A5946" w:rsidP="009B7D05">
      <w:pPr>
        <w:pStyle w:val="SAPHeading"/>
      </w:pPr>
      <w:r w:rsidRPr="00AA159A">
        <w:lastRenderedPageBreak/>
        <w:t>SC.</w:t>
      </w:r>
      <w:r w:rsidR="005F3BD7" w:rsidRPr="00AA159A">
        <w:t>5</w:t>
      </w:r>
      <w:r w:rsidRPr="00AA159A">
        <w:t xml:space="preserve"> – Safety case characteristics</w:t>
      </w:r>
    </w:p>
    <w:p w14:paraId="1E3CA1C6" w14:textId="4E5FC8C1" w:rsidR="009A5946" w:rsidRPr="00AA159A" w:rsidRDefault="007205C1" w:rsidP="006C4609">
      <w:pPr>
        <w:pStyle w:val="SAPBodyText"/>
      </w:pPr>
      <w:r w:rsidRPr="007205C1">
        <w:t>The safety case should be accurate, usable, complete, evidential, robust, integrated, balanced, forward-thinking and implementable</w:t>
      </w:r>
      <w:r w:rsidR="009A5946" w:rsidRPr="00AA159A">
        <w:t>.</w:t>
      </w:r>
    </w:p>
    <w:p w14:paraId="1716D884" w14:textId="4BA57213" w:rsidR="009A5946" w:rsidRPr="00CF791A" w:rsidRDefault="009A5946" w:rsidP="003861BC">
      <w:pPr>
        <w:pStyle w:val="Paragraph"/>
        <w:rPr>
          <w:color w:val="000000" w:themeColor="text1"/>
        </w:rPr>
      </w:pPr>
      <w:r w:rsidRPr="00CF791A">
        <w:t xml:space="preserve">The safety case should </w:t>
      </w:r>
      <w:r w:rsidR="00C33D29">
        <w:t>be</w:t>
      </w:r>
      <w:r w:rsidRPr="00CF791A">
        <w:rPr>
          <w:color w:val="000000" w:themeColor="text1"/>
        </w:rPr>
        <w:t>:</w:t>
      </w:r>
    </w:p>
    <w:p w14:paraId="3FB5D488" w14:textId="3D530233" w:rsidR="00EB5046" w:rsidRDefault="00EB5046" w:rsidP="00EB5046">
      <w:pPr>
        <w:pStyle w:val="NumList2"/>
        <w:ind w:left="714"/>
      </w:pPr>
      <w:r>
        <w:t>Accurate - accurately represents the plant, people and processes;</w:t>
      </w:r>
    </w:p>
    <w:p w14:paraId="3DA729D1" w14:textId="060E28D7" w:rsidR="00EB5046" w:rsidRDefault="00EB5046" w:rsidP="00EB5046">
      <w:pPr>
        <w:pStyle w:val="NumList2"/>
        <w:ind w:left="714"/>
      </w:pPr>
      <w:r>
        <w:t>Usable - accessible to and understandable by all of its users with a logical structure, clear language and available references;</w:t>
      </w:r>
    </w:p>
    <w:p w14:paraId="50FC0A8C" w14:textId="5F3DD1B1" w:rsidR="00EB5046" w:rsidRDefault="00EB5046" w:rsidP="00EB5046">
      <w:pPr>
        <w:pStyle w:val="NumList2"/>
        <w:ind w:left="714"/>
      </w:pPr>
      <w:r>
        <w:t>Complete - considers all activities, modes of operation, faults and hazards, safety functions, safety measures and legal requirements;</w:t>
      </w:r>
    </w:p>
    <w:p w14:paraId="702D6B9B" w14:textId="79D441BD" w:rsidR="00EB5046" w:rsidRDefault="00EB5046" w:rsidP="00EB5046">
      <w:pPr>
        <w:pStyle w:val="NumList2"/>
        <w:ind w:left="714"/>
      </w:pPr>
      <w:r>
        <w:t xml:space="preserve">Evidential - underpinned by verifiable evidence to support sound and </w:t>
      </w:r>
      <w:r w:rsidR="008372C4">
        <w:t>clearly articulated</w:t>
      </w:r>
      <w:r>
        <w:t xml:space="preserve"> arguments to support the safety claims;</w:t>
      </w:r>
    </w:p>
    <w:p w14:paraId="198615D8" w14:textId="0ABC1346" w:rsidR="00EB5046" w:rsidRDefault="00EB5046" w:rsidP="00EB5046">
      <w:pPr>
        <w:pStyle w:val="NumList2"/>
        <w:ind w:left="714"/>
      </w:pPr>
      <w:r>
        <w:t>Robust - uses a graded approach and applies sound safety principles and philosophies (such as defence-in-depth);</w:t>
      </w:r>
    </w:p>
    <w:p w14:paraId="4800AEC0" w14:textId="2A790274" w:rsidR="00EB5046" w:rsidRDefault="00EB5046" w:rsidP="00EB5046">
      <w:pPr>
        <w:pStyle w:val="NumList2"/>
        <w:ind w:left="714"/>
      </w:pPr>
      <w:r>
        <w:t>Integrated - includes interactions and dependencies with other facilities and services, and interfaces with the cases for other purposes;</w:t>
      </w:r>
    </w:p>
    <w:p w14:paraId="5D3CC6D4" w14:textId="2D1E0A26" w:rsidR="00EB5046" w:rsidRDefault="00EB5046" w:rsidP="00EB5046">
      <w:pPr>
        <w:pStyle w:val="NumList2"/>
        <w:ind w:left="714"/>
      </w:pPr>
      <w:r>
        <w:t>Balanced - recognises strengths, weaknesses, optimism, conservatism and uncertainty;</w:t>
      </w:r>
    </w:p>
    <w:p w14:paraId="7FA48D00" w14:textId="0281A579" w:rsidR="00EB5046" w:rsidRDefault="00EB5046" w:rsidP="00EB5046">
      <w:pPr>
        <w:pStyle w:val="NumList2"/>
        <w:ind w:left="714"/>
      </w:pPr>
      <w:r>
        <w:t>Forward-thinking - considers safe operation for the lifetime of the facility including radioactive waste management and future decommissioning;</w:t>
      </w:r>
    </w:p>
    <w:p w14:paraId="63218827" w14:textId="68F04DD4" w:rsidR="00EB5046" w:rsidRDefault="00EB5046" w:rsidP="00EB5046">
      <w:pPr>
        <w:pStyle w:val="NumList2"/>
        <w:ind w:left="714"/>
      </w:pPr>
      <w:r>
        <w:t>Implementable - identifies the things needed to implement the case and deliver the safety claims in practice.</w:t>
      </w:r>
    </w:p>
    <w:p w14:paraId="1B0C6B78" w14:textId="77777777" w:rsidR="009A5946" w:rsidRPr="00AA159A" w:rsidRDefault="009A5946" w:rsidP="009B7D05">
      <w:pPr>
        <w:pStyle w:val="SAPHeading"/>
      </w:pPr>
      <w:r w:rsidRPr="00AA159A">
        <w:t>SC.6 – Safety case content and implementation</w:t>
      </w:r>
    </w:p>
    <w:p w14:paraId="46839B7B" w14:textId="77777777" w:rsidR="009A5946" w:rsidRPr="00AA159A" w:rsidRDefault="009A5946" w:rsidP="006C4609">
      <w:pPr>
        <w:pStyle w:val="SAPBodyText"/>
      </w:pPr>
      <w:r w:rsidRPr="00AA159A">
        <w:t>The safety case should identify the important aspects of operation and management required for maintaining safety and how these will be implemented.</w:t>
      </w:r>
    </w:p>
    <w:p w14:paraId="41F0A310" w14:textId="0488D474" w:rsidR="009A5946" w:rsidRPr="00CF791A" w:rsidRDefault="009A5946" w:rsidP="003861BC">
      <w:pPr>
        <w:pStyle w:val="Paragraph"/>
      </w:pPr>
      <w:r w:rsidRPr="00CF791A">
        <w:t xml:space="preserve">The safety case should provide a suitable and sufficient risk assessment. </w:t>
      </w:r>
      <w:r w:rsidR="003657E4">
        <w:br/>
      </w:r>
      <w:r w:rsidRPr="00CF791A">
        <w:t xml:space="preserve">The structure of the safety case </w:t>
      </w:r>
      <w:r w:rsidR="00950F55" w:rsidRPr="00CF791A">
        <w:t xml:space="preserve">should be </w:t>
      </w:r>
      <w:r w:rsidRPr="00CF791A">
        <w:t>informed by the complexity of the operations. Safety cases typically adopt a hierarchical structure, with the overall safety claims presented in a header document, underpinned by arguments and evidence in lower tier documentation.</w:t>
      </w:r>
    </w:p>
    <w:p w14:paraId="47AC6D6F" w14:textId="77777777" w:rsidR="009A5946" w:rsidRPr="00CF791A" w:rsidRDefault="009A5946" w:rsidP="003861BC">
      <w:pPr>
        <w:pStyle w:val="Paragraph"/>
      </w:pPr>
      <w:r w:rsidRPr="00CF791A">
        <w:t>The safety case should explain how the requirements identified within it will be implemented. The following list highlights aspects of operation and management important for maintaining safety, but is not written to be exhaustive:</w:t>
      </w:r>
    </w:p>
    <w:p w14:paraId="3CEF263F" w14:textId="0E1695A9" w:rsidR="009A5946" w:rsidRPr="00AA159A" w:rsidRDefault="00957F98" w:rsidP="00134698">
      <w:pPr>
        <w:pStyle w:val="NumList2"/>
        <w:numPr>
          <w:ilvl w:val="1"/>
          <w:numId w:val="55"/>
        </w:numPr>
      </w:pPr>
      <w:r w:rsidRPr="00AA159A">
        <w:t>the</w:t>
      </w:r>
      <w:r w:rsidR="009A5946" w:rsidRPr="00AA159A">
        <w:t xml:space="preserve"> limits and conditions (operating rules) required to ensure that the facility is operated safely at all times;</w:t>
      </w:r>
    </w:p>
    <w:p w14:paraId="3D9B2072" w14:textId="77777777" w:rsidR="009A5946" w:rsidRPr="00AA159A" w:rsidRDefault="009A5946" w:rsidP="00134698">
      <w:pPr>
        <w:pStyle w:val="NumList2"/>
        <w:numPr>
          <w:ilvl w:val="1"/>
          <w:numId w:val="55"/>
        </w:numPr>
      </w:pPr>
      <w:r w:rsidRPr="00AA159A">
        <w:lastRenderedPageBreak/>
        <w:t>the procedures and instructions that need to be followed;</w:t>
      </w:r>
    </w:p>
    <w:p w14:paraId="03387BED" w14:textId="3ACF1277" w:rsidR="009A5946" w:rsidRPr="00AA159A" w:rsidRDefault="009A5946" w:rsidP="00134698">
      <w:pPr>
        <w:pStyle w:val="NumList2"/>
        <w:numPr>
          <w:ilvl w:val="1"/>
          <w:numId w:val="55"/>
        </w:numPr>
      </w:pPr>
      <w:r w:rsidRPr="00AA159A">
        <w:t>the required examination, maintenance</w:t>
      </w:r>
      <w:r w:rsidR="00A144EA" w:rsidRPr="00AA159A">
        <w:t>, inspection</w:t>
      </w:r>
      <w:r w:rsidRPr="00AA159A">
        <w:t xml:space="preserve"> and testing</w:t>
      </w:r>
      <w:r w:rsidR="00385267">
        <w:t xml:space="preserve"> (EMIT)</w:t>
      </w:r>
      <w:r w:rsidRPr="00AA159A">
        <w:t xml:space="preserve"> regimes justified in or assumed by the safety case; </w:t>
      </w:r>
    </w:p>
    <w:p w14:paraId="28F6E3A7" w14:textId="6EA13F62" w:rsidR="009A5946" w:rsidRPr="00AA159A" w:rsidRDefault="009A5946" w:rsidP="00134698">
      <w:pPr>
        <w:pStyle w:val="NumList2"/>
        <w:numPr>
          <w:ilvl w:val="1"/>
          <w:numId w:val="55"/>
        </w:numPr>
      </w:pPr>
      <w:r w:rsidRPr="00AA159A">
        <w:t>control, supervision, qualification and training</w:t>
      </w:r>
      <w:r w:rsidR="00575A49">
        <w:t>,</w:t>
      </w:r>
      <w:r w:rsidRPr="00AA159A">
        <w:t xml:space="preserve"> and other safety management requirements; and </w:t>
      </w:r>
    </w:p>
    <w:p w14:paraId="38D34181" w14:textId="41B3020B" w:rsidR="00957F98" w:rsidRPr="00AA159A" w:rsidRDefault="009A5946" w:rsidP="00134698">
      <w:pPr>
        <w:pStyle w:val="NumList2"/>
        <w:numPr>
          <w:ilvl w:val="1"/>
          <w:numId w:val="55"/>
        </w:numPr>
      </w:pPr>
      <w:r w:rsidRPr="00AA159A">
        <w:t>expectations for emergency planning.</w:t>
      </w:r>
    </w:p>
    <w:p w14:paraId="6DF8B765" w14:textId="3BB561E8" w:rsidR="00E243D0" w:rsidRPr="00AA159A" w:rsidRDefault="00E243D0" w:rsidP="009B7D05">
      <w:pPr>
        <w:pStyle w:val="SAPHeading"/>
      </w:pPr>
      <w:r w:rsidRPr="00AA159A">
        <w:t>SC.</w:t>
      </w:r>
      <w:r w:rsidR="005F3BD7" w:rsidRPr="00AA159A">
        <w:t>7</w:t>
      </w:r>
      <w:r w:rsidRPr="00AA159A">
        <w:t xml:space="preserve"> – Uncertainties and use of conservatisms</w:t>
      </w:r>
    </w:p>
    <w:p w14:paraId="79A08670" w14:textId="3D304F24" w:rsidR="00E243D0" w:rsidRPr="00AA159A" w:rsidRDefault="00801F7A" w:rsidP="006C4609">
      <w:pPr>
        <w:pStyle w:val="SAPBodyText"/>
      </w:pPr>
      <w:r w:rsidRPr="00AA159A">
        <w:t>The s</w:t>
      </w:r>
      <w:r w:rsidR="00E243D0" w:rsidRPr="00AA159A">
        <w:t>afety case should identify areas of uncertainty and apply appropriate conservatism to give the required level of confidence in the safety claims.</w:t>
      </w:r>
    </w:p>
    <w:p w14:paraId="1E52747F" w14:textId="2371BBE9" w:rsidR="00E243D0" w:rsidRPr="00CF791A" w:rsidRDefault="00E243D0" w:rsidP="00E243D0">
      <w:pPr>
        <w:pStyle w:val="Paragraph"/>
      </w:pPr>
      <w:r w:rsidRPr="00CF791A">
        <w:t>The safety case should present a balanced view of the level of knowledge and understanding, and of the resultant risks. Uncertainties or optimism in the design of a facility (for example</w:t>
      </w:r>
      <w:r w:rsidR="00EC0674" w:rsidRPr="00CF791A">
        <w:t>,</w:t>
      </w:r>
      <w:r w:rsidRPr="00CF791A">
        <w:t xml:space="preserve"> material properties, system performance, configuration) and in the basis of the safety case (for example</w:t>
      </w:r>
      <w:r w:rsidR="00594332" w:rsidRPr="00CF791A">
        <w:t>,</w:t>
      </w:r>
      <w:r w:rsidRPr="00CF791A">
        <w:t xml:space="preserve"> definition of hazards, use of analytical methods) should be offset by appropriate levels of conservatism. Where multiple conservatisms are applied, it </w:t>
      </w:r>
      <w:r w:rsidR="0039558F">
        <w:t>may</w:t>
      </w:r>
      <w:r w:rsidRPr="00CF791A">
        <w:t xml:space="preserve"> be appropriate to consider the aggregation of conservatism</w:t>
      </w:r>
      <w:r w:rsidR="003103AB" w:rsidRPr="00CF791A">
        <w:t>s</w:t>
      </w:r>
      <w:r w:rsidRPr="00CF791A">
        <w:t xml:space="preserve"> across different elements of the design, analysis, and so on, to ensure the overall level of conservatism applied remains appropriate.</w:t>
      </w:r>
    </w:p>
    <w:p w14:paraId="5C4BDEB6" w14:textId="36847E2D" w:rsidR="00E243D0" w:rsidRPr="00AA159A" w:rsidRDefault="00E243D0" w:rsidP="009B7D05">
      <w:pPr>
        <w:pStyle w:val="SAPHeading"/>
      </w:pPr>
      <w:r w:rsidRPr="00AA159A">
        <w:t>SC.</w:t>
      </w:r>
      <w:r w:rsidR="005F3BD7" w:rsidRPr="00AA159A">
        <w:t>8</w:t>
      </w:r>
      <w:r w:rsidRPr="00AA159A">
        <w:t xml:space="preserve"> – Safety case maintenance</w:t>
      </w:r>
    </w:p>
    <w:p w14:paraId="65ABDD42" w14:textId="6E3DF9AF" w:rsidR="00E243D0" w:rsidRPr="00AA159A" w:rsidRDefault="00801F7A" w:rsidP="006C4609">
      <w:pPr>
        <w:pStyle w:val="SAPBodyText"/>
      </w:pPr>
      <w:r w:rsidRPr="00AA159A">
        <w:t>The</w:t>
      </w:r>
      <w:r w:rsidR="00E243D0" w:rsidRPr="00AA159A">
        <w:t xml:space="preserve"> safety case should be actively maintained throughout the lifecycle of the facility and reviewed periodically.</w:t>
      </w:r>
    </w:p>
    <w:p w14:paraId="0D541175" w14:textId="67B8142B" w:rsidR="00E243D0" w:rsidRPr="00CF791A" w:rsidRDefault="00E243D0" w:rsidP="00E243D0">
      <w:pPr>
        <w:pStyle w:val="Paragraph"/>
      </w:pPr>
      <w:r w:rsidRPr="00CF791A">
        <w:t>The safety case should be kept up to date so that it reflects the operation and management of risks and continuously meets the needs of its users. The safety case needs to use up to date installation data, for example</w:t>
      </w:r>
      <w:r w:rsidR="006B56FA" w:rsidRPr="00CF791A">
        <w:t>:</w:t>
      </w:r>
      <w:r w:rsidRPr="00CF791A">
        <w:t xml:space="preserve"> from commissioning, operation, periodic inspection and testing, research or experience from other facilities. The safety case will also need to be updated to take account of changes at the </w:t>
      </w:r>
      <w:r w:rsidR="004507DF" w:rsidRPr="00CF791A">
        <w:t>installation</w:t>
      </w:r>
      <w:r w:rsidRPr="00CF791A">
        <w:t>, the site, and its surroundings, such as:</w:t>
      </w:r>
    </w:p>
    <w:p w14:paraId="6D2E7F3B" w14:textId="77777777" w:rsidR="00E243D0" w:rsidRPr="00AA159A" w:rsidRDefault="00E243D0" w:rsidP="00134698">
      <w:pPr>
        <w:pStyle w:val="NumList2"/>
        <w:numPr>
          <w:ilvl w:val="1"/>
          <w:numId w:val="14"/>
        </w:numPr>
      </w:pPr>
      <w:r w:rsidRPr="00AA159A">
        <w:t>changes arising from modifications or revised operating methods or processes;</w:t>
      </w:r>
    </w:p>
    <w:p w14:paraId="2BD3F072" w14:textId="77777777" w:rsidR="00E243D0" w:rsidRPr="00AA159A" w:rsidRDefault="00E243D0" w:rsidP="00134698">
      <w:pPr>
        <w:pStyle w:val="NumList2"/>
        <w:numPr>
          <w:ilvl w:val="1"/>
          <w:numId w:val="14"/>
        </w:numPr>
      </w:pPr>
      <w:r w:rsidRPr="00AA159A">
        <w:t xml:space="preserve">changes arising from incidents, operating experience, examination or testing results; </w:t>
      </w:r>
    </w:p>
    <w:p w14:paraId="7CBC228C" w14:textId="77777777" w:rsidR="00E243D0" w:rsidRPr="00AA159A" w:rsidRDefault="00E243D0" w:rsidP="00134698">
      <w:pPr>
        <w:pStyle w:val="NumList2"/>
        <w:numPr>
          <w:ilvl w:val="1"/>
          <w:numId w:val="14"/>
        </w:numPr>
      </w:pPr>
      <w:r w:rsidRPr="00AA159A">
        <w:t>changes from updated design or analysis methods, research findings or other new information;</w:t>
      </w:r>
    </w:p>
    <w:p w14:paraId="58864C98" w14:textId="77777777" w:rsidR="00E243D0" w:rsidRPr="00AA159A" w:rsidRDefault="00E243D0" w:rsidP="00134698">
      <w:pPr>
        <w:pStyle w:val="NumList2"/>
        <w:numPr>
          <w:ilvl w:val="1"/>
          <w:numId w:val="14"/>
        </w:numPr>
      </w:pPr>
      <w:r w:rsidRPr="00AA159A">
        <w:t>the outcome from periodic and interim safety reviews;</w:t>
      </w:r>
    </w:p>
    <w:p w14:paraId="33354740" w14:textId="4894EED2" w:rsidR="00E243D0" w:rsidRPr="00AA159A" w:rsidRDefault="00E243D0" w:rsidP="00134698">
      <w:pPr>
        <w:pStyle w:val="NumList2"/>
        <w:numPr>
          <w:ilvl w:val="1"/>
          <w:numId w:val="14"/>
        </w:numPr>
      </w:pPr>
      <w:r w:rsidRPr="00AA159A">
        <w:t xml:space="preserve">changes due to plant or facility ageing; </w:t>
      </w:r>
      <w:r w:rsidR="00611E05" w:rsidRPr="00AA159A">
        <w:t>or</w:t>
      </w:r>
    </w:p>
    <w:p w14:paraId="1DFB2889" w14:textId="77777777" w:rsidR="00E243D0" w:rsidRPr="00AA159A" w:rsidRDefault="00E243D0" w:rsidP="00134698">
      <w:pPr>
        <w:pStyle w:val="NumList2"/>
        <w:numPr>
          <w:ilvl w:val="1"/>
          <w:numId w:val="14"/>
        </w:numPr>
      </w:pPr>
      <w:r w:rsidRPr="00AA159A">
        <w:lastRenderedPageBreak/>
        <w:t>changes in the vicinity of the facility (for example from external hazards or siting aspects).</w:t>
      </w:r>
    </w:p>
    <w:p w14:paraId="474ED1C8" w14:textId="42FFAC11" w:rsidR="00E243D0" w:rsidRPr="00CF791A" w:rsidRDefault="00E243D0" w:rsidP="00E243D0">
      <w:pPr>
        <w:pStyle w:val="Paragraph"/>
      </w:pPr>
      <w:r w:rsidRPr="00CF791A">
        <w:t xml:space="preserve">LC15 requires the dutyholder to make and implement arrangements for periodic safety review (PSR) of safety cases. PSR is a comprehensive safety review of all important aspects of safety (for example plant, safety analysis, learning from experience, radioactive waste management, management arrangements, and culture) carried out at regular intervals. </w:t>
      </w:r>
      <w:r w:rsidR="001D2CF2" w:rsidRPr="00CF791A">
        <w:t>PSRs</w:t>
      </w:r>
      <w:r w:rsidRPr="00CF791A">
        <w:t xml:space="preserve"> should incorporate lessons learned from internal and external events, </w:t>
      </w:r>
      <w:r w:rsidR="00063E9F" w:rsidRPr="00CF791A">
        <w:t>interim</w:t>
      </w:r>
      <w:r w:rsidR="001D2CF2" w:rsidRPr="00CF791A">
        <w:t xml:space="preserve"> safety</w:t>
      </w:r>
      <w:r w:rsidR="0065542D" w:rsidRPr="00CF791A">
        <w:t xml:space="preserve"> reviews,</w:t>
      </w:r>
      <w:r w:rsidRPr="00CF791A">
        <w:t xml:space="preserve"> industry incidents, research, and technological developments. </w:t>
      </w:r>
    </w:p>
    <w:p w14:paraId="35D2C078" w14:textId="1BEA91EF" w:rsidR="00E243D0" w:rsidRPr="00CF791A" w:rsidRDefault="00E243D0" w:rsidP="00E243D0">
      <w:pPr>
        <w:pStyle w:val="Paragraph"/>
      </w:pPr>
      <w:r w:rsidRPr="00CF791A">
        <w:t>Periodic reappraisal of safety measures should demonstrate that they continue to meet their intended safety functions, particularly if their condition, or their rates of degradation are, or are projected to be, outside design assumptions. Original design assumptions should be considered, such as underlying analysis, material behaviour, and evolving hazards (for example</w:t>
      </w:r>
      <w:r w:rsidRPr="00CF791A" w:rsidDel="00944E10">
        <w:t xml:space="preserve"> </w:t>
      </w:r>
      <w:r w:rsidR="0050198F" w:rsidRPr="00CF791A">
        <w:t xml:space="preserve">the impact of </w:t>
      </w:r>
      <w:r w:rsidRPr="00CF791A">
        <w:t>climate change</w:t>
      </w:r>
      <w:r w:rsidR="0050198F" w:rsidRPr="00CF791A">
        <w:t xml:space="preserve"> on the magnitude of external hazard</w:t>
      </w:r>
      <w:r w:rsidR="00E65C4A" w:rsidRPr="00CF791A">
        <w:t>s</w:t>
      </w:r>
      <w:r w:rsidRPr="00CF791A">
        <w:t>). Reviews should evaluate whether adequate safety margins remain for continued and future operations.</w:t>
      </w:r>
    </w:p>
    <w:p w14:paraId="712E9B20" w14:textId="10ED4F46" w:rsidR="00E243D0" w:rsidRPr="00CF791A" w:rsidRDefault="00E243D0" w:rsidP="00E243D0">
      <w:pPr>
        <w:pStyle w:val="Paragraph"/>
      </w:pPr>
      <w:r w:rsidRPr="00CF791A">
        <w:t xml:space="preserve">Findings should inform current operations, asset management strategies, and guide decisions to support long-term safe </w:t>
      </w:r>
      <w:r w:rsidR="00352EF0" w:rsidRPr="00CF791A">
        <w:t>operations</w:t>
      </w:r>
      <w:r w:rsidRPr="00CF791A">
        <w:t xml:space="preserve">. </w:t>
      </w:r>
    </w:p>
    <w:p w14:paraId="1D6C5E59" w14:textId="77777777" w:rsidR="00E243D0" w:rsidRPr="00CF791A" w:rsidRDefault="00E243D0" w:rsidP="00E243D0">
      <w:pPr>
        <w:spacing w:after="0" w:line="240" w:lineRule="auto"/>
        <w:rPr>
          <w:color w:val="22413A"/>
          <w:sz w:val="48"/>
        </w:rPr>
      </w:pPr>
      <w:r w:rsidRPr="00CF791A">
        <w:br w:type="page"/>
      </w:r>
    </w:p>
    <w:p w14:paraId="616C2CE2" w14:textId="72E81959" w:rsidR="00E243D0" w:rsidRPr="00AA159A" w:rsidRDefault="00E243D0" w:rsidP="005364DE">
      <w:pPr>
        <w:pStyle w:val="Heading1"/>
      </w:pPr>
      <w:bookmarkStart w:id="118" w:name="_Toc219206141"/>
      <w:bookmarkStart w:id="119" w:name="_Toc219748168"/>
      <w:bookmarkStart w:id="120" w:name="_Toc235711318"/>
      <w:r w:rsidRPr="00AA159A">
        <w:lastRenderedPageBreak/>
        <w:t xml:space="preserve">Risk </w:t>
      </w:r>
      <w:r w:rsidR="006F4702" w:rsidRPr="00AA159A">
        <w:t>framework</w:t>
      </w:r>
      <w:bookmarkEnd w:id="118"/>
      <w:bookmarkEnd w:id="119"/>
      <w:bookmarkEnd w:id="120"/>
    </w:p>
    <w:p w14:paraId="56817BF7" w14:textId="04F4C3A0" w:rsidR="003439A2" w:rsidRPr="00CF791A" w:rsidRDefault="003439A2" w:rsidP="003439A2">
      <w:pPr>
        <w:pStyle w:val="Paragraph"/>
      </w:pPr>
      <w:r w:rsidRPr="00CF791A">
        <w:t xml:space="preserve">The structure of </w:t>
      </w:r>
      <w:r w:rsidR="00887271" w:rsidRPr="00CF791A">
        <w:t>ONR’s risk</w:t>
      </w:r>
      <w:r w:rsidRPr="00CF791A">
        <w:t xml:space="preserve"> framework is based on the Tolerability of Risk (TOR) Framework</w:t>
      </w:r>
      <w:r w:rsidR="00BE63AE" w:rsidRPr="00CF791A">
        <w:t xml:space="preserve"> </w:t>
      </w:r>
      <w:sdt>
        <w:sdtPr>
          <w:id w:val="488454547"/>
          <w:citation/>
        </w:sdtPr>
        <w:sdtEndPr/>
        <w:sdtContent>
          <w:r w:rsidR="00B73B37">
            <w:fldChar w:fldCharType="begin"/>
          </w:r>
          <w:r w:rsidR="00B73B37">
            <w:instrText xml:space="preserve"> CITATION HSE63 \l 2057 </w:instrText>
          </w:r>
          <w:r w:rsidR="00B73B37">
            <w:fldChar w:fldCharType="separate"/>
          </w:r>
          <w:r w:rsidR="00875BCE" w:rsidRPr="00875BCE">
            <w:rPr>
              <w:noProof/>
            </w:rPr>
            <w:t>[5]</w:t>
          </w:r>
          <w:r w:rsidR="00B73B37">
            <w:fldChar w:fldCharType="end"/>
          </w:r>
        </w:sdtContent>
      </w:sdt>
      <w:r w:rsidRPr="00CF791A">
        <w:t xml:space="preserve">, which was extended in </w:t>
      </w:r>
      <w:r w:rsidR="00465AC9" w:rsidRPr="00CF791A">
        <w:t xml:space="preserve">'Reducing risks, protecting people' (R2P2) </w:t>
      </w:r>
      <w:sdt>
        <w:sdtPr>
          <w:id w:val="1253237082"/>
          <w:citation/>
        </w:sdtPr>
        <w:sdtEndPr/>
        <w:sdtContent>
          <w:r w:rsidR="00B73B37">
            <w:fldChar w:fldCharType="begin"/>
          </w:r>
          <w:r w:rsidR="00B73B37">
            <w:instrText xml:space="preserve"> CITATION HSE013 \l 2057 </w:instrText>
          </w:r>
          <w:r w:rsidR="00B73B37">
            <w:fldChar w:fldCharType="separate"/>
          </w:r>
          <w:r w:rsidR="00875BCE" w:rsidRPr="00875BCE">
            <w:rPr>
              <w:noProof/>
            </w:rPr>
            <w:t>[6]</w:t>
          </w:r>
          <w:r w:rsidR="00B73B37">
            <w:fldChar w:fldCharType="end"/>
          </w:r>
        </w:sdtContent>
      </w:sdt>
      <w:r w:rsidRPr="00CF791A">
        <w:t xml:space="preserve">. The TOR framework established the concepts of ‘unacceptable risk’, ‘tolerable risk’ and a ‘broadly acceptable level of risk’ to workers and members of the public. </w:t>
      </w:r>
      <w:r w:rsidR="00B73B37">
        <w:br/>
      </w:r>
      <w:r w:rsidRPr="00CF791A">
        <w:t>R2P2 reported these regions to be:</w:t>
      </w:r>
    </w:p>
    <w:p w14:paraId="407D9FE7" w14:textId="77777777" w:rsidR="003439A2" w:rsidRPr="00A31B0A" w:rsidRDefault="003439A2" w:rsidP="00A31B0A">
      <w:pPr>
        <w:pStyle w:val="Bulletlist1"/>
      </w:pPr>
      <w:r w:rsidRPr="00A31B0A">
        <w:t>The boundary between the tolerable and unacceptable regions for risk entailing fatality:</w:t>
      </w:r>
    </w:p>
    <w:p w14:paraId="2E6C2D59" w14:textId="77777777" w:rsidR="003439A2" w:rsidRPr="00062057" w:rsidRDefault="003439A2" w:rsidP="00062057">
      <w:pPr>
        <w:pStyle w:val="Bulletlist2"/>
      </w:pPr>
      <w:r w:rsidRPr="00062057">
        <w:t>Worker: 1 in 1,000 per annum (pa) (or 1 x 10</w:t>
      </w:r>
      <w:r w:rsidRPr="00134698">
        <w:t>-3</w:t>
      </w:r>
      <w:r w:rsidRPr="00062057">
        <w:t xml:space="preserve"> pa)</w:t>
      </w:r>
    </w:p>
    <w:p w14:paraId="07146D4D" w14:textId="77777777" w:rsidR="003439A2" w:rsidRPr="00CF791A" w:rsidRDefault="003439A2" w:rsidP="00062057">
      <w:pPr>
        <w:pStyle w:val="Bulletlist2"/>
      </w:pPr>
      <w:r w:rsidRPr="00CF791A">
        <w:t>Member of the public: 1 in 10,000 pa (or 1 x 10</w:t>
      </w:r>
      <w:r w:rsidRPr="00CF791A">
        <w:rPr>
          <w:vertAlign w:val="superscript"/>
        </w:rPr>
        <w:t>-4</w:t>
      </w:r>
      <w:r w:rsidRPr="00CF791A">
        <w:t xml:space="preserve"> pa)</w:t>
      </w:r>
    </w:p>
    <w:p w14:paraId="35B1DEC4" w14:textId="77777777" w:rsidR="003439A2" w:rsidRPr="00CF791A" w:rsidRDefault="003439A2" w:rsidP="00A31B0A">
      <w:pPr>
        <w:pStyle w:val="Bulletlist1"/>
      </w:pPr>
      <w:r w:rsidRPr="00CF791A">
        <w:t>The boundary between the broadly acceptable and tolerable regions for risk entailing fatality:</w:t>
      </w:r>
    </w:p>
    <w:p w14:paraId="03BBDD19" w14:textId="77777777" w:rsidR="003439A2" w:rsidRPr="00CF791A" w:rsidRDefault="003439A2" w:rsidP="00062057">
      <w:pPr>
        <w:pStyle w:val="Bulletlist2"/>
      </w:pPr>
      <w:r w:rsidRPr="00CF791A">
        <w:t>Worker: 1 in 1,000,000 pa (or 1 x 10</w:t>
      </w:r>
      <w:r w:rsidRPr="00CF791A">
        <w:rPr>
          <w:vertAlign w:val="superscript"/>
        </w:rPr>
        <w:t>-6</w:t>
      </w:r>
      <w:r w:rsidRPr="00CF791A">
        <w:t xml:space="preserve"> pa)</w:t>
      </w:r>
    </w:p>
    <w:p w14:paraId="591DBE07" w14:textId="77777777" w:rsidR="003439A2" w:rsidRPr="00CF791A" w:rsidRDefault="003439A2" w:rsidP="00062057">
      <w:pPr>
        <w:pStyle w:val="Bulletlist2"/>
      </w:pPr>
      <w:r w:rsidRPr="00CF791A">
        <w:t>Member of the public: 1 in 1,000,000 pa (or 1 x 10</w:t>
      </w:r>
      <w:r w:rsidRPr="00CF791A">
        <w:rPr>
          <w:vertAlign w:val="superscript"/>
        </w:rPr>
        <w:t>-6</w:t>
      </w:r>
      <w:r w:rsidRPr="00CF791A">
        <w:t xml:space="preserve"> pa)</w:t>
      </w:r>
    </w:p>
    <w:p w14:paraId="65100A5A" w14:textId="33548E33" w:rsidR="003439A2" w:rsidRDefault="003439A2" w:rsidP="003439A2">
      <w:pPr>
        <w:pStyle w:val="Paragraph"/>
      </w:pPr>
      <w:r w:rsidRPr="00CF791A">
        <w:t xml:space="preserve">These values and concepts form the basis for the risk framework employed by ONR from all sources, not limited to radiation exposure. The tolerability of risk framework was based on actual industrial information; as such, to compare </w:t>
      </w:r>
      <w:r w:rsidR="003B6D56" w:rsidRPr="00CF791A">
        <w:t xml:space="preserve">directly </w:t>
      </w:r>
      <w:r w:rsidRPr="00CF791A">
        <w:t xml:space="preserve">with the risk values, quantification of risk should be done on a realistic or best estimate basis. </w:t>
      </w:r>
    </w:p>
    <w:p w14:paraId="3162C897" w14:textId="008D7F7F" w:rsidR="00E9774A" w:rsidRPr="00CF791A" w:rsidRDefault="00E9774A" w:rsidP="003439A2">
      <w:pPr>
        <w:pStyle w:val="Paragraph"/>
      </w:pPr>
      <w:r>
        <w:t xml:space="preserve">ONR has several </w:t>
      </w:r>
      <w:r w:rsidR="00007368">
        <w:t>‘</w:t>
      </w:r>
      <w:r>
        <w:t>risk indicators</w:t>
      </w:r>
      <w:r w:rsidR="00007368">
        <w:t>’</w:t>
      </w:r>
      <w:r>
        <w:t xml:space="preserve"> to judge whether the risks associated with an undertaking are in line with ONR’s risk framework. These indicators are given in terms of normal operational exposures (Risk Indicators 1-3) </w:t>
      </w:r>
      <w:r w:rsidR="007A50AA">
        <w:t>(refer to</w:t>
      </w:r>
      <w:r>
        <w:t xml:space="preserve"> radiological protection)</w:t>
      </w:r>
      <w:r w:rsidR="00B52898">
        <w:t>;</w:t>
      </w:r>
      <w:r>
        <w:t xml:space="preserve"> to inform the design basis of the installation (Risk Indicator 4) </w:t>
      </w:r>
      <w:r w:rsidR="007A50AA">
        <w:t>(refer to</w:t>
      </w:r>
      <w:r>
        <w:t xml:space="preserve"> design basis analysis)</w:t>
      </w:r>
      <w:r w:rsidR="00B52898">
        <w:t>;</w:t>
      </w:r>
      <w:r>
        <w:t xml:space="preserve"> and to judge the residual risks from faults and accidents </w:t>
      </w:r>
      <w:r w:rsidR="00FB418C">
        <w:br/>
      </w:r>
      <w:r>
        <w:t>(Risk Indicators 5-9).</w:t>
      </w:r>
    </w:p>
    <w:p w14:paraId="336A098B" w14:textId="2F65C12B" w:rsidR="003439A2" w:rsidRPr="00CF791A" w:rsidRDefault="003439A2" w:rsidP="003439A2">
      <w:pPr>
        <w:pStyle w:val="Paragraph"/>
      </w:pPr>
      <w:r w:rsidRPr="00CF791A">
        <w:t xml:space="preserve">The boundary between the tolerable and unacceptable regions within ONR’s framework is referred to as the basic safety level (BSL) and the boundary between the broadly acceptable and tolerable regions is referred to as the </w:t>
      </w:r>
      <w:r w:rsidR="006209B5" w:rsidRPr="00CF791A">
        <w:t>r</w:t>
      </w:r>
      <w:r w:rsidR="00F91B80" w:rsidRPr="00CF791A">
        <w:t xml:space="preserve">egulatory </w:t>
      </w:r>
      <w:r w:rsidR="006209B5" w:rsidRPr="00CF791A">
        <w:t xml:space="preserve">focus level </w:t>
      </w:r>
      <w:r w:rsidRPr="00CF791A">
        <w:t>(</w:t>
      </w:r>
      <w:r w:rsidR="006209B5" w:rsidRPr="00CF791A">
        <w:t>RF</w:t>
      </w:r>
      <w:r w:rsidR="00664C29" w:rsidRPr="00CF791A">
        <w:t>L</w:t>
      </w:r>
      <w:r w:rsidRPr="00CF791A">
        <w:t xml:space="preserve">). </w:t>
      </w:r>
    </w:p>
    <w:p w14:paraId="51C4B333" w14:textId="77777777" w:rsidR="008D0C9B" w:rsidRPr="000C5554" w:rsidRDefault="008D0C9B" w:rsidP="000C5554">
      <w:pPr>
        <w:pStyle w:val="Paragraph"/>
        <w:rPr>
          <w:b/>
          <w:bCs w:val="0"/>
        </w:rPr>
      </w:pPr>
      <w:r w:rsidRPr="000C5554">
        <w:rPr>
          <w:b/>
          <w:bCs w:val="0"/>
        </w:rPr>
        <w:t>Basic safety levels</w:t>
      </w:r>
    </w:p>
    <w:p w14:paraId="37E09ADE" w14:textId="2C091DF0" w:rsidR="0017143B" w:rsidRPr="00CF791A" w:rsidRDefault="0017143B" w:rsidP="008D0C9B">
      <w:pPr>
        <w:pStyle w:val="Paragraph"/>
      </w:pPr>
      <w:r w:rsidRPr="00CF791A">
        <w:t xml:space="preserve">It is ONR’s expectation that an installation should meet the BSLs. Although the fundamental legal requirement is to reduce risks ALARP, installations operating, or proposing to operate, above the BSLs represent what is an unacceptable level of risk and this will attract significant regulatory attention. </w:t>
      </w:r>
    </w:p>
    <w:p w14:paraId="77703AF1" w14:textId="7BF2357A" w:rsidR="008D0C9B" w:rsidRPr="00CF791A" w:rsidRDefault="008D0C9B" w:rsidP="008D0C9B">
      <w:pPr>
        <w:pStyle w:val="Paragraph"/>
      </w:pPr>
      <w:r w:rsidRPr="00CF791A">
        <w:t xml:space="preserve">Existing installations may have been designed and constructed to earlier safety standards or may have deteriorated over time. Safety cases for such installations may show that the installation exceeds one or more of the BSLs. ONR’s expectation </w:t>
      </w:r>
      <w:r w:rsidRPr="00CF791A">
        <w:lastRenderedPageBreak/>
        <w:t xml:space="preserve">is that </w:t>
      </w:r>
      <w:r w:rsidR="00D64AFC">
        <w:t xml:space="preserve">suitable </w:t>
      </w:r>
      <w:r w:rsidRPr="00CF791A">
        <w:t xml:space="preserve">argument should be </w:t>
      </w:r>
      <w:r w:rsidR="00D64AFC">
        <w:t>made</w:t>
      </w:r>
      <w:r w:rsidRPr="00CF791A">
        <w:t xml:space="preserve">, inspectors should focus significant attention on the question of </w:t>
      </w:r>
      <w:r w:rsidR="00506059" w:rsidRPr="00CF791A">
        <w:t>whether</w:t>
      </w:r>
      <w:r w:rsidRPr="00CF791A">
        <w:t xml:space="preserve"> further safety improvements are reasonably practicable. Continuing to operate while failing to meet a BSL should only be acceptable if the dutyholder can demonstrate that there are no reasonably practicable options to reduce risks further in the short term. Moreover, if operations are to continue, then inspectors should seek a clear longer-term plan to manage and reduce the risks within a period that is as short as is reasonably practicable. Otherwise, consideration should be given to regulatory intervention to shut down the facility or prohibit or curtail the activity. </w:t>
      </w:r>
    </w:p>
    <w:p w14:paraId="2792366D" w14:textId="5466E720" w:rsidR="008D0C9B" w:rsidRPr="000C5554" w:rsidRDefault="00F90AAD" w:rsidP="000C5554">
      <w:pPr>
        <w:pStyle w:val="Paragraph"/>
        <w:rPr>
          <w:b/>
          <w:bCs w:val="0"/>
        </w:rPr>
      </w:pPr>
      <w:r w:rsidRPr="000C5554">
        <w:rPr>
          <w:b/>
          <w:bCs w:val="0"/>
        </w:rPr>
        <w:t>Regulatory focus level</w:t>
      </w:r>
    </w:p>
    <w:p w14:paraId="2F3EBC5B" w14:textId="43D6A5FE" w:rsidR="008D0C9B" w:rsidRPr="00CF791A" w:rsidRDefault="000C3CD3" w:rsidP="008D0C9B">
      <w:pPr>
        <w:pStyle w:val="Paragraph"/>
      </w:pPr>
      <w:r w:rsidRPr="00CF791A">
        <w:t xml:space="preserve">The RFLs recognise that there is a level of risk below which further consideration of the safety case would not be a reasonable use of ONR’s resources. It is ONR’s policy not to target any regulatory focus at these low levels of risk, providing that the estimation of risk is credible. Inspectors should not target regulatory effort or seek further improvements below the RFL and should confine themselves to assessing the level of risk and the basis of the arguments put forward in the safety case. </w:t>
      </w:r>
      <w:r w:rsidR="00FB418C">
        <w:br/>
      </w:r>
      <w:r w:rsidRPr="00CF791A">
        <w:t>The RFLs are therefore guidance to inspectors in relation to regulatory focus and should not be viewed as targets or objectives.</w:t>
      </w:r>
    </w:p>
    <w:p w14:paraId="1757DEB5" w14:textId="62C8CF23" w:rsidR="003439A2" w:rsidRPr="00AA159A" w:rsidRDefault="00151CE2" w:rsidP="009B7D05">
      <w:pPr>
        <w:pStyle w:val="Heading2"/>
      </w:pPr>
      <w:r w:rsidRPr="00AA159A">
        <w:t xml:space="preserve">Application of </w:t>
      </w:r>
      <w:r w:rsidR="00D6149E" w:rsidRPr="00AA159A">
        <w:t>ONR</w:t>
      </w:r>
      <w:r w:rsidR="008E0429" w:rsidRPr="00AA159A">
        <w:t>’</w:t>
      </w:r>
      <w:r w:rsidR="001D076E" w:rsidRPr="00AA159A">
        <w:t>s</w:t>
      </w:r>
      <w:r w:rsidRPr="00AA159A">
        <w:t xml:space="preserve"> </w:t>
      </w:r>
      <w:r w:rsidR="006C4C12" w:rsidRPr="00AA159A">
        <w:t>r</w:t>
      </w:r>
      <w:r w:rsidR="008D0C9B" w:rsidRPr="00AA159A">
        <w:t xml:space="preserve">isk </w:t>
      </w:r>
      <w:r w:rsidR="006C4C12" w:rsidRPr="00AA159A">
        <w:t>f</w:t>
      </w:r>
      <w:r w:rsidR="008D0C9B" w:rsidRPr="00AA159A">
        <w:t>ramework</w:t>
      </w:r>
    </w:p>
    <w:p w14:paraId="767A3987" w14:textId="2BA6981F" w:rsidR="006F57B9" w:rsidRPr="00CF791A" w:rsidRDefault="006F57B9" w:rsidP="006F57B9">
      <w:pPr>
        <w:pStyle w:val="Paragraph"/>
      </w:pPr>
      <w:r w:rsidRPr="00CF791A">
        <w:t xml:space="preserve">This section describes the risk framework that inspectors should use as an aid to judgement when considering whether nuclear safety is being adequately controlled. The framework set out </w:t>
      </w:r>
      <w:r w:rsidR="00751EFF">
        <w:t>is</w:t>
      </w:r>
      <w:r w:rsidR="00751EFF" w:rsidRPr="00CF791A">
        <w:t xml:space="preserve"> </w:t>
      </w:r>
      <w:r w:rsidRPr="00CF791A">
        <w:t xml:space="preserve">for use by inspectors. </w:t>
      </w:r>
      <w:r w:rsidR="009904B8">
        <w:t>It quantifies</w:t>
      </w:r>
      <w:r w:rsidRPr="00CF791A">
        <w:t xml:space="preserve"> ONR’s approach to risk-informed regulation and have been set to assist when making regulatory decisions and targeting resources.</w:t>
      </w:r>
    </w:p>
    <w:p w14:paraId="0E02CEEB" w14:textId="4D21641E" w:rsidR="00E243D0" w:rsidRPr="00AA159A" w:rsidRDefault="006812AD" w:rsidP="009B7D05">
      <w:pPr>
        <w:pStyle w:val="SAPHeading"/>
      </w:pPr>
      <w:r w:rsidRPr="00AA159A">
        <w:t>RF</w:t>
      </w:r>
      <w:r w:rsidR="00E243D0" w:rsidRPr="00AA159A">
        <w:t>.1 – Assessment of risk</w:t>
      </w:r>
    </w:p>
    <w:p w14:paraId="1CC8C7AB" w14:textId="52A73A92" w:rsidR="00E243D0" w:rsidRPr="00AA159A" w:rsidRDefault="00D35422" w:rsidP="006C4609">
      <w:pPr>
        <w:pStyle w:val="SAPBodyText"/>
        <w:rPr>
          <w:rFonts w:ascii="Arial" w:eastAsia="Calibri" w:hAnsi="Arial" w:cs="Arial"/>
          <w:szCs w:val="22"/>
          <w:lang w:bidi="he-IL"/>
        </w:rPr>
      </w:pPr>
      <w:r w:rsidRPr="00AA159A">
        <w:rPr>
          <w:rStyle w:val="SAPBodyTextChar"/>
        </w:rPr>
        <w:t>The dutyholder should have sufficient evidence and analysis to understand the risk</w:t>
      </w:r>
      <w:r w:rsidR="001D076E" w:rsidRPr="00AA159A">
        <w:rPr>
          <w:rStyle w:val="SAPBodyTextChar"/>
        </w:rPr>
        <w:t>s</w:t>
      </w:r>
      <w:r w:rsidRPr="00AA159A">
        <w:rPr>
          <w:rStyle w:val="SAPBodyTextChar"/>
        </w:rPr>
        <w:t xml:space="preserve"> from its undertaking </w:t>
      </w:r>
      <w:r w:rsidR="00BF77AC">
        <w:rPr>
          <w:rStyle w:val="SAPBodyTextChar"/>
        </w:rPr>
        <w:t xml:space="preserve">and </w:t>
      </w:r>
      <w:r w:rsidRPr="00AA159A">
        <w:rPr>
          <w:rStyle w:val="SAPBodyTextChar"/>
        </w:rPr>
        <w:t xml:space="preserve">to enable a comparison against </w:t>
      </w:r>
      <w:r w:rsidR="00FA24B0">
        <w:rPr>
          <w:rStyle w:val="SAPBodyTextChar"/>
        </w:rPr>
        <w:t>suitable metrics</w:t>
      </w:r>
      <w:r w:rsidR="00E243D0" w:rsidRPr="00AA159A">
        <w:rPr>
          <w:rStyle w:val="SAPBodyTextChar"/>
        </w:rPr>
        <w:t>.</w:t>
      </w:r>
    </w:p>
    <w:p w14:paraId="07BE0A4B" w14:textId="26980A50" w:rsidR="00E243D0" w:rsidRPr="00CF791A" w:rsidRDefault="00E243D0" w:rsidP="00C014D3">
      <w:pPr>
        <w:pStyle w:val="Paragraph"/>
      </w:pPr>
      <w:r w:rsidRPr="00CF791A">
        <w:t xml:space="preserve">Dutyholders should have their own risk metrics and criteria in place to aid their decision making and managing of their operations. These may align with </w:t>
      </w:r>
      <w:r w:rsidR="00AA514F" w:rsidRPr="00CF791A">
        <w:t>ONR</w:t>
      </w:r>
      <w:r w:rsidR="00373667" w:rsidRPr="00CF791A">
        <w:t>’</w:t>
      </w:r>
      <w:r w:rsidR="00AA514F" w:rsidRPr="00CF791A">
        <w:t>s</w:t>
      </w:r>
      <w:r w:rsidR="004E3865" w:rsidRPr="00CF791A">
        <w:t xml:space="preserve"> </w:t>
      </w:r>
      <w:r w:rsidRPr="00CF791A">
        <w:t xml:space="preserve">risk </w:t>
      </w:r>
      <w:r w:rsidR="00D615E0" w:rsidRPr="00CF791A">
        <w:t>framework</w:t>
      </w:r>
      <w:r w:rsidRPr="00CF791A">
        <w:t>, however this is not mandatory</w:t>
      </w:r>
      <w:r w:rsidR="00F260EA" w:rsidRPr="00CF791A">
        <w:t>,</w:t>
      </w:r>
      <w:r w:rsidRPr="00CF791A">
        <w:t xml:space="preserve"> it is the responsibility of the dutyholder to define the most suitable metrics and criteria for their operations.</w:t>
      </w:r>
      <w:r w:rsidR="00152C60" w:rsidRPr="00CF791A">
        <w:t xml:space="preserve"> </w:t>
      </w:r>
      <w:r w:rsidRPr="00CF791A">
        <w:t xml:space="preserve">Dutyholders may </w:t>
      </w:r>
      <w:r w:rsidR="00C014D3" w:rsidRPr="00CF791A">
        <w:t xml:space="preserve">also </w:t>
      </w:r>
      <w:r w:rsidRPr="00CF791A">
        <w:t xml:space="preserve">use other risk </w:t>
      </w:r>
      <w:r w:rsidR="00C014D3" w:rsidRPr="00CF791A">
        <w:t xml:space="preserve">measures </w:t>
      </w:r>
      <w:r w:rsidRPr="00CF791A">
        <w:t xml:space="preserve">for some potential accident sequences; for example, many countries have a </w:t>
      </w:r>
      <w:r w:rsidR="003F61D3" w:rsidRPr="00CF791A">
        <w:t xml:space="preserve">metric </w:t>
      </w:r>
      <w:r w:rsidRPr="00CF791A">
        <w:t xml:space="preserve">for reactors based on core damage scenarios. </w:t>
      </w:r>
      <w:r w:rsidR="00C72BB3" w:rsidRPr="00CF791A">
        <w:t xml:space="preserve">Dutyholder’s risk </w:t>
      </w:r>
      <w:r w:rsidR="007D015B" w:rsidRPr="00CF791A">
        <w:t>metric</w:t>
      </w:r>
      <w:r w:rsidR="00FA24B0">
        <w:t>s</w:t>
      </w:r>
      <w:r w:rsidR="007D015B" w:rsidRPr="00CF791A">
        <w:t xml:space="preserve"> </w:t>
      </w:r>
      <w:r w:rsidRPr="00CF791A">
        <w:t xml:space="preserve">should be </w:t>
      </w:r>
      <w:r w:rsidR="005B1756" w:rsidRPr="00CF791A">
        <w:t>considered</w:t>
      </w:r>
      <w:r w:rsidRPr="00CF791A">
        <w:t xml:space="preserve"> by inspectors</w:t>
      </w:r>
      <w:r w:rsidR="00546A8C">
        <w:t xml:space="preserve"> to avoid the need for additional analysis</w:t>
      </w:r>
      <w:r w:rsidR="00B55CB1">
        <w:t xml:space="preserve"> where possible</w:t>
      </w:r>
      <w:r w:rsidRPr="00CF791A">
        <w:t>.</w:t>
      </w:r>
    </w:p>
    <w:p w14:paraId="65D3E804" w14:textId="601E7BC7" w:rsidR="002438CE" w:rsidRPr="00CF791A" w:rsidRDefault="002438CE" w:rsidP="002438CE">
      <w:pPr>
        <w:pStyle w:val="Paragraph"/>
      </w:pPr>
      <w:r w:rsidRPr="00CF791A">
        <w:t xml:space="preserve">Inspectors should not always expect or require a detailed calculation to be provided in the safety case. However, there should be sufficient information to enable an inspector to form a view against the risk </w:t>
      </w:r>
      <w:r>
        <w:t>metrics</w:t>
      </w:r>
      <w:r w:rsidRPr="00CF791A">
        <w:t xml:space="preserve"> as part of their assessment.</w:t>
      </w:r>
    </w:p>
    <w:p w14:paraId="209D9D84" w14:textId="47EDC699" w:rsidR="00E243D0" w:rsidRPr="00CF791A" w:rsidRDefault="00933930" w:rsidP="00E243D0">
      <w:pPr>
        <w:pStyle w:val="Paragraph"/>
      </w:pPr>
      <w:r>
        <w:t>ONR’s</w:t>
      </w:r>
      <w:r w:rsidR="00F62303">
        <w:t xml:space="preserve"> risk</w:t>
      </w:r>
      <w:r w:rsidRPr="00CF791A">
        <w:t xml:space="preserve"> </w:t>
      </w:r>
      <w:r w:rsidR="00E243D0" w:rsidRPr="00CF791A">
        <w:t xml:space="preserve">framework does not in itself provide inspectors with a basis for recommending particular actions, as it has no legal status. The framework exists to </w:t>
      </w:r>
      <w:r w:rsidR="00E243D0" w:rsidRPr="00CF791A">
        <w:lastRenderedPageBreak/>
        <w:t>identify where (and where not) to focus regulatory attention and where consideration should be given to enforcement.</w:t>
      </w:r>
    </w:p>
    <w:p w14:paraId="161B9793" w14:textId="77777777" w:rsidR="00CF702C" w:rsidRPr="00AA159A" w:rsidRDefault="00CF702C" w:rsidP="009B7D05">
      <w:pPr>
        <w:pStyle w:val="SAPHeading"/>
      </w:pPr>
      <w:r w:rsidRPr="00AA159A">
        <w:t>RF.2 – Time at risk</w:t>
      </w:r>
    </w:p>
    <w:p w14:paraId="3B92A683" w14:textId="77777777" w:rsidR="00CF702C" w:rsidRPr="00AA159A" w:rsidRDefault="00CF702C" w:rsidP="006C4609">
      <w:pPr>
        <w:pStyle w:val="SAPBodyText"/>
      </w:pPr>
      <w:r w:rsidRPr="00AA159A">
        <w:t>Periods of heightened risk should be explicitly assessed and justified to ensure that risks are appropriately controlled, and suitable measures are in place.</w:t>
      </w:r>
    </w:p>
    <w:p w14:paraId="040ACDB4" w14:textId="4F527545" w:rsidR="00CF702C" w:rsidRPr="00CF791A" w:rsidRDefault="00CF702C" w:rsidP="00CF702C">
      <w:pPr>
        <w:pStyle w:val="Paragraph"/>
      </w:pPr>
      <w:r w:rsidRPr="00CF791A">
        <w:t xml:space="preserve">Periods of heightened risk are sometimes unavoidable or even necessary. They are acceptable providing they are properly assessed and justified by the dutyholder. </w:t>
      </w:r>
      <w:r w:rsidR="00FB418C">
        <w:br/>
      </w:r>
      <w:r w:rsidRPr="00CF791A">
        <w:t>This can include periods where if the risks were annualised</w:t>
      </w:r>
      <w:r w:rsidR="00E11F55" w:rsidRPr="00CF791A">
        <w:t>,</w:t>
      </w:r>
      <w:r w:rsidRPr="00CF791A">
        <w:t xml:space="preserve"> they could exceed annualised risk </w:t>
      </w:r>
      <w:r w:rsidR="00E55EE7" w:rsidRPr="00CF791A">
        <w:t>levels</w:t>
      </w:r>
      <w:r w:rsidRPr="00CF791A">
        <w:t xml:space="preserve"> for a limited period. </w:t>
      </w:r>
    </w:p>
    <w:p w14:paraId="2D822B43" w14:textId="6170CF2F" w:rsidR="00CF702C" w:rsidRPr="00CF791A" w:rsidRDefault="00CF702C" w:rsidP="00CF702C">
      <w:pPr>
        <w:pStyle w:val="Paragraph"/>
      </w:pPr>
      <w:r w:rsidRPr="00CF791A">
        <w:t>Routine operational activities (for example</w:t>
      </w:r>
      <w:r w:rsidR="00BF255B" w:rsidRPr="00CF791A">
        <w:t>,</w:t>
      </w:r>
      <w:r w:rsidRPr="00CF791A">
        <w:t xml:space="preserve"> </w:t>
      </w:r>
      <w:r w:rsidR="00FC558E" w:rsidRPr="00CF791A">
        <w:t>starting up</w:t>
      </w:r>
      <w:r w:rsidRPr="00CF791A">
        <w:t xml:space="preserve"> or shutting down a process or undertaking maintenance) will lead to variation in the level of risk. They should be understood and the safety case should demonstrate that adequate safety measures are in place. These routine and anticipated variations are not the focus of this section.</w:t>
      </w:r>
    </w:p>
    <w:p w14:paraId="75C27E01" w14:textId="330B5EDF" w:rsidR="00CF702C" w:rsidRPr="00CF791A" w:rsidRDefault="00CF702C" w:rsidP="00CF702C">
      <w:pPr>
        <w:pStyle w:val="Paragraph"/>
      </w:pPr>
      <w:r w:rsidRPr="00CF791A">
        <w:t xml:space="preserve">There are, however, situations that are not part of routine operation that can require a significantly increased </w:t>
      </w:r>
      <w:r w:rsidR="006832E1" w:rsidRPr="00CF791A">
        <w:t xml:space="preserve">period of </w:t>
      </w:r>
      <w:r w:rsidRPr="00CF791A">
        <w:t>risk. Situations where heightened periods of risk might occur, include:</w:t>
      </w:r>
    </w:p>
    <w:p w14:paraId="2DD0BF74" w14:textId="77777777" w:rsidR="005016E0" w:rsidRDefault="00CF702C" w:rsidP="00134698">
      <w:pPr>
        <w:pStyle w:val="NumList2"/>
        <w:numPr>
          <w:ilvl w:val="1"/>
          <w:numId w:val="15"/>
        </w:numPr>
      </w:pPr>
      <w:r w:rsidRPr="00AA159A">
        <w:t>non-routine operational challenges: where a short-term increased risk is needed to resolve an issue to enable a return to normal safe operation (for example, novel or challenging activities or plant modifications needed to investigate or rectify an emergent issue);</w:t>
      </w:r>
    </w:p>
    <w:p w14:paraId="27729EE1" w14:textId="2CECC4CF" w:rsidR="005016E0" w:rsidRDefault="00CF702C" w:rsidP="00134698">
      <w:pPr>
        <w:pStyle w:val="NumList2"/>
        <w:numPr>
          <w:ilvl w:val="1"/>
          <w:numId w:val="15"/>
        </w:numPr>
      </w:pPr>
      <w:r w:rsidRPr="00AA159A">
        <w:t xml:space="preserve">residual facility life: where an ageing facility may now have eroded safety margins (for example, due to ageing or degradation, or where its design has fallen behind modern standards); or </w:t>
      </w:r>
    </w:p>
    <w:p w14:paraId="0210B880" w14:textId="77777777" w:rsidR="005016E0" w:rsidRDefault="00CF702C" w:rsidP="00134698">
      <w:pPr>
        <w:pStyle w:val="NumList2"/>
        <w:numPr>
          <w:ilvl w:val="1"/>
          <w:numId w:val="15"/>
        </w:numPr>
      </w:pPr>
      <w:r w:rsidRPr="00AA159A">
        <w:t>end of life legacy: where post-operational activities or decommissioning of a facility lead to increased risk (for example, breaking</w:t>
      </w:r>
      <w:r w:rsidR="00DD25FC" w:rsidRPr="00AA159A">
        <w:t xml:space="preserve"> </w:t>
      </w:r>
      <w:r w:rsidRPr="00AA159A">
        <w:t xml:space="preserve">into containment). </w:t>
      </w:r>
    </w:p>
    <w:p w14:paraId="6883BABD" w14:textId="53C228F1" w:rsidR="00101594" w:rsidRDefault="00CF702C" w:rsidP="005016E0">
      <w:pPr>
        <w:pStyle w:val="Paragraph"/>
      </w:pPr>
      <w:r w:rsidRPr="00CF791A">
        <w:t>Fundamentally, the dutyholder must continue to ensure that risks are ALARP. Its assessment should consider the magnitude of the heightened risk, its duration, the balance of risk between different groups (for example</w:t>
      </w:r>
      <w:r w:rsidR="00DD25FC" w:rsidRPr="00CF791A">
        <w:t>,</w:t>
      </w:r>
      <w:r w:rsidRPr="00CF791A">
        <w:t xml:space="preserve"> workers and the public) and the balance of short-term versus long-term risk.</w:t>
      </w:r>
      <w:r w:rsidR="009C196F">
        <w:t xml:space="preserve"> </w:t>
      </w:r>
      <w:r w:rsidRPr="00CF791A">
        <w:t>When assessing dutyholder’s justification, the inspector should consider the following:</w:t>
      </w:r>
    </w:p>
    <w:p w14:paraId="2CDEB85A" w14:textId="2BB8B851" w:rsidR="00CF702C" w:rsidRPr="00AA159A" w:rsidRDefault="00E16B07" w:rsidP="00134698">
      <w:pPr>
        <w:pStyle w:val="NumList2"/>
        <w:numPr>
          <w:ilvl w:val="1"/>
          <w:numId w:val="16"/>
        </w:numPr>
      </w:pPr>
      <w:r>
        <w:t>t</w:t>
      </w:r>
      <w:r w:rsidR="00CF702C" w:rsidRPr="00AA159A">
        <w:t xml:space="preserve">he dutyholder should demonstrate that suitable control measures are in place for the activity. This should include consideration of means to reverse the situation or otherwise recover control </w:t>
      </w:r>
      <w:r w:rsidR="009E72BE" w:rsidRPr="00AA159A">
        <w:t>if</w:t>
      </w:r>
      <w:r w:rsidR="00CF702C" w:rsidRPr="00AA159A">
        <w:t xml:space="preserve"> a significant deviation from the basis of safety occurs. The demonstration should also consider reasonably practicable contingency measure</w:t>
      </w:r>
      <w:r w:rsidR="009E72BE" w:rsidRPr="00AA159A">
        <w:t>s</w:t>
      </w:r>
      <w:r w:rsidR="00CF702C" w:rsidRPr="00AA159A">
        <w:t xml:space="preserve"> such as temporarily enhanced emergency arrangements.</w:t>
      </w:r>
    </w:p>
    <w:p w14:paraId="79D61326" w14:textId="51DE4811" w:rsidR="00CF702C" w:rsidRPr="00AA159A" w:rsidRDefault="00CF702C" w:rsidP="00134698">
      <w:pPr>
        <w:pStyle w:val="NumList2"/>
        <w:numPr>
          <w:ilvl w:val="1"/>
          <w:numId w:val="16"/>
        </w:numPr>
      </w:pPr>
      <w:r w:rsidRPr="00AA159A">
        <w:lastRenderedPageBreak/>
        <w:t xml:space="preserve">Appropriate means should be in place (such as enhanced plant surveillance) to monitor the facility state and ensure that the safety case assumptions remain valid. This may include risk monitors (such as 'live' </w:t>
      </w:r>
      <w:r w:rsidR="00E63FA3" w:rsidRPr="00AA159A">
        <w:t xml:space="preserve">probabilistic safety analysis </w:t>
      </w:r>
      <w:r w:rsidR="007406FA" w:rsidRPr="00AA159A">
        <w:t>(</w:t>
      </w:r>
      <w:r w:rsidRPr="00AA159A">
        <w:t>PSA</w:t>
      </w:r>
      <w:r w:rsidR="007406FA" w:rsidRPr="00AA159A">
        <w:t xml:space="preserve">) </w:t>
      </w:r>
      <w:r w:rsidRPr="00AA159A">
        <w:t>based models or other tools to estimate moment-to-moment risk as a function of the actual plant state) to ensure awareness of the current level of risk and the contributors to it.</w:t>
      </w:r>
    </w:p>
    <w:p w14:paraId="24A99E8E" w14:textId="577FA325" w:rsidR="00CF702C" w:rsidRPr="00AA159A" w:rsidRDefault="00CF702C" w:rsidP="00134698">
      <w:pPr>
        <w:pStyle w:val="NumList2"/>
        <w:numPr>
          <w:ilvl w:val="1"/>
          <w:numId w:val="16"/>
        </w:numPr>
      </w:pPr>
      <w:r w:rsidRPr="00AA159A">
        <w:t>The short duration of an increased risk should not be used as the sole argument within the justification. Where specific arguments are made on limited duration (for example</w:t>
      </w:r>
      <w:r w:rsidR="00EB2C2D" w:rsidRPr="00AA159A">
        <w:t>,</w:t>
      </w:r>
      <w:r w:rsidRPr="00AA159A">
        <w:t xml:space="preserve"> by a definitive shutdown date) then such an argument may form part of a broader, balanced justification. In such cases, inspectors should be cautious of situations whereby the dutyholder repeatedly extends the period due to a failure to complete the necessary work to return the risk to a normal level. </w:t>
      </w:r>
    </w:p>
    <w:p w14:paraId="13964895" w14:textId="11FA7ADD" w:rsidR="003479D4" w:rsidRPr="00AA159A" w:rsidRDefault="00CF702C" w:rsidP="00134698">
      <w:pPr>
        <w:pStyle w:val="NumList2"/>
        <w:numPr>
          <w:ilvl w:val="1"/>
          <w:numId w:val="16"/>
        </w:numPr>
      </w:pPr>
      <w:r w:rsidRPr="00AA159A">
        <w:t>The justification should not rely solely on numerical risk estimates or on averaging risk over a longer period. Similarly, the safety case should not focus on curtailing or extend</w:t>
      </w:r>
      <w:r w:rsidR="00CF791A" w:rsidRPr="00AA159A">
        <w:t>ing</w:t>
      </w:r>
      <w:r w:rsidRPr="00AA159A">
        <w:t xml:space="preserve"> the frequency of a</w:t>
      </w:r>
      <w:r w:rsidR="00CF791A" w:rsidRPr="00AA159A">
        <w:t>n</w:t>
      </w:r>
      <w:r w:rsidRPr="00AA159A">
        <w:t xml:space="preserve"> activity simply </w:t>
      </w:r>
      <w:r w:rsidR="00CF791A" w:rsidRPr="00AA159A">
        <w:t>to</w:t>
      </w:r>
      <w:r w:rsidRPr="00AA159A">
        <w:t xml:space="preserve"> reduce the resulting annualised risk.</w:t>
      </w:r>
    </w:p>
    <w:p w14:paraId="08FD4473" w14:textId="0E66AA0C" w:rsidR="00E243D0" w:rsidRPr="00AA159A" w:rsidRDefault="00E243D0" w:rsidP="009B7D05">
      <w:pPr>
        <w:pStyle w:val="Heading2"/>
      </w:pPr>
      <w:r w:rsidRPr="00AA159A">
        <w:t xml:space="preserve">Risk </w:t>
      </w:r>
      <w:r w:rsidR="004821CA" w:rsidRPr="00AA159A">
        <w:t>i</w:t>
      </w:r>
      <w:r w:rsidR="00053BF9" w:rsidRPr="00AA159A">
        <w:t>ndicators</w:t>
      </w:r>
      <w:r w:rsidR="00351939" w:rsidRPr="00AA159A">
        <w:t xml:space="preserve"> </w:t>
      </w:r>
      <w:r w:rsidRPr="00AA159A">
        <w:t>for faults and accidents</w:t>
      </w:r>
    </w:p>
    <w:p w14:paraId="7737B622" w14:textId="561B1253" w:rsidR="00E243D0" w:rsidRPr="00CF791A" w:rsidRDefault="00E243D0" w:rsidP="00E243D0">
      <w:pPr>
        <w:pStyle w:val="Paragraph"/>
      </w:pPr>
      <w:r w:rsidRPr="00CF791A">
        <w:t xml:space="preserve">The </w:t>
      </w:r>
      <w:r w:rsidR="00CA3F06" w:rsidRPr="00CF791A">
        <w:t xml:space="preserve">risk </w:t>
      </w:r>
      <w:r w:rsidR="005251C2" w:rsidRPr="00CF791A">
        <w:t>framework</w:t>
      </w:r>
      <w:r w:rsidRPr="00CF791A">
        <w:t xml:space="preserve"> in this section </w:t>
      </w:r>
      <w:r w:rsidR="00AF4DFD" w:rsidRPr="00CF791A">
        <w:t>has</w:t>
      </w:r>
      <w:r w:rsidRPr="00CF791A">
        <w:t xml:space="preserve"> been selected to assist when judging the adequacy of a design or safety case using the results of the dutyholder’s analysis. Best estimate methods should be used to calculate frequencies and for the predicted radiation dose to exposed persons. Where this is not practicable, reasonably conservative assumptions can be made. The effects of any mitigating </w:t>
      </w:r>
      <w:r w:rsidR="00CF7BB3" w:rsidRPr="00CF791A">
        <w:t xml:space="preserve">measures to reduce dose </w:t>
      </w:r>
      <w:r w:rsidRPr="00CF791A">
        <w:t xml:space="preserve">may also be </w:t>
      </w:r>
      <w:r w:rsidR="004A26C8" w:rsidRPr="00CF791A">
        <w:t>considered</w:t>
      </w:r>
      <w:r w:rsidRPr="00CF791A">
        <w:t xml:space="preserve"> if a satisfactory case has been made. </w:t>
      </w:r>
    </w:p>
    <w:p w14:paraId="2F5325B2" w14:textId="77777777" w:rsidR="00E243D0" w:rsidRPr="00CF791A" w:rsidRDefault="00E243D0" w:rsidP="00E243D0">
      <w:pPr>
        <w:pStyle w:val="Paragraph"/>
      </w:pPr>
      <w:r w:rsidRPr="00CF791A">
        <w:t xml:space="preserve">Estimation of individual risk on site often requires assumptions regarding occupancy, shift-working and so on. It is important therefore that any assumptions are properly reflected in formal control measures and are clearly set out in the analysis so that the calculated risks take proper account of their potential failure. </w:t>
      </w:r>
    </w:p>
    <w:p w14:paraId="23D9F482" w14:textId="4AD2541F" w:rsidR="00E243D0" w:rsidRPr="00CF791A" w:rsidRDefault="00E243D0" w:rsidP="00E243D0">
      <w:pPr>
        <w:pStyle w:val="Paragraph"/>
      </w:pPr>
      <w:r w:rsidRPr="00CF791A">
        <w:t xml:space="preserve">To estimate the individual risk to a person outside the site, it is necessary to take account of a wide range of parameters, such as the probability that a hypothetical person will receive a particular </w:t>
      </w:r>
      <w:r w:rsidR="001F543C" w:rsidRPr="00CF791A">
        <w:t xml:space="preserve">radiation </w:t>
      </w:r>
      <w:r w:rsidRPr="00CF791A">
        <w:t xml:space="preserve">dose given that the accident has occurred, allowing for wind and weather conditions, and the </w:t>
      </w:r>
      <w:r w:rsidR="005A4A08" w:rsidRPr="00CF791A">
        <w:t xml:space="preserve">potential </w:t>
      </w:r>
      <w:r w:rsidRPr="00CF791A">
        <w:t xml:space="preserve">effect of </w:t>
      </w:r>
      <w:r w:rsidR="00955704" w:rsidRPr="00CF791A">
        <w:t>long</w:t>
      </w:r>
      <w:r w:rsidR="00614179" w:rsidRPr="00CF791A">
        <w:t>er</w:t>
      </w:r>
      <w:r w:rsidR="00955704" w:rsidRPr="00CF791A">
        <w:t>-term</w:t>
      </w:r>
      <w:r w:rsidR="00BE3038" w:rsidRPr="00CF791A">
        <w:t xml:space="preserve"> </w:t>
      </w:r>
      <w:r w:rsidR="00BC2866" w:rsidRPr="00CF791A">
        <w:t>protecti</w:t>
      </w:r>
      <w:r w:rsidR="007B43FA" w:rsidRPr="00CF791A">
        <w:t>ve</w:t>
      </w:r>
      <w:r w:rsidR="00BC2866" w:rsidRPr="00CF791A">
        <w:t xml:space="preserve"> </w:t>
      </w:r>
      <w:r w:rsidR="00443A73" w:rsidRPr="00CF791A">
        <w:t>actions</w:t>
      </w:r>
      <w:r w:rsidRPr="00CF791A">
        <w:t xml:space="preserve">. The location assumed for the hypothetical person will also be a critical feature of the analysis. Weather conditions should be based on meteorological data appropriate to the site. Population data should be based on current demography, </w:t>
      </w:r>
      <w:r w:rsidR="007C0984" w:rsidRPr="00CF791A">
        <w:t xml:space="preserve">where </w:t>
      </w:r>
      <w:r w:rsidR="009922F8" w:rsidRPr="00CF791A">
        <w:t xml:space="preserve">appropriate </w:t>
      </w:r>
      <w:r w:rsidRPr="00CF791A">
        <w:t>reasonable expectations for changes in the future</w:t>
      </w:r>
      <w:r w:rsidR="009922F8" w:rsidRPr="00CF791A">
        <w:t xml:space="preserve"> </w:t>
      </w:r>
      <w:r w:rsidR="0049471E" w:rsidRPr="00CF791A">
        <w:t xml:space="preserve">demographic </w:t>
      </w:r>
      <w:r w:rsidR="009922F8" w:rsidRPr="00CF791A">
        <w:t>should be considered</w:t>
      </w:r>
      <w:r w:rsidRPr="00CF791A">
        <w:t>.</w:t>
      </w:r>
    </w:p>
    <w:p w14:paraId="7B85E6B4" w14:textId="679AD231" w:rsidR="00E243D0" w:rsidRPr="00CF791A" w:rsidRDefault="00E243D0" w:rsidP="00E243D0">
      <w:pPr>
        <w:pStyle w:val="Paragraph"/>
      </w:pPr>
      <w:r w:rsidRPr="00CF791A">
        <w:t xml:space="preserve">Assumptions that on-site effects will be </w:t>
      </w:r>
      <w:r w:rsidR="00467838">
        <w:t>mitigated</w:t>
      </w:r>
      <w:r w:rsidR="00467838" w:rsidRPr="00CF791A">
        <w:t xml:space="preserve"> </w:t>
      </w:r>
      <w:r w:rsidRPr="00CF791A">
        <w:t xml:space="preserve">by the implementation of accident management and emergency preparedness arrangements should be properly justified. The </w:t>
      </w:r>
      <w:r w:rsidR="000A603A" w:rsidRPr="00CF791A">
        <w:t>effectiveness of</w:t>
      </w:r>
      <w:r w:rsidRPr="00CF791A">
        <w:t xml:space="preserve"> off-site </w:t>
      </w:r>
      <w:r w:rsidR="00882053" w:rsidRPr="00CF791A">
        <w:t xml:space="preserve">mitigating features and </w:t>
      </w:r>
      <w:r w:rsidR="00443A73" w:rsidRPr="00CF791A">
        <w:t xml:space="preserve">protective actions </w:t>
      </w:r>
      <w:r w:rsidRPr="00CF791A">
        <w:lastRenderedPageBreak/>
        <w:t xml:space="preserve">should be based on current national </w:t>
      </w:r>
      <w:r w:rsidR="00A0048F" w:rsidRPr="00CF791A">
        <w:t xml:space="preserve">and </w:t>
      </w:r>
      <w:r w:rsidRPr="00CF791A">
        <w:t xml:space="preserve">international advice and, where claimed, should be reflected in the safety case. </w:t>
      </w:r>
    </w:p>
    <w:p w14:paraId="5AF09288" w14:textId="42459A78" w:rsidR="00E243D0" w:rsidRPr="00CF791A" w:rsidRDefault="00E243D0" w:rsidP="00E243D0">
      <w:pPr>
        <w:pStyle w:val="Paragraph"/>
      </w:pPr>
      <w:r w:rsidRPr="00CF791A">
        <w:t xml:space="preserve">For a complex plant a technique such as PSA is required to understand the type of faults, risks, and consequences on a best estimate basis. It allows full incorporation of the reliability and failure probability of safety measures and other features of the design and operations. Where it is available, and of sufficient scope and quality to do so, the results of the PSA should be compared against </w:t>
      </w:r>
      <w:r w:rsidR="00C20342" w:rsidRPr="00CF791A">
        <w:t>R</w:t>
      </w:r>
      <w:r w:rsidR="003121D8" w:rsidRPr="00CF791A">
        <w:t xml:space="preserve">isk </w:t>
      </w:r>
      <w:r w:rsidR="00A211E0" w:rsidRPr="00CF791A">
        <w:t>Indicat</w:t>
      </w:r>
      <w:r w:rsidR="00086CBA" w:rsidRPr="00CF791A">
        <w:t xml:space="preserve">ors </w:t>
      </w:r>
      <w:r w:rsidR="002600CD" w:rsidRPr="00CF791A">
        <w:t>5</w:t>
      </w:r>
      <w:r w:rsidR="009919DA" w:rsidRPr="00CF791A">
        <w:t>-</w:t>
      </w:r>
      <w:r w:rsidR="002600CD" w:rsidRPr="00CF791A">
        <w:t>9</w:t>
      </w:r>
      <w:r w:rsidRPr="00CF791A">
        <w:t>.</w:t>
      </w:r>
    </w:p>
    <w:p w14:paraId="5A325115" w14:textId="07E8AD1C" w:rsidR="00E243D0" w:rsidRPr="00AA159A" w:rsidRDefault="00213C76" w:rsidP="009B7D05">
      <w:pPr>
        <w:pStyle w:val="SAPHeading"/>
      </w:pPr>
      <w:r w:rsidRPr="00AA159A">
        <w:t xml:space="preserve">Risk Indicator </w:t>
      </w:r>
      <w:r w:rsidR="00670096" w:rsidRPr="00AA159A">
        <w:t>5</w:t>
      </w:r>
      <w:r w:rsidR="00E243D0" w:rsidRPr="00AA159A">
        <w:t>: Individual risk of death from accidents</w:t>
      </w:r>
    </w:p>
    <w:p w14:paraId="575D7F20" w14:textId="4AD88C77" w:rsidR="00E243D0" w:rsidRPr="00AA159A" w:rsidRDefault="00D474AE" w:rsidP="006C4609">
      <w:pPr>
        <w:pStyle w:val="SAPBodyText"/>
      </w:pPr>
      <w:r>
        <w:t>Risk indicator levels</w:t>
      </w:r>
      <w:r w:rsidR="00C26724" w:rsidRPr="00AA159A">
        <w:t xml:space="preserve"> </w:t>
      </w:r>
      <w:r w:rsidR="00E243D0" w:rsidRPr="00AA159A">
        <w:t>for the individual risk of death to a person on</w:t>
      </w:r>
      <w:r w:rsidR="001D527D">
        <w:t xml:space="preserve"> or off</w:t>
      </w:r>
      <w:r w:rsidR="00E243D0" w:rsidRPr="00AA159A">
        <w:t xml:space="preserve"> the site </w:t>
      </w:r>
      <w:r w:rsidR="00E22115">
        <w:t>due</w:t>
      </w:r>
      <w:r w:rsidR="00E22115" w:rsidRPr="00E27EEE">
        <w:t xml:space="preserve"> </w:t>
      </w:r>
      <w:r w:rsidR="00332A1A">
        <w:t xml:space="preserve">to </w:t>
      </w:r>
      <w:r w:rsidR="00E22115" w:rsidRPr="00E27EEE">
        <w:t>exposure to ionising radiation</w:t>
      </w:r>
      <w:r w:rsidR="00E22115" w:rsidRPr="00E22115">
        <w:t xml:space="preserve"> </w:t>
      </w:r>
      <w:r w:rsidR="00E243D0" w:rsidRPr="00AA159A">
        <w:t xml:space="preserve">from accidents are: </w:t>
      </w:r>
    </w:p>
    <w:p w14:paraId="38E2C910" w14:textId="0445B044" w:rsidR="00E243D0" w:rsidRPr="00AA159A" w:rsidRDefault="00786EBC" w:rsidP="006C4609">
      <w:pPr>
        <w:pStyle w:val="SAPBodyText"/>
      </w:pPr>
      <w:r>
        <w:t xml:space="preserve">    </w:t>
      </w:r>
      <w:r w:rsidR="00E243D0" w:rsidRPr="00AA159A">
        <w:t>BSL: 1 x 10</w:t>
      </w:r>
      <w:r w:rsidR="00E243D0" w:rsidRPr="00AA159A">
        <w:rPr>
          <w:vertAlign w:val="superscript"/>
        </w:rPr>
        <w:t>-4</w:t>
      </w:r>
      <w:r w:rsidR="00E243D0" w:rsidRPr="00AA159A">
        <w:t xml:space="preserve"> pa</w:t>
      </w:r>
    </w:p>
    <w:p w14:paraId="6F484DDD" w14:textId="100D6552" w:rsidR="00E243D0" w:rsidRPr="00AA159A" w:rsidRDefault="00E243D0" w:rsidP="006C4609">
      <w:pPr>
        <w:pStyle w:val="SAPBodyText"/>
      </w:pPr>
      <w:r w:rsidRPr="00AA159A">
        <w:t xml:space="preserve">    </w:t>
      </w:r>
      <w:r w:rsidR="00132E11" w:rsidRPr="00AA159A">
        <w:t>RFL</w:t>
      </w:r>
      <w:r w:rsidRPr="00AA159A">
        <w:t>: 1 x 10</w:t>
      </w:r>
      <w:r w:rsidRPr="00AA159A">
        <w:rPr>
          <w:vertAlign w:val="superscript"/>
        </w:rPr>
        <w:t>-6</w:t>
      </w:r>
      <w:r w:rsidRPr="00AA159A">
        <w:t xml:space="preserve"> pa</w:t>
      </w:r>
    </w:p>
    <w:p w14:paraId="0EC42A22" w14:textId="3A27D587" w:rsidR="000942C4" w:rsidRDefault="00D90A8A" w:rsidP="00134698">
      <w:pPr>
        <w:pStyle w:val="Paragraph"/>
      </w:pPr>
      <w:r w:rsidRPr="00D90A8A">
        <w:t>Risk Indicator 5 should be used by inspectors to consider risks to individuals from ionising radiation caused by accidents, including workers and members of the public</w:t>
      </w:r>
      <w:r w:rsidR="001A1DAD">
        <w:t xml:space="preserve">, </w:t>
      </w:r>
      <w:r w:rsidR="009E19B6">
        <w:t>whether</w:t>
      </w:r>
      <w:r w:rsidR="00B5499E">
        <w:t xml:space="preserve"> </w:t>
      </w:r>
      <w:r w:rsidR="001A1DAD">
        <w:t xml:space="preserve">on </w:t>
      </w:r>
      <w:r w:rsidR="00E75D6D">
        <w:t>or</w:t>
      </w:r>
      <w:r w:rsidRPr="00D90A8A">
        <w:t xml:space="preserve"> off the site. Different types of analysis or calculations may be required when considering individuals on or off site, however the results of both can be compared to the same risk indicator.</w:t>
      </w:r>
    </w:p>
    <w:p w14:paraId="43E01C6F" w14:textId="22937A36" w:rsidR="00E243D0" w:rsidRPr="00AA159A" w:rsidRDefault="00670096" w:rsidP="009B7D05">
      <w:pPr>
        <w:pStyle w:val="SAPHeading"/>
      </w:pPr>
      <w:r w:rsidRPr="00AA159A">
        <w:t>Risk Indicator 6</w:t>
      </w:r>
      <w:r w:rsidR="00E243D0" w:rsidRPr="00AA159A">
        <w:t xml:space="preserve">: Frequency dose </w:t>
      </w:r>
      <w:r w:rsidR="00671676" w:rsidRPr="00AA159A">
        <w:t xml:space="preserve">measure </w:t>
      </w:r>
      <w:r w:rsidR="00E243D0" w:rsidRPr="00AA159A">
        <w:t xml:space="preserve">for any single accident </w:t>
      </w:r>
      <w:r w:rsidR="00BB1293" w:rsidRPr="00AA159A">
        <w:t>to</w:t>
      </w:r>
      <w:r w:rsidR="00E243D0" w:rsidRPr="00AA159A">
        <w:t xml:space="preserve"> any person on the site</w:t>
      </w:r>
    </w:p>
    <w:p w14:paraId="4C5F6394" w14:textId="523966E3" w:rsidR="0007401B" w:rsidRDefault="000B5AD9" w:rsidP="000C5554">
      <w:pPr>
        <w:pStyle w:val="SAPBodyText"/>
      </w:pPr>
      <w:r>
        <w:t>Risk indicator levels</w:t>
      </w:r>
      <w:r w:rsidRPr="005774CA">
        <w:t xml:space="preserve"> </w:t>
      </w:r>
      <w:r w:rsidR="00E243D0" w:rsidRPr="00AA159A">
        <w:t>for the predicted frequency of any single accident in the facility that could give rise to a person on the site receiving a dose are:</w:t>
      </w:r>
    </w:p>
    <w:tbl>
      <w:tblPr>
        <w:tblStyle w:val="ONRTable1"/>
        <w:tblW w:w="5000" w:type="pct"/>
        <w:tblInd w:w="0" w:type="dxa"/>
        <w:tblLook w:val="04A0" w:firstRow="1" w:lastRow="0" w:firstColumn="1" w:lastColumn="0" w:noHBand="0" w:noVBand="1"/>
      </w:tblPr>
      <w:tblGrid>
        <w:gridCol w:w="3008"/>
        <w:gridCol w:w="3009"/>
        <w:gridCol w:w="3009"/>
      </w:tblGrid>
      <w:tr w:rsidR="00FB418C" w14:paraId="09DE01C3" w14:textId="77777777" w:rsidTr="000C5554">
        <w:trPr>
          <w:cnfStyle w:val="100000000000" w:firstRow="1" w:lastRow="0" w:firstColumn="0" w:lastColumn="0" w:oddVBand="0" w:evenVBand="0" w:oddHBand="0" w:evenHBand="0" w:firstRowFirstColumn="0" w:firstRowLastColumn="0" w:lastRowFirstColumn="0" w:lastRowLastColumn="0"/>
          <w:tblHeader/>
        </w:trPr>
        <w:tc>
          <w:tcPr>
            <w:tcW w:w="1666" w:type="pct"/>
            <w:vMerge w:val="restart"/>
            <w:vAlign w:val="bottom"/>
          </w:tcPr>
          <w:p w14:paraId="348AC5E9" w14:textId="47ECE970" w:rsidR="00FB418C" w:rsidRPr="000C5554" w:rsidRDefault="00FB418C" w:rsidP="00FB418C">
            <w:pPr>
              <w:pStyle w:val="SAPBodyText"/>
              <w:pBdr>
                <w:top w:val="none" w:sz="0" w:space="0" w:color="auto"/>
                <w:bottom w:val="none" w:sz="0" w:space="0" w:color="auto"/>
              </w:pBdr>
              <w:rPr>
                <w:bCs/>
              </w:rPr>
            </w:pPr>
            <w:r w:rsidRPr="000C5554">
              <w:rPr>
                <w:bCs/>
              </w:rPr>
              <w:t>Effective does (mSv)</w:t>
            </w:r>
          </w:p>
        </w:tc>
        <w:tc>
          <w:tcPr>
            <w:tcW w:w="3334" w:type="pct"/>
            <w:gridSpan w:val="2"/>
          </w:tcPr>
          <w:p w14:paraId="3FA7225C" w14:textId="6D95A481" w:rsidR="00FB418C" w:rsidRDefault="00FB418C" w:rsidP="006C4609">
            <w:pPr>
              <w:pStyle w:val="SAPBodyText"/>
              <w:pBdr>
                <w:top w:val="none" w:sz="0" w:space="0" w:color="auto"/>
                <w:bottom w:val="none" w:sz="0" w:space="0" w:color="auto"/>
              </w:pBdr>
            </w:pPr>
            <w:r>
              <w:t>Predicated frequency per annum</w:t>
            </w:r>
          </w:p>
        </w:tc>
      </w:tr>
      <w:tr w:rsidR="00FB418C" w14:paraId="72160A0F" w14:textId="77777777" w:rsidTr="000C5554">
        <w:trPr>
          <w:cnfStyle w:val="100000000000" w:firstRow="1" w:lastRow="0" w:firstColumn="0" w:lastColumn="0" w:oddVBand="0" w:evenVBand="0" w:oddHBand="0" w:evenHBand="0" w:firstRowFirstColumn="0" w:firstRowLastColumn="0" w:lastRowFirstColumn="0" w:lastRowLastColumn="0"/>
          <w:tblHeader/>
        </w:trPr>
        <w:tc>
          <w:tcPr>
            <w:tcW w:w="1666" w:type="pct"/>
            <w:vMerge/>
          </w:tcPr>
          <w:p w14:paraId="6E00FCF1" w14:textId="77777777" w:rsidR="00FB418C" w:rsidRDefault="00FB418C" w:rsidP="006C4609">
            <w:pPr>
              <w:pStyle w:val="SAPBodyText"/>
              <w:pBdr>
                <w:top w:val="none" w:sz="0" w:space="0" w:color="auto"/>
                <w:bottom w:val="none" w:sz="0" w:space="0" w:color="auto"/>
              </w:pBdr>
              <w:rPr>
                <w:b w:val="0"/>
              </w:rPr>
            </w:pPr>
          </w:p>
        </w:tc>
        <w:tc>
          <w:tcPr>
            <w:tcW w:w="1667" w:type="pct"/>
          </w:tcPr>
          <w:p w14:paraId="36F497FF" w14:textId="6B046A4F" w:rsidR="00FB418C" w:rsidRDefault="00FB418C" w:rsidP="006C4609">
            <w:pPr>
              <w:pStyle w:val="SAPBodyText"/>
              <w:pBdr>
                <w:top w:val="none" w:sz="0" w:space="0" w:color="auto"/>
                <w:bottom w:val="none" w:sz="0" w:space="0" w:color="auto"/>
              </w:pBdr>
            </w:pPr>
            <w:r>
              <w:t>BSL</w:t>
            </w:r>
          </w:p>
        </w:tc>
        <w:tc>
          <w:tcPr>
            <w:tcW w:w="1667" w:type="pct"/>
          </w:tcPr>
          <w:p w14:paraId="6077E195" w14:textId="3A620825" w:rsidR="00FB418C" w:rsidRDefault="00FB418C" w:rsidP="006C4609">
            <w:pPr>
              <w:pStyle w:val="SAPBodyText"/>
              <w:pBdr>
                <w:top w:val="none" w:sz="0" w:space="0" w:color="auto"/>
                <w:bottom w:val="none" w:sz="0" w:space="0" w:color="auto"/>
              </w:pBdr>
            </w:pPr>
            <w:r>
              <w:t>RFL</w:t>
            </w:r>
          </w:p>
        </w:tc>
      </w:tr>
      <w:tr w:rsidR="00FB418C" w14:paraId="1F08818A" w14:textId="77777777" w:rsidTr="000C5554">
        <w:tc>
          <w:tcPr>
            <w:tcW w:w="1666" w:type="pct"/>
          </w:tcPr>
          <w:p w14:paraId="24F63D41" w14:textId="1DC70287" w:rsidR="00FB418C" w:rsidRDefault="00FB418C" w:rsidP="006C4609">
            <w:pPr>
              <w:pStyle w:val="SAPBodyText"/>
              <w:pBdr>
                <w:top w:val="none" w:sz="0" w:space="0" w:color="auto"/>
                <w:bottom w:val="none" w:sz="0" w:space="0" w:color="auto"/>
              </w:pBdr>
            </w:pPr>
            <w:r>
              <w:t>2-20</w:t>
            </w:r>
          </w:p>
        </w:tc>
        <w:tc>
          <w:tcPr>
            <w:tcW w:w="1667" w:type="pct"/>
          </w:tcPr>
          <w:p w14:paraId="1598AEEC" w14:textId="0A9B0C4F" w:rsidR="00FB418C" w:rsidRDefault="00FB418C" w:rsidP="006C4609">
            <w:pPr>
              <w:pStyle w:val="SAPBodyText"/>
              <w:pBdr>
                <w:top w:val="none" w:sz="0" w:space="0" w:color="auto"/>
                <w:bottom w:val="none" w:sz="0" w:space="0" w:color="auto"/>
              </w:pBdr>
            </w:pPr>
            <w:r>
              <w:t>1 x 10</w:t>
            </w:r>
            <w:r w:rsidRPr="000C5554">
              <w:rPr>
                <w:vertAlign w:val="superscript"/>
              </w:rPr>
              <w:t>-1</w:t>
            </w:r>
          </w:p>
        </w:tc>
        <w:tc>
          <w:tcPr>
            <w:tcW w:w="1667" w:type="pct"/>
          </w:tcPr>
          <w:p w14:paraId="1D7B5214" w14:textId="048DB1EB" w:rsidR="00FB418C" w:rsidRDefault="00FB418C" w:rsidP="006C4609">
            <w:pPr>
              <w:pStyle w:val="SAPBodyText"/>
              <w:pBdr>
                <w:top w:val="none" w:sz="0" w:space="0" w:color="auto"/>
                <w:bottom w:val="none" w:sz="0" w:space="0" w:color="auto"/>
              </w:pBdr>
            </w:pPr>
            <w:r>
              <w:t>1 x 10</w:t>
            </w:r>
            <w:r w:rsidRPr="000C5554">
              <w:rPr>
                <w:vertAlign w:val="superscript"/>
              </w:rPr>
              <w:t>-3</w:t>
            </w:r>
          </w:p>
        </w:tc>
      </w:tr>
      <w:tr w:rsidR="00FB418C" w14:paraId="77B8CF35" w14:textId="77777777" w:rsidTr="000C5554">
        <w:tc>
          <w:tcPr>
            <w:tcW w:w="1666" w:type="pct"/>
          </w:tcPr>
          <w:p w14:paraId="04E2B1AE" w14:textId="1DFBA4ED" w:rsidR="00FB418C" w:rsidRDefault="00FB418C" w:rsidP="006C4609">
            <w:pPr>
              <w:pStyle w:val="SAPBodyText"/>
              <w:pBdr>
                <w:top w:val="none" w:sz="0" w:space="0" w:color="auto"/>
                <w:bottom w:val="none" w:sz="0" w:space="0" w:color="auto"/>
              </w:pBdr>
            </w:pPr>
            <w:r>
              <w:t>20-200</w:t>
            </w:r>
          </w:p>
        </w:tc>
        <w:tc>
          <w:tcPr>
            <w:tcW w:w="1667" w:type="pct"/>
          </w:tcPr>
          <w:p w14:paraId="07C70275" w14:textId="2A024A36"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2</w:t>
            </w:r>
          </w:p>
        </w:tc>
        <w:tc>
          <w:tcPr>
            <w:tcW w:w="1667" w:type="pct"/>
          </w:tcPr>
          <w:p w14:paraId="78B5F65A" w14:textId="4FDD9978"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4</w:t>
            </w:r>
          </w:p>
        </w:tc>
      </w:tr>
      <w:tr w:rsidR="00FB418C" w14:paraId="183C2E9E" w14:textId="77777777" w:rsidTr="000C5554">
        <w:tc>
          <w:tcPr>
            <w:tcW w:w="1666" w:type="pct"/>
          </w:tcPr>
          <w:p w14:paraId="6109AD98" w14:textId="490E4EB0" w:rsidR="00FB418C" w:rsidRDefault="00FB418C" w:rsidP="006C4609">
            <w:pPr>
              <w:pStyle w:val="SAPBodyText"/>
              <w:pBdr>
                <w:top w:val="none" w:sz="0" w:space="0" w:color="auto"/>
                <w:bottom w:val="none" w:sz="0" w:space="0" w:color="auto"/>
              </w:pBdr>
            </w:pPr>
            <w:r>
              <w:t>200-2,000</w:t>
            </w:r>
          </w:p>
        </w:tc>
        <w:tc>
          <w:tcPr>
            <w:tcW w:w="1667" w:type="pct"/>
          </w:tcPr>
          <w:p w14:paraId="4B558B37" w14:textId="2B731E7C"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3</w:t>
            </w:r>
          </w:p>
        </w:tc>
        <w:tc>
          <w:tcPr>
            <w:tcW w:w="1667" w:type="pct"/>
          </w:tcPr>
          <w:p w14:paraId="2BCAA582" w14:textId="6CAC3341"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5</w:t>
            </w:r>
          </w:p>
        </w:tc>
      </w:tr>
      <w:tr w:rsidR="00FB418C" w14:paraId="664DB04A" w14:textId="77777777" w:rsidTr="000C5554">
        <w:tc>
          <w:tcPr>
            <w:tcW w:w="1666" w:type="pct"/>
          </w:tcPr>
          <w:p w14:paraId="70B31851" w14:textId="0919F385" w:rsidR="00FB418C" w:rsidRDefault="00FB418C" w:rsidP="006C4609">
            <w:pPr>
              <w:pStyle w:val="SAPBodyText"/>
              <w:pBdr>
                <w:top w:val="none" w:sz="0" w:space="0" w:color="auto"/>
                <w:bottom w:val="none" w:sz="0" w:space="0" w:color="auto"/>
              </w:pBdr>
            </w:pPr>
            <w:r>
              <w:t>&gt;2,000</w:t>
            </w:r>
          </w:p>
        </w:tc>
        <w:tc>
          <w:tcPr>
            <w:tcW w:w="1667" w:type="pct"/>
          </w:tcPr>
          <w:p w14:paraId="21B8C91F" w14:textId="1620ADE9"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4</w:t>
            </w:r>
          </w:p>
        </w:tc>
        <w:tc>
          <w:tcPr>
            <w:tcW w:w="1667" w:type="pct"/>
          </w:tcPr>
          <w:p w14:paraId="4908811A" w14:textId="50CD2488" w:rsidR="00FB418C" w:rsidRDefault="0007401B" w:rsidP="006C4609">
            <w:pPr>
              <w:pStyle w:val="SAPBodyText"/>
              <w:pBdr>
                <w:top w:val="none" w:sz="0" w:space="0" w:color="auto"/>
                <w:bottom w:val="none" w:sz="0" w:space="0" w:color="auto"/>
              </w:pBdr>
            </w:pPr>
            <w:r>
              <w:t>1 x 10</w:t>
            </w:r>
            <w:r w:rsidRPr="00F86AEF">
              <w:rPr>
                <w:vertAlign w:val="superscript"/>
              </w:rPr>
              <w:t>-</w:t>
            </w:r>
            <w:r>
              <w:rPr>
                <w:vertAlign w:val="superscript"/>
              </w:rPr>
              <w:t>6</w:t>
            </w:r>
          </w:p>
        </w:tc>
      </w:tr>
    </w:tbl>
    <w:p w14:paraId="233354DB" w14:textId="5F45B889" w:rsidR="00563203" w:rsidRPr="00AA159A" w:rsidRDefault="0089018A" w:rsidP="000C5554">
      <w:pPr>
        <w:pStyle w:val="Caption"/>
        <w:spacing w:before="120" w:after="240"/>
      </w:pPr>
      <w:r>
        <w:t xml:space="preserve">Table </w:t>
      </w:r>
      <w:fldSimple w:instr=" SEQ Table \* ARABIC ">
        <w:r>
          <w:rPr>
            <w:noProof/>
          </w:rPr>
          <w:t>1</w:t>
        </w:r>
      </w:fldSimple>
      <w:r>
        <w:t xml:space="preserve"> - Risk Indicator 6</w:t>
      </w:r>
    </w:p>
    <w:p w14:paraId="778B73AB" w14:textId="0087D0D0" w:rsidR="00E243D0" w:rsidRPr="00CF791A" w:rsidRDefault="00BB4E9F" w:rsidP="00E243D0">
      <w:pPr>
        <w:pStyle w:val="Paragraph"/>
      </w:pPr>
      <w:r w:rsidRPr="00CF791A">
        <w:t xml:space="preserve">Risk </w:t>
      </w:r>
      <w:r w:rsidR="009A64E2" w:rsidRPr="00CF791A">
        <w:t>I</w:t>
      </w:r>
      <w:r w:rsidRPr="00CF791A">
        <w:t>n</w:t>
      </w:r>
      <w:r w:rsidR="00B64ECB" w:rsidRPr="00CF791A">
        <w:t xml:space="preserve">dicators </w:t>
      </w:r>
      <w:r w:rsidR="00132E11" w:rsidRPr="00CF791A">
        <w:t>5</w:t>
      </w:r>
      <w:r w:rsidR="000942C4">
        <w:t xml:space="preserve"> and </w:t>
      </w:r>
      <w:r w:rsidR="00132E11" w:rsidRPr="00CF791A">
        <w:t>6</w:t>
      </w:r>
      <w:r w:rsidR="00E13A20" w:rsidRPr="00CF791A">
        <w:t xml:space="preserve"> </w:t>
      </w:r>
      <w:r w:rsidR="00E243D0" w:rsidRPr="00CF791A">
        <w:t>are not intended to include the risks associated with personnel returning to perform recovery actions after an accident.</w:t>
      </w:r>
    </w:p>
    <w:p w14:paraId="18E3C4FD" w14:textId="7C2B88AF" w:rsidR="00E243D0" w:rsidRPr="00AA159A" w:rsidRDefault="00767FFE" w:rsidP="009B7D05">
      <w:pPr>
        <w:pStyle w:val="SAPHeading"/>
      </w:pPr>
      <w:r w:rsidRPr="00AA159A">
        <w:lastRenderedPageBreak/>
        <w:t>Risk Indicator 8</w:t>
      </w:r>
      <w:r w:rsidR="00E243D0" w:rsidRPr="00AA159A">
        <w:t xml:space="preserve">: Frequency dose </w:t>
      </w:r>
      <w:r w:rsidR="007F68A7" w:rsidRPr="00AA159A">
        <w:t xml:space="preserve">measures </w:t>
      </w:r>
      <w:r w:rsidR="00E243D0" w:rsidRPr="00AA159A">
        <w:t xml:space="preserve">for accidents on an individual facility </w:t>
      </w:r>
      <w:r w:rsidR="00F94A26" w:rsidRPr="00AA159A">
        <w:t>to</w:t>
      </w:r>
      <w:r w:rsidR="00E243D0" w:rsidRPr="00AA159A">
        <w:t xml:space="preserve"> any person off the site</w:t>
      </w:r>
    </w:p>
    <w:p w14:paraId="253AA932" w14:textId="1E2E2586" w:rsidR="0007401B" w:rsidRDefault="003C5064" w:rsidP="000C5554">
      <w:pPr>
        <w:pStyle w:val="SAPBodyText"/>
      </w:pPr>
      <w:r>
        <w:t>Risk indicator levels</w:t>
      </w:r>
      <w:r w:rsidRPr="005774CA">
        <w:t xml:space="preserve"> </w:t>
      </w:r>
      <w:r w:rsidR="00E243D0" w:rsidRPr="00AA159A">
        <w:t>for the total predicted frequencies of accidents on an individual facility that could give doses to a person off the site are:</w:t>
      </w:r>
    </w:p>
    <w:tbl>
      <w:tblPr>
        <w:tblStyle w:val="ONRTable1"/>
        <w:tblW w:w="5000" w:type="pct"/>
        <w:tblInd w:w="0" w:type="dxa"/>
        <w:tblLook w:val="04A0" w:firstRow="1" w:lastRow="0" w:firstColumn="1" w:lastColumn="0" w:noHBand="0" w:noVBand="1"/>
      </w:tblPr>
      <w:tblGrid>
        <w:gridCol w:w="3008"/>
        <w:gridCol w:w="3009"/>
        <w:gridCol w:w="3009"/>
      </w:tblGrid>
      <w:tr w:rsidR="0007401B" w14:paraId="5A916EE3" w14:textId="77777777" w:rsidTr="00F86AEF">
        <w:trPr>
          <w:cnfStyle w:val="100000000000" w:firstRow="1" w:lastRow="0" w:firstColumn="0" w:lastColumn="0" w:oddVBand="0" w:evenVBand="0" w:oddHBand="0" w:evenHBand="0" w:firstRowFirstColumn="0" w:firstRowLastColumn="0" w:lastRowFirstColumn="0" w:lastRowLastColumn="0"/>
          <w:tblHeader/>
        </w:trPr>
        <w:tc>
          <w:tcPr>
            <w:tcW w:w="1666" w:type="pct"/>
            <w:vMerge w:val="restart"/>
            <w:vAlign w:val="bottom"/>
          </w:tcPr>
          <w:p w14:paraId="2A43AD66" w14:textId="77777777" w:rsidR="0007401B" w:rsidRPr="00F86AEF" w:rsidRDefault="0007401B" w:rsidP="00F86AEF">
            <w:pPr>
              <w:pStyle w:val="SAPBodyText"/>
              <w:pBdr>
                <w:top w:val="none" w:sz="0" w:space="0" w:color="auto"/>
                <w:bottom w:val="none" w:sz="0" w:space="0" w:color="auto"/>
              </w:pBdr>
              <w:rPr>
                <w:bCs/>
              </w:rPr>
            </w:pPr>
            <w:r w:rsidRPr="00F86AEF">
              <w:rPr>
                <w:bCs/>
              </w:rPr>
              <w:t>Effective does (mSv)</w:t>
            </w:r>
          </w:p>
        </w:tc>
        <w:tc>
          <w:tcPr>
            <w:tcW w:w="3334" w:type="pct"/>
            <w:gridSpan w:val="2"/>
          </w:tcPr>
          <w:p w14:paraId="015FFD9F" w14:textId="77777777" w:rsidR="0007401B" w:rsidRDefault="0007401B" w:rsidP="00F86AEF">
            <w:pPr>
              <w:pStyle w:val="SAPBodyText"/>
              <w:pBdr>
                <w:top w:val="none" w:sz="0" w:space="0" w:color="auto"/>
                <w:bottom w:val="none" w:sz="0" w:space="0" w:color="auto"/>
              </w:pBdr>
            </w:pPr>
            <w:r>
              <w:t>Predicated frequency per annum</w:t>
            </w:r>
          </w:p>
        </w:tc>
      </w:tr>
      <w:tr w:rsidR="0007401B" w14:paraId="641FA034" w14:textId="77777777" w:rsidTr="00F86AEF">
        <w:trPr>
          <w:cnfStyle w:val="100000000000" w:firstRow="1" w:lastRow="0" w:firstColumn="0" w:lastColumn="0" w:oddVBand="0" w:evenVBand="0" w:oddHBand="0" w:evenHBand="0" w:firstRowFirstColumn="0" w:firstRowLastColumn="0" w:lastRowFirstColumn="0" w:lastRowLastColumn="0"/>
          <w:tblHeader/>
        </w:trPr>
        <w:tc>
          <w:tcPr>
            <w:tcW w:w="1666" w:type="pct"/>
            <w:vMerge/>
          </w:tcPr>
          <w:p w14:paraId="1857E82A" w14:textId="77777777" w:rsidR="0007401B" w:rsidRDefault="0007401B" w:rsidP="00F86AEF">
            <w:pPr>
              <w:pStyle w:val="SAPBodyText"/>
              <w:pBdr>
                <w:top w:val="none" w:sz="0" w:space="0" w:color="auto"/>
                <w:bottom w:val="none" w:sz="0" w:space="0" w:color="auto"/>
              </w:pBdr>
              <w:rPr>
                <w:b w:val="0"/>
              </w:rPr>
            </w:pPr>
          </w:p>
        </w:tc>
        <w:tc>
          <w:tcPr>
            <w:tcW w:w="1667" w:type="pct"/>
          </w:tcPr>
          <w:p w14:paraId="7F724F32" w14:textId="77777777" w:rsidR="0007401B" w:rsidRDefault="0007401B" w:rsidP="00F86AEF">
            <w:pPr>
              <w:pStyle w:val="SAPBodyText"/>
              <w:pBdr>
                <w:top w:val="none" w:sz="0" w:space="0" w:color="auto"/>
                <w:bottom w:val="none" w:sz="0" w:space="0" w:color="auto"/>
              </w:pBdr>
            </w:pPr>
            <w:r>
              <w:t>BSL</w:t>
            </w:r>
          </w:p>
        </w:tc>
        <w:tc>
          <w:tcPr>
            <w:tcW w:w="1667" w:type="pct"/>
          </w:tcPr>
          <w:p w14:paraId="5F553D5A" w14:textId="77777777" w:rsidR="0007401B" w:rsidRDefault="0007401B" w:rsidP="00F86AEF">
            <w:pPr>
              <w:pStyle w:val="SAPBodyText"/>
              <w:pBdr>
                <w:top w:val="none" w:sz="0" w:space="0" w:color="auto"/>
                <w:bottom w:val="none" w:sz="0" w:space="0" w:color="auto"/>
              </w:pBdr>
            </w:pPr>
            <w:r>
              <w:t>RFL</w:t>
            </w:r>
          </w:p>
        </w:tc>
      </w:tr>
      <w:tr w:rsidR="0007401B" w14:paraId="61EA596D" w14:textId="77777777" w:rsidTr="00F86AEF">
        <w:tc>
          <w:tcPr>
            <w:tcW w:w="1666" w:type="pct"/>
          </w:tcPr>
          <w:p w14:paraId="2C51C40F" w14:textId="7AFFC59E" w:rsidR="0007401B" w:rsidRDefault="0007401B" w:rsidP="00F86AEF">
            <w:pPr>
              <w:pStyle w:val="SAPBodyText"/>
              <w:pBdr>
                <w:top w:val="none" w:sz="0" w:space="0" w:color="auto"/>
                <w:bottom w:val="none" w:sz="0" w:space="0" w:color="auto"/>
              </w:pBdr>
            </w:pPr>
            <w:r>
              <w:t>0.1-1</w:t>
            </w:r>
          </w:p>
        </w:tc>
        <w:tc>
          <w:tcPr>
            <w:tcW w:w="1667" w:type="pct"/>
          </w:tcPr>
          <w:p w14:paraId="57DB2CC5" w14:textId="594BC9D0" w:rsidR="0007401B" w:rsidRDefault="0007401B" w:rsidP="00F86AEF">
            <w:pPr>
              <w:pStyle w:val="SAPBodyText"/>
              <w:pBdr>
                <w:top w:val="none" w:sz="0" w:space="0" w:color="auto"/>
                <w:bottom w:val="none" w:sz="0" w:space="0" w:color="auto"/>
              </w:pBdr>
            </w:pPr>
            <w:r>
              <w:t>1</w:t>
            </w:r>
          </w:p>
        </w:tc>
        <w:tc>
          <w:tcPr>
            <w:tcW w:w="1667" w:type="pct"/>
          </w:tcPr>
          <w:p w14:paraId="0E5159AF" w14:textId="4627C540" w:rsidR="0007401B" w:rsidRDefault="0007401B" w:rsidP="00F86AEF">
            <w:pPr>
              <w:pStyle w:val="SAPBodyText"/>
              <w:pBdr>
                <w:top w:val="none" w:sz="0" w:space="0" w:color="auto"/>
                <w:bottom w:val="none" w:sz="0" w:space="0" w:color="auto"/>
              </w:pBdr>
            </w:pPr>
            <w:r>
              <w:t>1 x 10</w:t>
            </w:r>
            <w:r w:rsidRPr="00F86AEF">
              <w:rPr>
                <w:vertAlign w:val="superscript"/>
              </w:rPr>
              <w:t>-</w:t>
            </w:r>
            <w:r>
              <w:rPr>
                <w:vertAlign w:val="superscript"/>
              </w:rPr>
              <w:t>2</w:t>
            </w:r>
          </w:p>
        </w:tc>
      </w:tr>
      <w:tr w:rsidR="0007401B" w14:paraId="6550D14E" w14:textId="77777777" w:rsidTr="00F86AEF">
        <w:tc>
          <w:tcPr>
            <w:tcW w:w="1666" w:type="pct"/>
          </w:tcPr>
          <w:p w14:paraId="7675960B" w14:textId="0957E4AC" w:rsidR="0007401B" w:rsidRDefault="0007401B" w:rsidP="00F86AEF">
            <w:pPr>
              <w:pStyle w:val="SAPBodyText"/>
              <w:pBdr>
                <w:top w:val="none" w:sz="0" w:space="0" w:color="auto"/>
                <w:bottom w:val="none" w:sz="0" w:space="0" w:color="auto"/>
              </w:pBdr>
            </w:pPr>
            <w:r>
              <w:t>1-10</w:t>
            </w:r>
          </w:p>
        </w:tc>
        <w:tc>
          <w:tcPr>
            <w:tcW w:w="1667" w:type="pct"/>
          </w:tcPr>
          <w:p w14:paraId="180A0FF8" w14:textId="7300DF5D" w:rsidR="0007401B" w:rsidRDefault="0007401B" w:rsidP="00F86AEF">
            <w:pPr>
              <w:pStyle w:val="SAPBodyText"/>
              <w:pBdr>
                <w:top w:val="none" w:sz="0" w:space="0" w:color="auto"/>
                <w:bottom w:val="none" w:sz="0" w:space="0" w:color="auto"/>
              </w:pBdr>
            </w:pPr>
            <w:r>
              <w:t>1 x 10</w:t>
            </w:r>
            <w:r w:rsidRPr="00F86AEF">
              <w:rPr>
                <w:vertAlign w:val="superscript"/>
              </w:rPr>
              <w:t>-</w:t>
            </w:r>
            <w:r>
              <w:rPr>
                <w:vertAlign w:val="superscript"/>
              </w:rPr>
              <w:t>1</w:t>
            </w:r>
          </w:p>
        </w:tc>
        <w:tc>
          <w:tcPr>
            <w:tcW w:w="1667" w:type="pct"/>
          </w:tcPr>
          <w:p w14:paraId="55136D31" w14:textId="6B623961" w:rsidR="0007401B" w:rsidRDefault="0007401B" w:rsidP="00F86AEF">
            <w:pPr>
              <w:pStyle w:val="SAPBodyText"/>
              <w:pBdr>
                <w:top w:val="none" w:sz="0" w:space="0" w:color="auto"/>
                <w:bottom w:val="none" w:sz="0" w:space="0" w:color="auto"/>
              </w:pBdr>
            </w:pPr>
            <w:r>
              <w:t>1 x 10</w:t>
            </w:r>
            <w:r w:rsidRPr="00F86AEF">
              <w:rPr>
                <w:vertAlign w:val="superscript"/>
              </w:rPr>
              <w:t>-</w:t>
            </w:r>
            <w:r w:rsidR="00386726">
              <w:rPr>
                <w:vertAlign w:val="superscript"/>
              </w:rPr>
              <w:t>3</w:t>
            </w:r>
          </w:p>
        </w:tc>
      </w:tr>
      <w:tr w:rsidR="0007401B" w14:paraId="2D3C9A6E" w14:textId="77777777" w:rsidTr="00F86AEF">
        <w:tc>
          <w:tcPr>
            <w:tcW w:w="1666" w:type="pct"/>
          </w:tcPr>
          <w:p w14:paraId="687A9BBD" w14:textId="2F74F2B6" w:rsidR="0007401B" w:rsidRDefault="0007401B" w:rsidP="00F86AEF">
            <w:pPr>
              <w:pStyle w:val="SAPBodyText"/>
              <w:pBdr>
                <w:top w:val="none" w:sz="0" w:space="0" w:color="auto"/>
                <w:bottom w:val="none" w:sz="0" w:space="0" w:color="auto"/>
              </w:pBdr>
            </w:pPr>
            <w:r>
              <w:t>10-100</w:t>
            </w:r>
          </w:p>
        </w:tc>
        <w:tc>
          <w:tcPr>
            <w:tcW w:w="1667" w:type="pct"/>
          </w:tcPr>
          <w:p w14:paraId="42B58BE9" w14:textId="52150AF5" w:rsidR="0007401B" w:rsidRDefault="0007401B" w:rsidP="00F86AEF">
            <w:pPr>
              <w:pStyle w:val="SAPBodyText"/>
              <w:pBdr>
                <w:top w:val="none" w:sz="0" w:space="0" w:color="auto"/>
                <w:bottom w:val="none" w:sz="0" w:space="0" w:color="auto"/>
              </w:pBdr>
            </w:pPr>
            <w:r>
              <w:t>1 x 10</w:t>
            </w:r>
            <w:r w:rsidRPr="00F86AEF">
              <w:rPr>
                <w:vertAlign w:val="superscript"/>
              </w:rPr>
              <w:t>-</w:t>
            </w:r>
            <w:r>
              <w:rPr>
                <w:vertAlign w:val="superscript"/>
              </w:rPr>
              <w:t>2</w:t>
            </w:r>
          </w:p>
        </w:tc>
        <w:tc>
          <w:tcPr>
            <w:tcW w:w="1667" w:type="pct"/>
          </w:tcPr>
          <w:p w14:paraId="49C532D9" w14:textId="324024D1" w:rsidR="0007401B" w:rsidRDefault="0007401B" w:rsidP="00F86AEF">
            <w:pPr>
              <w:pStyle w:val="SAPBodyText"/>
              <w:pBdr>
                <w:top w:val="none" w:sz="0" w:space="0" w:color="auto"/>
                <w:bottom w:val="none" w:sz="0" w:space="0" w:color="auto"/>
              </w:pBdr>
            </w:pPr>
            <w:r>
              <w:t>1 x 10</w:t>
            </w:r>
            <w:r w:rsidRPr="00F86AEF">
              <w:rPr>
                <w:vertAlign w:val="superscript"/>
              </w:rPr>
              <w:t>-</w:t>
            </w:r>
            <w:r w:rsidR="00386726">
              <w:rPr>
                <w:vertAlign w:val="superscript"/>
              </w:rPr>
              <w:t>4</w:t>
            </w:r>
          </w:p>
        </w:tc>
      </w:tr>
      <w:tr w:rsidR="0007401B" w14:paraId="182479A6" w14:textId="77777777" w:rsidTr="00F86AEF">
        <w:tc>
          <w:tcPr>
            <w:tcW w:w="1666" w:type="pct"/>
          </w:tcPr>
          <w:p w14:paraId="08FD4182" w14:textId="38661BDB" w:rsidR="0007401B" w:rsidRDefault="0007401B" w:rsidP="00F86AEF">
            <w:pPr>
              <w:pStyle w:val="SAPBodyText"/>
              <w:pBdr>
                <w:top w:val="none" w:sz="0" w:space="0" w:color="auto"/>
                <w:bottom w:val="none" w:sz="0" w:space="0" w:color="auto"/>
              </w:pBdr>
            </w:pPr>
            <w:r>
              <w:t>100-1,000</w:t>
            </w:r>
          </w:p>
        </w:tc>
        <w:tc>
          <w:tcPr>
            <w:tcW w:w="1667" w:type="pct"/>
          </w:tcPr>
          <w:p w14:paraId="76C6E001" w14:textId="26C6AC8E" w:rsidR="0007401B" w:rsidRDefault="0007401B" w:rsidP="00F86AEF">
            <w:pPr>
              <w:pStyle w:val="SAPBodyText"/>
              <w:pBdr>
                <w:top w:val="none" w:sz="0" w:space="0" w:color="auto"/>
                <w:bottom w:val="none" w:sz="0" w:space="0" w:color="auto"/>
              </w:pBdr>
            </w:pPr>
            <w:r>
              <w:t>1 x 10</w:t>
            </w:r>
            <w:r w:rsidRPr="00F86AEF">
              <w:rPr>
                <w:vertAlign w:val="superscript"/>
              </w:rPr>
              <w:t>-</w:t>
            </w:r>
            <w:r>
              <w:rPr>
                <w:vertAlign w:val="superscript"/>
              </w:rPr>
              <w:t>3</w:t>
            </w:r>
          </w:p>
        </w:tc>
        <w:tc>
          <w:tcPr>
            <w:tcW w:w="1667" w:type="pct"/>
          </w:tcPr>
          <w:p w14:paraId="468C8704" w14:textId="61D13306" w:rsidR="0007401B" w:rsidRDefault="0007401B" w:rsidP="00F86AEF">
            <w:pPr>
              <w:pStyle w:val="SAPBodyText"/>
              <w:pBdr>
                <w:top w:val="none" w:sz="0" w:space="0" w:color="auto"/>
                <w:bottom w:val="none" w:sz="0" w:space="0" w:color="auto"/>
              </w:pBdr>
            </w:pPr>
            <w:r>
              <w:t>1 x 10</w:t>
            </w:r>
            <w:r w:rsidRPr="00F86AEF">
              <w:rPr>
                <w:vertAlign w:val="superscript"/>
              </w:rPr>
              <w:t>-</w:t>
            </w:r>
            <w:r w:rsidR="00386726">
              <w:rPr>
                <w:vertAlign w:val="superscript"/>
              </w:rPr>
              <w:t>5</w:t>
            </w:r>
          </w:p>
        </w:tc>
      </w:tr>
      <w:tr w:rsidR="0007401B" w14:paraId="57CB0781" w14:textId="77777777" w:rsidTr="00F86AEF">
        <w:tc>
          <w:tcPr>
            <w:tcW w:w="1666" w:type="pct"/>
          </w:tcPr>
          <w:p w14:paraId="01AB3AD3" w14:textId="06B74941" w:rsidR="0007401B" w:rsidRDefault="0007401B" w:rsidP="00F86AEF">
            <w:pPr>
              <w:pStyle w:val="SAPBodyText"/>
              <w:pBdr>
                <w:top w:val="none" w:sz="0" w:space="0" w:color="auto"/>
                <w:bottom w:val="none" w:sz="0" w:space="0" w:color="auto"/>
              </w:pBdr>
            </w:pPr>
            <w:r>
              <w:t>&gt;1,000</w:t>
            </w:r>
          </w:p>
        </w:tc>
        <w:tc>
          <w:tcPr>
            <w:tcW w:w="1667" w:type="pct"/>
          </w:tcPr>
          <w:p w14:paraId="20FC6661" w14:textId="583E4C98" w:rsidR="0007401B" w:rsidRDefault="0007401B" w:rsidP="00F86AEF">
            <w:pPr>
              <w:pStyle w:val="SAPBodyText"/>
              <w:pBdr>
                <w:top w:val="none" w:sz="0" w:space="0" w:color="auto"/>
                <w:bottom w:val="none" w:sz="0" w:space="0" w:color="auto"/>
              </w:pBdr>
            </w:pPr>
            <w:r>
              <w:t>1 x 10</w:t>
            </w:r>
            <w:r w:rsidRPr="00F86AEF">
              <w:rPr>
                <w:vertAlign w:val="superscript"/>
              </w:rPr>
              <w:t>-</w:t>
            </w:r>
            <w:r>
              <w:rPr>
                <w:vertAlign w:val="superscript"/>
              </w:rPr>
              <w:t>4</w:t>
            </w:r>
          </w:p>
        </w:tc>
        <w:tc>
          <w:tcPr>
            <w:tcW w:w="1667" w:type="pct"/>
          </w:tcPr>
          <w:p w14:paraId="0DF053C9" w14:textId="21AD3AD4" w:rsidR="0007401B" w:rsidRDefault="00386726" w:rsidP="00F86AEF">
            <w:pPr>
              <w:pStyle w:val="SAPBodyText"/>
              <w:pBdr>
                <w:top w:val="none" w:sz="0" w:space="0" w:color="auto"/>
                <w:bottom w:val="none" w:sz="0" w:space="0" w:color="auto"/>
              </w:pBdr>
            </w:pPr>
            <w:r>
              <w:t>1 x 10</w:t>
            </w:r>
            <w:r w:rsidRPr="00F86AEF">
              <w:rPr>
                <w:vertAlign w:val="superscript"/>
              </w:rPr>
              <w:t>-</w:t>
            </w:r>
            <w:r>
              <w:rPr>
                <w:vertAlign w:val="superscript"/>
              </w:rPr>
              <w:t>6</w:t>
            </w:r>
          </w:p>
        </w:tc>
      </w:tr>
    </w:tbl>
    <w:p w14:paraId="3AA43E30" w14:textId="77777777" w:rsidR="00386726" w:rsidRDefault="0089018A" w:rsidP="000C5554">
      <w:pPr>
        <w:pStyle w:val="Caption"/>
        <w:spacing w:before="120" w:after="240"/>
      </w:pPr>
      <w:r>
        <w:t xml:space="preserve">Table </w:t>
      </w:r>
      <w:fldSimple w:instr=" SEQ Table \* ARABIC ">
        <w:r>
          <w:rPr>
            <w:noProof/>
          </w:rPr>
          <w:t>2</w:t>
        </w:r>
      </w:fldSimple>
      <w:r>
        <w:t xml:space="preserve"> - Risk Indicator 8</w:t>
      </w:r>
    </w:p>
    <w:p w14:paraId="75712C5C" w14:textId="77777777" w:rsidR="00E243D0" w:rsidRPr="00CF791A" w:rsidRDefault="00E243D0" w:rsidP="00E243D0">
      <w:pPr>
        <w:pStyle w:val="Paragraph"/>
      </w:pPr>
      <w:r w:rsidRPr="00CF791A">
        <w:t xml:space="preserve">The safety case should identify accidents with the potential to cause 100 or more deaths from radiation exposure. The nature of such accidents means that long-term, large-distance stochastic effects will be important. Such accidents may have significant regional or national consequences and so are considered to pose a societal risk. </w:t>
      </w:r>
    </w:p>
    <w:p w14:paraId="11BFAF00" w14:textId="0F009BAF" w:rsidR="00E243D0" w:rsidRPr="00AA159A" w:rsidRDefault="00767FFE" w:rsidP="000C5554">
      <w:pPr>
        <w:pStyle w:val="SAPHeading"/>
      </w:pPr>
      <w:r w:rsidRPr="00AA159A">
        <w:t>Risk Indicator 9</w:t>
      </w:r>
      <w:r w:rsidR="00E243D0" w:rsidRPr="00AA159A">
        <w:t xml:space="preserve">: </w:t>
      </w:r>
      <w:r w:rsidR="009D0153" w:rsidRPr="00AA159A">
        <w:t xml:space="preserve">Societal risk - </w:t>
      </w:r>
      <w:r w:rsidR="00E243D0" w:rsidRPr="00AA159A">
        <w:t>Risk of 100 or more fatalities</w:t>
      </w:r>
    </w:p>
    <w:p w14:paraId="01A943EF" w14:textId="6001F56C" w:rsidR="00E243D0" w:rsidRPr="00AA159A" w:rsidRDefault="00E243D0" w:rsidP="00071E96">
      <w:pPr>
        <w:pStyle w:val="SAPBodyText"/>
        <w:keepNext/>
      </w:pPr>
      <w:r w:rsidRPr="00AA159A">
        <w:t xml:space="preserve">The </w:t>
      </w:r>
      <w:r w:rsidR="00C06FB6" w:rsidRPr="00AA159A">
        <w:t xml:space="preserve">measure </w:t>
      </w:r>
      <w:r w:rsidRPr="00AA159A">
        <w:t>for the total risk of 100 or more fatalities</w:t>
      </w:r>
      <w:r w:rsidR="00380C7A" w:rsidRPr="00380C7A">
        <w:t xml:space="preserve"> </w:t>
      </w:r>
      <w:r w:rsidR="00380C7A">
        <w:t>due to</w:t>
      </w:r>
      <w:r w:rsidR="00380C7A" w:rsidRPr="004B23EA">
        <w:t xml:space="preserve"> exposure to ionising radiation</w:t>
      </w:r>
      <w:r w:rsidRPr="00AA159A">
        <w:t xml:space="preserve">, either immediate or eventual, from accidents at the site are: </w:t>
      </w:r>
    </w:p>
    <w:p w14:paraId="559FCC63" w14:textId="1BD1AD8E" w:rsidR="00E243D0" w:rsidRPr="00AA159A" w:rsidRDefault="00E243D0" w:rsidP="00071E96">
      <w:pPr>
        <w:pStyle w:val="SAPBodyText"/>
        <w:keepNext/>
      </w:pPr>
      <w:r w:rsidRPr="00AA159A">
        <w:t xml:space="preserve">    BSL: 1 x 10</w:t>
      </w:r>
      <w:r w:rsidRPr="00AA159A">
        <w:rPr>
          <w:vertAlign w:val="superscript"/>
        </w:rPr>
        <w:t>-5</w:t>
      </w:r>
      <w:r w:rsidRPr="00AA159A">
        <w:t xml:space="preserve"> pa</w:t>
      </w:r>
    </w:p>
    <w:p w14:paraId="6E70E461" w14:textId="16B70361" w:rsidR="00E243D0" w:rsidRPr="00AA159A" w:rsidRDefault="00E243D0" w:rsidP="00071E96">
      <w:pPr>
        <w:pStyle w:val="SAPBodyText"/>
        <w:keepNext/>
      </w:pPr>
      <w:r w:rsidRPr="00AA159A">
        <w:t xml:space="preserve">    </w:t>
      </w:r>
      <w:r w:rsidR="00C23608" w:rsidRPr="00AA159A">
        <w:t>RFL</w:t>
      </w:r>
      <w:r w:rsidRPr="00AA159A">
        <w:t>: 1 x 10</w:t>
      </w:r>
      <w:r w:rsidRPr="00AA159A">
        <w:rPr>
          <w:vertAlign w:val="superscript"/>
        </w:rPr>
        <w:t>-7</w:t>
      </w:r>
      <w:r w:rsidRPr="00AA159A">
        <w:t xml:space="preserve"> pa</w:t>
      </w:r>
    </w:p>
    <w:p w14:paraId="7BF6508D" w14:textId="55FBDFE6" w:rsidR="00E243D0" w:rsidRPr="00CF791A" w:rsidRDefault="00E243D0" w:rsidP="00071E96">
      <w:pPr>
        <w:pStyle w:val="Paragraph"/>
        <w:keepNext/>
        <w:keepLines/>
      </w:pPr>
      <w:r w:rsidRPr="00CF791A">
        <w:t>In estimating the</w:t>
      </w:r>
      <w:r w:rsidR="006D2717">
        <w:t xml:space="preserve"> societal</w:t>
      </w:r>
      <w:r w:rsidRPr="00CF791A">
        <w:t xml:space="preserve"> risk, fatalities both on and off the site should be included. </w:t>
      </w:r>
    </w:p>
    <w:p w14:paraId="008769EC" w14:textId="77777777" w:rsidR="00E243D0" w:rsidRPr="00CF791A" w:rsidRDefault="00E243D0" w:rsidP="00E243D0">
      <w:pPr>
        <w:spacing w:after="0" w:line="240" w:lineRule="auto"/>
        <w:rPr>
          <w:color w:val="22413A"/>
          <w:sz w:val="48"/>
        </w:rPr>
      </w:pPr>
      <w:r w:rsidRPr="00CF791A">
        <w:br w:type="page"/>
      </w:r>
    </w:p>
    <w:p w14:paraId="65F73F16" w14:textId="50009F51" w:rsidR="00E243D0" w:rsidRPr="00AA159A" w:rsidRDefault="00E243D0" w:rsidP="005364DE">
      <w:pPr>
        <w:pStyle w:val="Heading1"/>
      </w:pPr>
      <w:bookmarkStart w:id="121" w:name="_Toc219206142"/>
      <w:bookmarkStart w:id="122" w:name="_Toc219748169"/>
      <w:bookmarkStart w:id="123" w:name="_Toc235711319"/>
      <w:r w:rsidRPr="00AA159A">
        <w:lastRenderedPageBreak/>
        <w:t xml:space="preserve">Key </w:t>
      </w:r>
      <w:r w:rsidR="006C4C12" w:rsidRPr="00AA159A">
        <w:t>p</w:t>
      </w:r>
      <w:r w:rsidRPr="00AA159A">
        <w:t>rinciples</w:t>
      </w:r>
      <w:bookmarkEnd w:id="121"/>
      <w:bookmarkEnd w:id="122"/>
      <w:bookmarkEnd w:id="123"/>
    </w:p>
    <w:p w14:paraId="593C27F7" w14:textId="77777777" w:rsidR="00E243D0" w:rsidRPr="00AA159A" w:rsidRDefault="00E243D0" w:rsidP="009B7D05">
      <w:pPr>
        <w:pStyle w:val="SAPHeading"/>
      </w:pPr>
      <w:r w:rsidRPr="00AA159A">
        <w:t xml:space="preserve">KP.1 - Graded approach to safety </w:t>
      </w:r>
    </w:p>
    <w:p w14:paraId="171402F9" w14:textId="77777777" w:rsidR="005F6A79" w:rsidRPr="00AA159A" w:rsidRDefault="005F6A79" w:rsidP="006C4609">
      <w:pPr>
        <w:pStyle w:val="SAPBodyText"/>
      </w:pPr>
      <w:r w:rsidRPr="00AA159A">
        <w:t>The demonstration of safety of an installation or activity should be commensurate with the nuclear safety risk.</w:t>
      </w:r>
      <w:r w:rsidRPr="00AA159A" w:rsidDel="009069AC">
        <w:t xml:space="preserve"> </w:t>
      </w:r>
    </w:p>
    <w:p w14:paraId="7B4AE730" w14:textId="0A61DA70" w:rsidR="001F484D" w:rsidRPr="00CF791A" w:rsidRDefault="001F484D" w:rsidP="001F484D">
      <w:pPr>
        <w:pStyle w:val="Paragraph"/>
      </w:pPr>
      <w:r w:rsidRPr="00CF791A">
        <w:t xml:space="preserve">The demonstration of safety, including the extent of safety management </w:t>
      </w:r>
      <w:r w:rsidR="00B47EFC" w:rsidRPr="00CF791A">
        <w:t>systems</w:t>
      </w:r>
      <w:r w:rsidRPr="00CF791A">
        <w:t xml:space="preserve">, safety analysis, substantiation of safety measures, should be commensurate with the nuclear safety risk. ONR inspectors should expect dutyholders to apply a graded approach within their safety cases. </w:t>
      </w:r>
    </w:p>
    <w:p w14:paraId="0394197F" w14:textId="77777777" w:rsidR="001F484D" w:rsidRPr="00CF791A" w:rsidRDefault="001F484D" w:rsidP="001F484D">
      <w:pPr>
        <w:pStyle w:val="Paragraph"/>
      </w:pPr>
      <w:r w:rsidRPr="00CF791A">
        <w:t>The higher the risk (or hazard when the hazard is high or knowledge of the risk is uncertain),</w:t>
      </w:r>
      <w:r w:rsidRPr="00CF791A" w:rsidDel="005E3402">
        <w:t xml:space="preserve"> </w:t>
      </w:r>
      <w:r w:rsidRPr="00CF791A">
        <w:t>the more rigorous and comprehensive the demonstration of safety should be.</w:t>
      </w:r>
    </w:p>
    <w:p w14:paraId="1B54DC9D" w14:textId="59596C04" w:rsidR="00E243D0" w:rsidRDefault="001F484D" w:rsidP="005E3D3D">
      <w:pPr>
        <w:pStyle w:val="Paragraph"/>
      </w:pPr>
      <w:r w:rsidRPr="00CF791A">
        <w:t>Not all of the principles in this document apply to all facilities or activities. In line with a graded approach, the demonstration of safety should focus on those principles, standards and guidance which are relevant.</w:t>
      </w:r>
    </w:p>
    <w:p w14:paraId="2DB5176B" w14:textId="31B212AC" w:rsidR="00510ACC" w:rsidRPr="007C33EF" w:rsidRDefault="00510ACC" w:rsidP="009B7D05">
      <w:pPr>
        <w:pStyle w:val="SAPHeading"/>
      </w:pPr>
      <w:r w:rsidRPr="007C33EF">
        <w:t>KP.2 - Integration of nuclear safety with other requirements</w:t>
      </w:r>
    </w:p>
    <w:p w14:paraId="175024B0" w14:textId="11EB6A96" w:rsidR="00510ACC" w:rsidRPr="00510ACC" w:rsidRDefault="00A25C62" w:rsidP="007C33EF">
      <w:pPr>
        <w:pStyle w:val="SAPBodyText"/>
      </w:pPr>
      <w:r>
        <w:t>Nuclear s</w:t>
      </w:r>
      <w:r w:rsidR="00510ACC" w:rsidRPr="00510ACC">
        <w:t xml:space="preserve">afety should be managed in such a way that the interfaces between other requirements (security, nuclear material accountancy, non-nuclear safety, environmental safety, operations, etc.) are realised in a coordinated manner so that they do not compromise </w:t>
      </w:r>
      <w:r w:rsidR="00497986">
        <w:t>one another</w:t>
      </w:r>
      <w:r w:rsidR="00481801" w:rsidRPr="00481801">
        <w:t xml:space="preserve"> </w:t>
      </w:r>
      <w:r w:rsidR="00510ACC" w:rsidRPr="00510ACC">
        <w:t xml:space="preserve">and an optimised design is achieved. </w:t>
      </w:r>
    </w:p>
    <w:p w14:paraId="789C2BFB" w14:textId="6B8FBC2D" w:rsidR="00510ACC" w:rsidRPr="007C33EF" w:rsidRDefault="00510ACC" w:rsidP="00510ACC">
      <w:pPr>
        <w:pStyle w:val="Paragraph"/>
      </w:pPr>
      <w:r w:rsidRPr="007C33EF">
        <w:t xml:space="preserve">The needs of </w:t>
      </w:r>
      <w:r w:rsidR="00A25C62">
        <w:t xml:space="preserve">nuclear </w:t>
      </w:r>
      <w:r w:rsidRPr="007C33EF">
        <w:t xml:space="preserve">safety should be considered in a manner cognisant of other requirements and done in such a way to achieve a balanced design solution. </w:t>
      </w:r>
      <w:r w:rsidR="00386726">
        <w:br/>
      </w:r>
      <w:r w:rsidRPr="007C33EF">
        <w:t xml:space="preserve">Where other requirements influence safety, the consideration of these factors should be done in such a way that a single requirement does not dominate other factors or lead to an unbalanced design. Where measures are proposed or in place for other purposes that benefit safety, appropriate claims upon these can be considered in the safety case. </w:t>
      </w:r>
    </w:p>
    <w:p w14:paraId="21A028E9" w14:textId="28862E1A" w:rsidR="00E243D0" w:rsidRPr="00AA159A" w:rsidRDefault="00E243D0" w:rsidP="009B7D05">
      <w:pPr>
        <w:pStyle w:val="SAPHeading"/>
      </w:pPr>
      <w:r w:rsidRPr="00AA159A">
        <w:t>KP.</w:t>
      </w:r>
      <w:r w:rsidR="00AC3892">
        <w:t>3</w:t>
      </w:r>
      <w:r w:rsidRPr="00AA159A">
        <w:t xml:space="preserve"> – Practical elimination of large or early radioactive releases</w:t>
      </w:r>
    </w:p>
    <w:p w14:paraId="184E3D20" w14:textId="4A4F89AB" w:rsidR="00E243D0" w:rsidRPr="00AA159A" w:rsidRDefault="009378C2" w:rsidP="006C4609">
      <w:pPr>
        <w:pStyle w:val="SAPBodyText"/>
      </w:pPr>
      <w:r w:rsidRPr="00AA159A">
        <w:t>It should be demonstrated that sequences with the potential to lead to large or early radioactive release are practically eliminated</w:t>
      </w:r>
      <w:r w:rsidR="00E243D0" w:rsidRPr="00AA159A">
        <w:t>.</w:t>
      </w:r>
    </w:p>
    <w:p w14:paraId="0C8BBD3C" w14:textId="3EA36D0B" w:rsidR="00E243D0" w:rsidRPr="00CF791A" w:rsidRDefault="00E243D0" w:rsidP="00E243D0">
      <w:pPr>
        <w:pStyle w:val="Paragraph"/>
      </w:pPr>
      <w:r w:rsidRPr="00CF791A">
        <w:t>In line with broader international guidance, the safety case should contribute to demonstrating that accident sequences with the potential for large or early radioactive releases have been eliminated</w:t>
      </w:r>
      <w:r w:rsidR="00D247FB">
        <w:t xml:space="preserve"> </w:t>
      </w:r>
      <w:r w:rsidR="00685CA0">
        <w:t>through practical means</w:t>
      </w:r>
      <w:r w:rsidRPr="00CF791A">
        <w:t>. In this context, 'large</w:t>
      </w:r>
      <w:r w:rsidR="00D34182" w:rsidRPr="00CF791A">
        <w:t xml:space="preserve"> release</w:t>
      </w:r>
      <w:r w:rsidRPr="00CF791A">
        <w:t xml:space="preserve">' refers to releases that would necessitate off-site </w:t>
      </w:r>
      <w:r w:rsidR="00443A73" w:rsidRPr="00CF791A">
        <w:t xml:space="preserve">protective actions </w:t>
      </w:r>
      <w:r w:rsidRPr="00CF791A">
        <w:t>that are not limited in time or geographical area, while 'early</w:t>
      </w:r>
      <w:r w:rsidR="00601206" w:rsidRPr="00CF791A">
        <w:t xml:space="preserve"> release</w:t>
      </w:r>
      <w:r w:rsidRPr="00CF791A">
        <w:t xml:space="preserve">' refers to releases occurring before required </w:t>
      </w:r>
      <w:r w:rsidR="0003023A" w:rsidRPr="00CF791A">
        <w:t xml:space="preserve">protective actions </w:t>
      </w:r>
      <w:r w:rsidRPr="00CF791A">
        <w:t xml:space="preserve">can be effectively implemented. </w:t>
      </w:r>
    </w:p>
    <w:p w14:paraId="67E75AA5" w14:textId="1E9B116B" w:rsidR="00E243D0" w:rsidRPr="00CF791A" w:rsidRDefault="00E243D0" w:rsidP="00E243D0">
      <w:pPr>
        <w:pStyle w:val="Paragraph"/>
      </w:pPr>
      <w:r w:rsidRPr="00CF791A">
        <w:lastRenderedPageBreak/>
        <w:t xml:space="preserve">To support the demonstration of practical elimination, the safety case should show either that the sequence is physically impossible, or that the design incorporates safety measures that make the sequence extremely unlikely, with a high degree of confidence. For the latter, this requires evidence of extremely low sequence frequencies and </w:t>
      </w:r>
      <w:r w:rsidR="00650330">
        <w:t>suitable</w:t>
      </w:r>
      <w:r w:rsidRPr="00CF791A">
        <w:t xml:space="preserve"> safety measures across levels 1 to 4 of defence in depth.</w:t>
      </w:r>
    </w:p>
    <w:p w14:paraId="318D6075" w14:textId="77777777" w:rsidR="00E243D0" w:rsidRPr="00CF791A" w:rsidRDefault="00E243D0" w:rsidP="00E243D0">
      <w:pPr>
        <w:pStyle w:val="Paragraph"/>
      </w:pPr>
      <w:r w:rsidRPr="00CF791A">
        <w:t>A demonstration of practical elimination of sequences with the potential to lead to large or early radioactive releases, through both probabilistic and deterministic arguments, may not be proportionate for all facilities.</w:t>
      </w:r>
    </w:p>
    <w:p w14:paraId="17BA2D4A" w14:textId="3DF80838" w:rsidR="00E243D0" w:rsidRPr="00CF791A" w:rsidRDefault="00E243D0" w:rsidP="00E243D0">
      <w:pPr>
        <w:pStyle w:val="Paragraph"/>
      </w:pPr>
      <w:r w:rsidRPr="00CF791A">
        <w:t>The demonstration should not be limited to severe accident mitigation; it should provide justification of other levels of defence in depth commensurate with their safety significance, where these contribute to the demonstration of practical elimination of sequences with the potential to lead to large or early radioactive releases.</w:t>
      </w:r>
    </w:p>
    <w:p w14:paraId="5C683FFB" w14:textId="77777777" w:rsidR="00E243D0" w:rsidRPr="00CF791A" w:rsidDel="00BD1A5C" w:rsidRDefault="00E243D0" w:rsidP="00E243D0">
      <w:pPr>
        <w:pStyle w:val="Paragraph"/>
      </w:pPr>
      <w:r w:rsidRPr="00CF791A" w:rsidDel="00BD1A5C">
        <w:t>Where sequences with the potential to lead to large or early radioactive releases are not demonstrated to be physically impossible, both deterministic and probabilistic methods should be applied to support the demonstration that the design incorporates safety measures which make the sequences extremely unlikely, with a high degree of confidence.</w:t>
      </w:r>
    </w:p>
    <w:p w14:paraId="266B60B1" w14:textId="6F6017B8" w:rsidR="00E243D0" w:rsidRPr="00AA159A" w:rsidRDefault="00E243D0" w:rsidP="009B7D05">
      <w:pPr>
        <w:pStyle w:val="SAPHeading"/>
      </w:pPr>
      <w:r w:rsidRPr="00AA159A">
        <w:t>KP.</w:t>
      </w:r>
      <w:r w:rsidR="00AC3892">
        <w:t>4</w:t>
      </w:r>
      <w:r w:rsidRPr="00AA159A">
        <w:t xml:space="preserve"> – Defence in depth</w:t>
      </w:r>
    </w:p>
    <w:p w14:paraId="00693E59" w14:textId="77777777" w:rsidR="00E243D0" w:rsidRPr="00AA159A" w:rsidRDefault="00E243D0" w:rsidP="006C4609">
      <w:pPr>
        <w:pStyle w:val="SAPBodyText"/>
      </w:pPr>
      <w:r w:rsidRPr="00AA159A">
        <w:t>Nuclear facilities should be designed and operated so that defence in depth against potentially significant faults or failures is achieved by the provision of multiple independent barriers to fault progression.</w:t>
      </w:r>
    </w:p>
    <w:p w14:paraId="608979DA" w14:textId="77777777" w:rsidR="00E243D0" w:rsidRPr="00CF791A" w:rsidRDefault="00E243D0" w:rsidP="00E243D0">
      <w:pPr>
        <w:pStyle w:val="Paragraph"/>
      </w:pPr>
      <w:r w:rsidRPr="00CF791A">
        <w:t>Application of the concept of defence in depth should provide a series of independent barriers (design features, equipment and procedures) aimed at preventing faults in the first instance, protecting against fault progression should a fault occur, and ultimately by providing mitigation of accidents should protection fail.</w:t>
      </w:r>
    </w:p>
    <w:p w14:paraId="755CAE64" w14:textId="0775DE41" w:rsidR="006050F6" w:rsidRPr="00CF791A" w:rsidRDefault="00E243D0" w:rsidP="001765B3">
      <w:pPr>
        <w:pStyle w:val="Paragraph"/>
      </w:pPr>
      <w:r w:rsidRPr="00CF791A">
        <w:t>An important aspect of the implementation of defence in depth is the provision of multiple</w:t>
      </w:r>
      <w:r w:rsidR="005645EA" w:rsidRPr="00CF791A">
        <w:t xml:space="preserve"> </w:t>
      </w:r>
      <w:r w:rsidRPr="00CF791A">
        <w:t xml:space="preserve">physical barriers to the release of radioactive material to the environment, and to ensure the confinement of radioactive material. The number of barriers will depend on the </w:t>
      </w:r>
      <w:r w:rsidR="00257599">
        <w:t>nuclear safety risks</w:t>
      </w:r>
      <w:r w:rsidRPr="00CF791A">
        <w:t>.</w:t>
      </w:r>
      <w:r w:rsidR="001765B3">
        <w:t xml:space="preserve"> </w:t>
      </w:r>
      <w:r w:rsidR="006050F6" w:rsidRPr="00607A7E">
        <w:t>Where practicable, reliable and effective barriers should be provided early in the hierarchy to minimise safety demands on later barriers.</w:t>
      </w:r>
    </w:p>
    <w:p w14:paraId="3318F880" w14:textId="51226E35" w:rsidR="00E243D0" w:rsidRPr="00CF791A" w:rsidRDefault="00E243D0" w:rsidP="000C5554">
      <w:pPr>
        <w:pStyle w:val="Paragraph"/>
      </w:pPr>
      <w:r w:rsidRPr="00CF791A">
        <w:t>Defence in depth can be</w:t>
      </w:r>
      <w:r w:rsidRPr="00CF791A" w:rsidDel="00253AD8">
        <w:t xml:space="preserve"> </w:t>
      </w:r>
      <w:r w:rsidRPr="00CF791A">
        <w:t>considered in five levels, which should be</w:t>
      </w:r>
      <w:r w:rsidR="006112D8">
        <w:t>,</w:t>
      </w:r>
      <w:r w:rsidR="00BE7941" w:rsidRPr="00CF791A">
        <w:t xml:space="preserve"> where pos</w:t>
      </w:r>
      <w:r w:rsidR="00ED3E35" w:rsidRPr="00CF791A">
        <w:t>s</w:t>
      </w:r>
      <w:r w:rsidR="00BE7941" w:rsidRPr="00CF791A">
        <w:t>ible</w:t>
      </w:r>
      <w:r w:rsidR="006112D8">
        <w:t>,</w:t>
      </w:r>
      <w:r w:rsidRPr="00CF791A">
        <w:t xml:space="preserve"> independent from one another. The methodology should ensure that if one level fails, it will be compensated for, or corrected by, the subsequent level. The aims for each level are described in </w:t>
      </w:r>
      <w:r w:rsidR="00386726">
        <w:fldChar w:fldCharType="begin"/>
      </w:r>
      <w:r w:rsidR="00386726">
        <w:instrText xml:space="preserve"> REF _Ref235697890 \h </w:instrText>
      </w:r>
      <w:r w:rsidR="00386726">
        <w:fldChar w:fldCharType="separate"/>
      </w:r>
      <w:r w:rsidR="00386726" w:rsidRPr="00CF791A">
        <w:t xml:space="preserve">Table </w:t>
      </w:r>
      <w:r w:rsidR="00386726">
        <w:rPr>
          <w:noProof/>
        </w:rPr>
        <w:t>3</w:t>
      </w:r>
      <w:r w:rsidR="00386726">
        <w:fldChar w:fldCharType="end"/>
      </w:r>
      <w:r w:rsidR="000248C1">
        <w:t xml:space="preserve">, based on </w:t>
      </w:r>
      <w:r w:rsidRPr="00CF791A">
        <w:t>IAEA Safety Requirements</w:t>
      </w:r>
      <w:r w:rsidR="004C3AC0">
        <w:t xml:space="preserve"> in</w:t>
      </w:r>
      <w:r w:rsidRPr="00CF791A">
        <w:t xml:space="preserve"> SSR-2/</w:t>
      </w:r>
      <w:r w:rsidR="00F76627" w:rsidRPr="00CF791A">
        <w:t>1</w:t>
      </w:r>
      <w:r w:rsidR="00470A9B" w:rsidRPr="00CF791A">
        <w:t xml:space="preserve"> </w:t>
      </w:r>
      <w:sdt>
        <w:sdtPr>
          <w:id w:val="-369455511"/>
          <w:citation/>
        </w:sdtPr>
        <w:sdtEndPr/>
        <w:sdtContent>
          <w:r w:rsidR="00F47ACB">
            <w:fldChar w:fldCharType="begin"/>
          </w:r>
          <w:r w:rsidR="00F47ACB">
            <w:instrText xml:space="preserve"> CITATION IAE61 \l 2057 </w:instrText>
          </w:r>
          <w:r w:rsidR="00F47ACB">
            <w:fldChar w:fldCharType="separate"/>
          </w:r>
          <w:r w:rsidR="00875BCE" w:rsidRPr="00875BCE">
            <w:rPr>
              <w:noProof/>
            </w:rPr>
            <w:t>[3]</w:t>
          </w:r>
          <w:r w:rsidR="00F47ACB">
            <w:fldChar w:fldCharType="end"/>
          </w:r>
        </w:sdtContent>
      </w:sdt>
      <w:r w:rsidR="00F47ACB">
        <w:t>.</w:t>
      </w:r>
    </w:p>
    <w:p w14:paraId="18BB5456" w14:textId="77777777" w:rsidR="0089018A" w:rsidRDefault="0089018A">
      <w:pPr>
        <w:spacing w:before="60" w:after="60"/>
        <w:rPr>
          <w:b/>
        </w:rPr>
        <w:sectPr w:rsidR="0089018A" w:rsidSect="00E243D0">
          <w:pgSz w:w="11906" w:h="16838" w:code="9"/>
          <w:pgMar w:top="1440" w:right="1440" w:bottom="1440" w:left="1440" w:header="397" w:footer="397" w:gutter="0"/>
          <w:cols w:space="312"/>
          <w:docGrid w:linePitch="360"/>
        </w:sectPr>
      </w:pPr>
    </w:p>
    <w:tbl>
      <w:tblPr>
        <w:tblStyle w:val="ONRTable1"/>
        <w:tblW w:w="0" w:type="auto"/>
        <w:tblInd w:w="5" w:type="dxa"/>
        <w:tblLook w:val="01E0" w:firstRow="1" w:lastRow="1" w:firstColumn="1" w:lastColumn="1" w:noHBand="0" w:noVBand="0"/>
      </w:tblPr>
      <w:tblGrid>
        <w:gridCol w:w="840"/>
        <w:gridCol w:w="4258"/>
        <w:gridCol w:w="3763"/>
      </w:tblGrid>
      <w:tr w:rsidR="00E243D0" w:rsidRPr="00CF791A" w14:paraId="52A1F0D6" w14:textId="77777777" w:rsidTr="0089018A">
        <w:trPr>
          <w:cnfStyle w:val="100000000000" w:firstRow="1" w:lastRow="0" w:firstColumn="0" w:lastColumn="0" w:oddVBand="0" w:evenVBand="0" w:oddHBand="0" w:evenHBand="0" w:firstRowFirstColumn="0" w:firstRowLastColumn="0" w:lastRowFirstColumn="0" w:lastRowLastColumn="0"/>
          <w:tblHeader/>
        </w:trPr>
        <w:tc>
          <w:tcPr>
            <w:tcW w:w="0" w:type="auto"/>
          </w:tcPr>
          <w:p w14:paraId="60021EB0" w14:textId="77777777" w:rsidR="00E243D0" w:rsidRPr="00CF791A" w:rsidRDefault="00E243D0">
            <w:pPr>
              <w:spacing w:before="60" w:after="60"/>
              <w:rPr>
                <w:b w:val="0"/>
              </w:rPr>
            </w:pPr>
            <w:r w:rsidRPr="00CF791A">
              <w:lastRenderedPageBreak/>
              <w:t>Level</w:t>
            </w:r>
          </w:p>
        </w:tc>
        <w:tc>
          <w:tcPr>
            <w:tcW w:w="4258" w:type="dxa"/>
          </w:tcPr>
          <w:p w14:paraId="4C603E1F" w14:textId="77777777" w:rsidR="00E243D0" w:rsidRPr="00CF791A" w:rsidRDefault="00E243D0">
            <w:pPr>
              <w:spacing w:before="60" w:after="60"/>
              <w:rPr>
                <w:b w:val="0"/>
              </w:rPr>
            </w:pPr>
            <w:r w:rsidRPr="00CF791A">
              <w:t>Objective</w:t>
            </w:r>
          </w:p>
        </w:tc>
        <w:tc>
          <w:tcPr>
            <w:tcW w:w="3763" w:type="dxa"/>
          </w:tcPr>
          <w:p w14:paraId="233C1297" w14:textId="73EB7A48" w:rsidR="00E243D0" w:rsidRPr="00CF791A" w:rsidRDefault="00E243D0">
            <w:pPr>
              <w:spacing w:before="60" w:after="60"/>
              <w:rPr>
                <w:b w:val="0"/>
              </w:rPr>
            </w:pPr>
            <w:r w:rsidRPr="00CF791A">
              <w:t>Defence</w:t>
            </w:r>
            <w:r w:rsidR="00797E75">
              <w:t>/</w:t>
            </w:r>
            <w:r w:rsidRPr="00CF791A">
              <w:t>barrier</w:t>
            </w:r>
          </w:p>
        </w:tc>
      </w:tr>
      <w:tr w:rsidR="00E243D0" w:rsidRPr="00CF791A" w14:paraId="093ED13D" w14:textId="77777777">
        <w:tc>
          <w:tcPr>
            <w:tcW w:w="0" w:type="auto"/>
          </w:tcPr>
          <w:p w14:paraId="29A1349C" w14:textId="77777777" w:rsidR="00E243D0" w:rsidRPr="00CF791A" w:rsidRDefault="00E243D0">
            <w:pPr>
              <w:spacing w:before="60" w:after="60"/>
            </w:pPr>
            <w:r w:rsidRPr="00CF791A">
              <w:t>1</w:t>
            </w:r>
          </w:p>
        </w:tc>
        <w:tc>
          <w:tcPr>
            <w:tcW w:w="4258" w:type="dxa"/>
          </w:tcPr>
          <w:p w14:paraId="286C099C" w14:textId="77777777" w:rsidR="00E243D0" w:rsidRPr="00CF791A" w:rsidRDefault="00E243D0">
            <w:pPr>
              <w:spacing w:before="60" w:after="60"/>
            </w:pPr>
            <w:r w:rsidRPr="00CF791A">
              <w:t>Prevention of abnormal operation and failures by design.</w:t>
            </w:r>
          </w:p>
        </w:tc>
        <w:tc>
          <w:tcPr>
            <w:tcW w:w="3763" w:type="dxa"/>
          </w:tcPr>
          <w:p w14:paraId="53B95D58" w14:textId="3F2CDD76" w:rsidR="00E243D0" w:rsidRPr="00CF791A" w:rsidRDefault="004814AC">
            <w:pPr>
              <w:spacing w:before="60" w:after="60"/>
            </w:pPr>
            <w:r w:rsidRPr="00CF791A">
              <w:t>Conservative design, construction, maintenance and operation in accordance with appropriate safety margins, engineering practices and quality levels</w:t>
            </w:r>
            <w:r w:rsidR="0099139D" w:rsidRPr="00CF791A">
              <w:t xml:space="preserve">. </w:t>
            </w:r>
          </w:p>
        </w:tc>
      </w:tr>
      <w:tr w:rsidR="00E243D0" w:rsidRPr="00CF791A" w14:paraId="119E07F3" w14:textId="77777777">
        <w:tc>
          <w:tcPr>
            <w:tcW w:w="0" w:type="auto"/>
          </w:tcPr>
          <w:p w14:paraId="49EDC396" w14:textId="77777777" w:rsidR="00E243D0" w:rsidRPr="00CF791A" w:rsidRDefault="00E243D0">
            <w:pPr>
              <w:spacing w:before="60" w:after="60"/>
            </w:pPr>
            <w:r w:rsidRPr="00CF791A">
              <w:t>2</w:t>
            </w:r>
          </w:p>
        </w:tc>
        <w:tc>
          <w:tcPr>
            <w:tcW w:w="4258" w:type="dxa"/>
          </w:tcPr>
          <w:p w14:paraId="417534B3" w14:textId="77777777" w:rsidR="00E243D0" w:rsidRPr="00CF791A" w:rsidRDefault="00E243D0">
            <w:pPr>
              <w:spacing w:before="60" w:after="60"/>
            </w:pPr>
            <w:r w:rsidRPr="00CF791A">
              <w:t xml:space="preserve">Detection and control of abnormal operation </w:t>
            </w:r>
            <w:r w:rsidRPr="00CF791A" w:rsidDel="00B22487">
              <w:t xml:space="preserve">and </w:t>
            </w:r>
            <w:r w:rsidRPr="00CF791A">
              <w:t>prevention of escalation</w:t>
            </w:r>
            <w:r w:rsidRPr="00CF791A" w:rsidDel="009F3048">
              <w:t>.</w:t>
            </w:r>
          </w:p>
        </w:tc>
        <w:tc>
          <w:tcPr>
            <w:tcW w:w="3763" w:type="dxa"/>
          </w:tcPr>
          <w:p w14:paraId="48737D63" w14:textId="77777777" w:rsidR="00E243D0" w:rsidRPr="00CF791A" w:rsidRDefault="00E243D0">
            <w:pPr>
              <w:spacing w:before="60" w:after="60"/>
            </w:pPr>
            <w:r w:rsidRPr="00CF791A">
              <w:t>Control, indication, alarm systems or other systems and operating procedures to prevent or minimise escalation.</w:t>
            </w:r>
          </w:p>
        </w:tc>
      </w:tr>
      <w:tr w:rsidR="00E243D0" w:rsidRPr="00CF791A" w14:paraId="1BC426EE" w14:textId="77777777">
        <w:tc>
          <w:tcPr>
            <w:tcW w:w="0" w:type="auto"/>
          </w:tcPr>
          <w:p w14:paraId="76A3A59A" w14:textId="77777777" w:rsidR="00E243D0" w:rsidRPr="00CF791A" w:rsidRDefault="00E243D0">
            <w:pPr>
              <w:spacing w:before="60" w:after="60"/>
            </w:pPr>
            <w:r w:rsidRPr="00CF791A">
              <w:t>3</w:t>
            </w:r>
          </w:p>
        </w:tc>
        <w:tc>
          <w:tcPr>
            <w:tcW w:w="4258" w:type="dxa"/>
          </w:tcPr>
          <w:p w14:paraId="7F150B37" w14:textId="77777777" w:rsidR="00E243D0" w:rsidRPr="00CF791A" w:rsidRDefault="00E243D0">
            <w:pPr>
              <w:spacing w:before="60" w:after="60"/>
            </w:pPr>
            <w:r w:rsidRPr="00CF791A">
              <w:t>Control of faults within the design basis to protect against escalation to an accident.</w:t>
            </w:r>
          </w:p>
        </w:tc>
        <w:tc>
          <w:tcPr>
            <w:tcW w:w="3763" w:type="dxa"/>
          </w:tcPr>
          <w:p w14:paraId="655C2A00" w14:textId="77777777" w:rsidR="00E243D0" w:rsidRPr="00CF791A" w:rsidRDefault="00E243D0">
            <w:pPr>
              <w:spacing w:before="60" w:after="60"/>
            </w:pPr>
            <w:r w:rsidRPr="00CF791A">
              <w:t>Safety measures, multiple barriers and fault control procedures.</w:t>
            </w:r>
          </w:p>
        </w:tc>
      </w:tr>
      <w:tr w:rsidR="00E243D0" w:rsidRPr="00CF791A" w14:paraId="15FF0CD7" w14:textId="77777777">
        <w:tc>
          <w:tcPr>
            <w:tcW w:w="0" w:type="auto"/>
          </w:tcPr>
          <w:p w14:paraId="4F1645A3" w14:textId="77777777" w:rsidR="00E243D0" w:rsidRPr="00CF791A" w:rsidRDefault="00E243D0">
            <w:pPr>
              <w:spacing w:before="60" w:after="60"/>
            </w:pPr>
            <w:r w:rsidRPr="00CF791A">
              <w:t>4</w:t>
            </w:r>
          </w:p>
        </w:tc>
        <w:tc>
          <w:tcPr>
            <w:tcW w:w="4258" w:type="dxa"/>
          </w:tcPr>
          <w:p w14:paraId="247A5B81" w14:textId="77777777" w:rsidR="00E243D0" w:rsidRPr="00CF791A" w:rsidRDefault="00E243D0">
            <w:pPr>
              <w:spacing w:before="60" w:after="60"/>
            </w:pPr>
            <w:r w:rsidRPr="00CF791A">
              <w:t>Control of severe plant conditions in which the design basis may be exceeded, including protecting against further fault escalation and mitigation of the consequences of severe accidents.</w:t>
            </w:r>
          </w:p>
        </w:tc>
        <w:tc>
          <w:tcPr>
            <w:tcW w:w="3763" w:type="dxa"/>
          </w:tcPr>
          <w:p w14:paraId="05151CD0" w14:textId="77777777" w:rsidR="00E243D0" w:rsidRPr="00CF791A" w:rsidRDefault="00E243D0">
            <w:pPr>
              <w:spacing w:before="60" w:after="60"/>
            </w:pPr>
            <w:r w:rsidRPr="00CF791A">
              <w:t>Measures and procedures to protect against or mitigate fault progression and for accident management.</w:t>
            </w:r>
          </w:p>
        </w:tc>
      </w:tr>
      <w:tr w:rsidR="00E243D0" w:rsidRPr="00CF791A" w14:paraId="28546897" w14:textId="77777777">
        <w:tc>
          <w:tcPr>
            <w:tcW w:w="0" w:type="auto"/>
          </w:tcPr>
          <w:p w14:paraId="749C4D33" w14:textId="77777777" w:rsidR="00E243D0" w:rsidRPr="00CF791A" w:rsidRDefault="00E243D0">
            <w:pPr>
              <w:spacing w:before="60" w:after="60"/>
            </w:pPr>
            <w:r w:rsidRPr="00CF791A">
              <w:t>5</w:t>
            </w:r>
          </w:p>
        </w:tc>
        <w:tc>
          <w:tcPr>
            <w:tcW w:w="4258" w:type="dxa"/>
          </w:tcPr>
          <w:p w14:paraId="2B4A871A" w14:textId="77777777" w:rsidR="00E243D0" w:rsidRPr="00CF791A" w:rsidRDefault="00E243D0">
            <w:pPr>
              <w:spacing w:before="60" w:after="60"/>
            </w:pPr>
            <w:r w:rsidRPr="00CF791A">
              <w:t>Mitigation of radiological consequences of significant releases of radioactive material.</w:t>
            </w:r>
          </w:p>
        </w:tc>
        <w:tc>
          <w:tcPr>
            <w:tcW w:w="3763" w:type="dxa"/>
          </w:tcPr>
          <w:p w14:paraId="652DC7BC" w14:textId="77777777" w:rsidR="00E243D0" w:rsidRPr="00CF791A" w:rsidRDefault="00E243D0">
            <w:pPr>
              <w:spacing w:before="60" w:after="60"/>
            </w:pPr>
            <w:r w:rsidRPr="00CF791A">
              <w:t>Emergency control and on- and off-site emergency response.</w:t>
            </w:r>
          </w:p>
        </w:tc>
      </w:tr>
    </w:tbl>
    <w:p w14:paraId="280D32EA" w14:textId="3788D7E0" w:rsidR="0089018A" w:rsidRPr="00CF791A" w:rsidRDefault="0089018A" w:rsidP="000C5554">
      <w:pPr>
        <w:pStyle w:val="Caption"/>
        <w:spacing w:before="120" w:after="240"/>
      </w:pPr>
      <w:r w:rsidRPr="00CF791A">
        <w:t xml:space="preserve">Table </w:t>
      </w:r>
      <w:fldSimple w:instr=" SEQ Table \* ARABIC ">
        <w:r>
          <w:rPr>
            <w:noProof/>
          </w:rPr>
          <w:t>3</w:t>
        </w:r>
      </w:fldSimple>
      <w:r w:rsidRPr="00CF791A">
        <w:t xml:space="preserve"> – Objective of each level of protection and the means of achieving them</w:t>
      </w:r>
    </w:p>
    <w:p w14:paraId="4C239022" w14:textId="71946FBE" w:rsidR="00E243D0" w:rsidRPr="00AA159A" w:rsidRDefault="00E243D0" w:rsidP="009B7D05">
      <w:pPr>
        <w:pStyle w:val="SAPHeading"/>
      </w:pPr>
      <w:r w:rsidRPr="00AA159A">
        <w:t>KP.</w:t>
      </w:r>
      <w:r w:rsidR="00AC3892">
        <w:t>5</w:t>
      </w:r>
      <w:r w:rsidRPr="00AA159A">
        <w:t xml:space="preserve"> – Inherent safety</w:t>
      </w:r>
    </w:p>
    <w:p w14:paraId="0B5D38C1" w14:textId="24CE431B" w:rsidR="00E243D0" w:rsidRPr="00AA159A" w:rsidRDefault="00E243D0" w:rsidP="006C4609">
      <w:pPr>
        <w:pStyle w:val="SAPBodyText"/>
      </w:pPr>
      <w:r w:rsidRPr="00AA159A">
        <w:t xml:space="preserve">A nuclear facility should aim for </w:t>
      </w:r>
      <w:r w:rsidR="00DD38BF" w:rsidRPr="00AA159A">
        <w:t xml:space="preserve">an </w:t>
      </w:r>
      <w:r w:rsidRPr="00AA159A">
        <w:t>inherently safe design, consistent with the operational purposes of the facility.</w:t>
      </w:r>
    </w:p>
    <w:p w14:paraId="1256F3C5" w14:textId="17CE77FB" w:rsidR="00E243D0" w:rsidRPr="00CF791A" w:rsidRDefault="00E243D0" w:rsidP="00E243D0">
      <w:pPr>
        <w:pStyle w:val="Paragraph"/>
      </w:pPr>
      <w:r w:rsidRPr="00CF791A">
        <w:t>An ‘inherently safe’ design is one that eliminates hazards rather than controlling them, or it prevents a harm occurring by using an approach, design or arrangement which ensures that the harm cannot happen. Inherent safety is not the same as ‘passive safety’</w:t>
      </w:r>
      <w:r w:rsidR="00333750" w:rsidRPr="00CF791A">
        <w:t xml:space="preserve"> </w:t>
      </w:r>
      <w:r w:rsidR="007A50AA">
        <w:t>(refer to</w:t>
      </w:r>
      <w:r w:rsidR="00333750" w:rsidRPr="00CF791A">
        <w:t xml:space="preserve"> KP.6)</w:t>
      </w:r>
      <w:r w:rsidRPr="00CF791A">
        <w:t>. Where inherently safe design is not achievable, the design should be fault tolerant.</w:t>
      </w:r>
    </w:p>
    <w:p w14:paraId="2CD29420" w14:textId="77777777" w:rsidR="00E243D0" w:rsidRPr="00CF791A" w:rsidRDefault="00E243D0" w:rsidP="00E243D0">
      <w:pPr>
        <w:pStyle w:val="Paragraph"/>
      </w:pPr>
      <w:r w:rsidRPr="00CF791A">
        <w:t xml:space="preserve">Achieving an inherently safe design can be assisted by: </w:t>
      </w:r>
    </w:p>
    <w:p w14:paraId="03446608" w14:textId="77777777" w:rsidR="007A38AF" w:rsidRDefault="00E243D0" w:rsidP="00134698">
      <w:pPr>
        <w:pStyle w:val="NumList2"/>
        <w:numPr>
          <w:ilvl w:val="1"/>
          <w:numId w:val="17"/>
        </w:numPr>
      </w:pPr>
      <w:r w:rsidRPr="00AB615F">
        <w:t>reducing the inventory of potentially harmful substances to the minimum necessary to achieve the required function of the facility;</w:t>
      </w:r>
      <w:r w:rsidR="00AB615F">
        <w:t xml:space="preserve"> </w:t>
      </w:r>
    </w:p>
    <w:p w14:paraId="3D5893A6" w14:textId="5F2400ED" w:rsidR="00F36B31" w:rsidRDefault="00E243D0" w:rsidP="00134698">
      <w:pPr>
        <w:pStyle w:val="NumList2"/>
        <w:numPr>
          <w:ilvl w:val="1"/>
          <w:numId w:val="17"/>
        </w:numPr>
      </w:pPr>
      <w:r w:rsidRPr="00AB615F">
        <w:t xml:space="preserve">controlling the physical state </w:t>
      </w:r>
      <w:r w:rsidR="005F26EF" w:rsidRPr="00AB615F">
        <w:t xml:space="preserve">or chemical state </w:t>
      </w:r>
      <w:r w:rsidRPr="00AB615F">
        <w:t>of harmful substances to remove or minimise their potential effects; and</w:t>
      </w:r>
      <w:r w:rsidR="00AB615F">
        <w:t xml:space="preserve"> </w:t>
      </w:r>
    </w:p>
    <w:p w14:paraId="5662BC61" w14:textId="77777777" w:rsidR="00514CF9" w:rsidRDefault="00E243D0" w:rsidP="00134698">
      <w:pPr>
        <w:pStyle w:val="NumList2"/>
        <w:numPr>
          <w:ilvl w:val="1"/>
          <w:numId w:val="17"/>
        </w:numPr>
      </w:pPr>
      <w:r w:rsidRPr="00AB615F">
        <w:lastRenderedPageBreak/>
        <w:t>minimising the energy potential within the process consistent with the required purposes of the facility, and of its various components.</w:t>
      </w:r>
      <w:r w:rsidR="0026557E" w:rsidRPr="00AB615F">
        <w:t xml:space="preserve"> </w:t>
      </w:r>
    </w:p>
    <w:p w14:paraId="6304D6CD" w14:textId="51E4ECF1" w:rsidR="00D06209" w:rsidRPr="00AB615F" w:rsidRDefault="00E243D0" w:rsidP="00D036DD">
      <w:pPr>
        <w:pStyle w:val="Paragraph"/>
      </w:pPr>
      <w:r w:rsidRPr="00AB615F">
        <w:t>Application of this principle should minimise the need for, and reliance on, safety systems and the challenges placed on them.</w:t>
      </w:r>
    </w:p>
    <w:p w14:paraId="7A76799C" w14:textId="668FB1C6" w:rsidR="00D06209" w:rsidRDefault="00E243D0" w:rsidP="009B7D05">
      <w:pPr>
        <w:pStyle w:val="SAPHeading"/>
      </w:pPr>
      <w:r w:rsidRPr="00AA159A">
        <w:t>KP.</w:t>
      </w:r>
      <w:r w:rsidR="00AC3892">
        <w:t>6</w:t>
      </w:r>
      <w:r w:rsidRPr="00AA159A">
        <w:t xml:space="preserve"> – Fault tolerance</w:t>
      </w:r>
    </w:p>
    <w:p w14:paraId="77531654" w14:textId="6E096BB9" w:rsidR="00E243D0" w:rsidRPr="00AA159A" w:rsidRDefault="00E243D0" w:rsidP="006C4609">
      <w:pPr>
        <w:pStyle w:val="SAPBodyText"/>
      </w:pPr>
      <w:r w:rsidRPr="00AA159A">
        <w:t>The sensitivity of the facility to potential faults should be minimised.</w:t>
      </w:r>
    </w:p>
    <w:p w14:paraId="59A11AB3" w14:textId="4DCD390F" w:rsidR="00E243D0" w:rsidRPr="00CF791A" w:rsidRDefault="00E243D0" w:rsidP="00E243D0">
      <w:pPr>
        <w:pStyle w:val="Paragraph"/>
      </w:pPr>
      <w:r w:rsidRPr="00CF791A">
        <w:t xml:space="preserve">Any failure, process perturbation or mal-operation in a facility should produce a change in plant state towards a safer condition, or produce no significant response. </w:t>
      </w:r>
      <w:r w:rsidR="00386726">
        <w:br/>
      </w:r>
      <w:r w:rsidRPr="00CF791A">
        <w:t>If the change is, however, to a less safe condition, then systems should have long time constants so that key parameters deviate only slowly from their desired values.</w:t>
      </w:r>
    </w:p>
    <w:p w14:paraId="148A252A" w14:textId="31A3EC8C" w:rsidR="00E243D0" w:rsidRPr="00AA159A" w:rsidRDefault="00E243D0" w:rsidP="009B7D05">
      <w:pPr>
        <w:pStyle w:val="SAPHeading"/>
      </w:pPr>
      <w:r w:rsidRPr="00AA159A">
        <w:t>KP.</w:t>
      </w:r>
      <w:r w:rsidR="00AC3892">
        <w:t>7</w:t>
      </w:r>
      <w:r w:rsidRPr="00AA159A">
        <w:t xml:space="preserve"> – Hierarchy of safety characteristics</w:t>
      </w:r>
    </w:p>
    <w:p w14:paraId="12C07176" w14:textId="77777777" w:rsidR="00E243D0" w:rsidRPr="00AA159A" w:rsidRDefault="00E243D0" w:rsidP="006C4609">
      <w:pPr>
        <w:pStyle w:val="SAPBodyText"/>
      </w:pPr>
      <w:r w:rsidRPr="00AA159A">
        <w:t>Safety should be secured by safety measures incorporating passive safety aspects in preference to active, and by active safety measures in preference to administrative safety measures.</w:t>
      </w:r>
    </w:p>
    <w:p w14:paraId="1DF057E7" w14:textId="03D3E05D" w:rsidR="00A26559" w:rsidRPr="00CF791A" w:rsidRDefault="00E243D0" w:rsidP="00E243D0">
      <w:pPr>
        <w:pStyle w:val="Paragraph"/>
      </w:pPr>
      <w:r w:rsidRPr="00CF791A">
        <w:t xml:space="preserve">Safety measures across all levels of defence in depth may be passive, active or manual, to varying extents. There are many different aspects of passive safety, such as the absence of </w:t>
      </w:r>
      <w:r w:rsidR="00A0171F" w:rsidRPr="00CF791A">
        <w:t xml:space="preserve">the need of </w:t>
      </w:r>
      <w:r w:rsidR="00611DC3" w:rsidRPr="00CF791A">
        <w:t xml:space="preserve">inputs for </w:t>
      </w:r>
      <w:r w:rsidR="008E5595" w:rsidRPr="00CF791A">
        <w:t xml:space="preserve">actuation, </w:t>
      </w:r>
      <w:r w:rsidRPr="00CF791A">
        <w:t xml:space="preserve">moving mechanical parts, working fluids, or </w:t>
      </w:r>
      <w:r w:rsidR="00BD3E9A" w:rsidRPr="00CF791A">
        <w:t xml:space="preserve">external </w:t>
      </w:r>
      <w:r w:rsidRPr="00CF791A">
        <w:t>power requirement</w:t>
      </w:r>
      <w:r w:rsidR="00945BC3" w:rsidRPr="00CF791A">
        <w:t>s</w:t>
      </w:r>
      <w:r w:rsidRPr="00CF791A">
        <w:t xml:space="preserve">. Combinations of these passive safety aspects will likely vary significantly between safety measures, from fully passive safety measures (for example, static radiation shielding structures), through to actively initiated passive safety measures. </w:t>
      </w:r>
    </w:p>
    <w:p w14:paraId="130196F9" w14:textId="696E86EE" w:rsidR="00E243D0" w:rsidRPr="00CF791A" w:rsidRDefault="00E243D0" w:rsidP="00C87702">
      <w:pPr>
        <w:pStyle w:val="Paragraph"/>
      </w:pPr>
      <w:r w:rsidRPr="00CF791A">
        <w:t>In general, safety measures with many passive safety aspects are expected to be more reliable, and hence preferred to, those with fewer passive safety aspects. Likewise, automatically initiated safety measures are generally expected to be more reliable than manually initiated safety measures, or administrative measures.</w:t>
      </w:r>
      <w:r w:rsidR="00C87702" w:rsidRPr="00CF791A">
        <w:t xml:space="preserve"> </w:t>
      </w:r>
      <w:r w:rsidR="00386726">
        <w:br/>
      </w:r>
      <w:r w:rsidRPr="00CF791A">
        <w:t xml:space="preserve">As such, safety functions should be preferentially delivered by: </w:t>
      </w:r>
    </w:p>
    <w:p w14:paraId="3F097EF0" w14:textId="1833F10D" w:rsidR="00E243D0" w:rsidRPr="00AA159A" w:rsidRDefault="00E243D0" w:rsidP="00134698">
      <w:pPr>
        <w:pStyle w:val="NumList2"/>
        <w:numPr>
          <w:ilvl w:val="1"/>
          <w:numId w:val="18"/>
        </w:numPr>
      </w:pPr>
      <w:r w:rsidRPr="00AA159A">
        <w:t>passive safety measures;</w:t>
      </w:r>
    </w:p>
    <w:p w14:paraId="6A5784AB" w14:textId="77777777" w:rsidR="00E243D0" w:rsidRPr="00AA159A" w:rsidRDefault="00E243D0" w:rsidP="00134698">
      <w:pPr>
        <w:pStyle w:val="NumList2"/>
        <w:numPr>
          <w:ilvl w:val="1"/>
          <w:numId w:val="18"/>
        </w:numPr>
      </w:pPr>
      <w:r w:rsidRPr="00AA159A">
        <w:t>automatically initiated active engineered safety measures;</w:t>
      </w:r>
    </w:p>
    <w:p w14:paraId="3A8978E6" w14:textId="72530475" w:rsidR="00E243D0" w:rsidRPr="00AA159A" w:rsidRDefault="00E243D0" w:rsidP="00134698">
      <w:pPr>
        <w:pStyle w:val="NumList2"/>
        <w:numPr>
          <w:ilvl w:val="1"/>
          <w:numId w:val="18"/>
        </w:numPr>
      </w:pPr>
      <w:r w:rsidRPr="00AA159A">
        <w:t>active engineered safety measures that need to be manually brought into service;</w:t>
      </w:r>
    </w:p>
    <w:p w14:paraId="46EFF528" w14:textId="77777777" w:rsidR="00E243D0" w:rsidRPr="00AA159A" w:rsidRDefault="00E243D0" w:rsidP="00134698">
      <w:pPr>
        <w:pStyle w:val="NumList2"/>
        <w:numPr>
          <w:ilvl w:val="1"/>
          <w:numId w:val="18"/>
        </w:numPr>
      </w:pPr>
      <w:r w:rsidRPr="00AA159A">
        <w:t>administrative safety measures.</w:t>
      </w:r>
    </w:p>
    <w:p w14:paraId="7E9CE50E" w14:textId="77777777" w:rsidR="00E243D0" w:rsidRPr="00CF791A" w:rsidRDefault="00E243D0" w:rsidP="00E243D0">
      <w:pPr>
        <w:pStyle w:val="Paragraph"/>
        <w:ind w:left="720"/>
      </w:pPr>
      <w:r w:rsidRPr="00CF791A">
        <w:t>Note: The hierarchy above should not be interpreted to mean that the provision of an item towards the top of the list precludes provision of other items where they can contribute to defence in depth.</w:t>
      </w:r>
    </w:p>
    <w:p w14:paraId="640C4F02" w14:textId="78B674BF" w:rsidR="00E243D0" w:rsidRPr="00AA159A" w:rsidRDefault="002E0D8C" w:rsidP="009B7D05">
      <w:pPr>
        <w:pStyle w:val="SAPHeading"/>
      </w:pPr>
      <w:r w:rsidRPr="00AA159A">
        <w:lastRenderedPageBreak/>
        <w:t>KP</w:t>
      </w:r>
      <w:r w:rsidR="00E243D0" w:rsidRPr="00AA159A">
        <w:t>.</w:t>
      </w:r>
      <w:r w:rsidR="00EC0704">
        <w:t>8</w:t>
      </w:r>
      <w:r w:rsidR="00E243D0" w:rsidRPr="00AA159A">
        <w:t xml:space="preserve"> – Radioactive Inventory </w:t>
      </w:r>
    </w:p>
    <w:p w14:paraId="473FE28F" w14:textId="77777777" w:rsidR="00E243D0" w:rsidRPr="00AA159A" w:rsidRDefault="00E243D0" w:rsidP="006C4609">
      <w:pPr>
        <w:pStyle w:val="SAPBodyText"/>
      </w:pPr>
      <w:r w:rsidRPr="00AA159A">
        <w:t>The types, quantities, physical and chemical forms of radionuclides present in a nuclear facility that have the potential to give rise to radiation exposure or release, radioactive waste, or discharges should be identified and assessed.</w:t>
      </w:r>
    </w:p>
    <w:p w14:paraId="78E351D3" w14:textId="60BE3155" w:rsidR="00E243D0" w:rsidRPr="00CF791A" w:rsidRDefault="00E243D0" w:rsidP="00E243D0">
      <w:pPr>
        <w:pStyle w:val="Paragraph"/>
      </w:pPr>
      <w:r w:rsidRPr="00CF791A">
        <w:t xml:space="preserve">Understanding the radioactive inventory of a plant or facility is a key input to facility design and analysis. It will influence aspects such as shielding requirements, design of safety measures, waste arisings and accident response. </w:t>
      </w:r>
    </w:p>
    <w:p w14:paraId="43C70F9A" w14:textId="7C435D26" w:rsidR="00E243D0" w:rsidRPr="00CF791A" w:rsidRDefault="00B216C2" w:rsidP="00E243D0">
      <w:pPr>
        <w:pStyle w:val="Paragraph"/>
      </w:pPr>
      <w:r w:rsidRPr="00CF791A">
        <w:t xml:space="preserve">Radioactive inventory </w:t>
      </w:r>
      <w:r w:rsidR="00E243D0" w:rsidRPr="00CF791A">
        <w:t xml:space="preserve">should therefore be defined across all systems containing radioactivity for normal operations and fault conditions. The approach to </w:t>
      </w:r>
      <w:r w:rsidR="00310C52" w:rsidRPr="00CF791A">
        <w:t xml:space="preserve">understanding </w:t>
      </w:r>
      <w:r w:rsidR="000C1F7A" w:rsidRPr="00CF791A">
        <w:t xml:space="preserve">radioactive inventory </w:t>
      </w:r>
      <w:r w:rsidR="00E243D0" w:rsidRPr="00CF791A">
        <w:t xml:space="preserve">should be appropriately justified. </w:t>
      </w:r>
      <w:r w:rsidR="00386726">
        <w:br/>
      </w:r>
      <w:r w:rsidR="00E243D0" w:rsidRPr="00CF791A">
        <w:t xml:space="preserve">Where operating experience is applied in producing </w:t>
      </w:r>
      <w:r w:rsidR="00310C52" w:rsidRPr="00CF791A">
        <w:t>radioactive inventory data</w:t>
      </w:r>
      <w:r w:rsidR="00E243D0" w:rsidRPr="00CF791A">
        <w:t>, this should be demonstrated to be relevant to the plant.</w:t>
      </w:r>
      <w:r w:rsidR="00D417C4" w:rsidRPr="00CF791A">
        <w:t xml:space="preserve"> </w:t>
      </w:r>
    </w:p>
    <w:p w14:paraId="19F0284A" w14:textId="70F92951" w:rsidR="00591BC2" w:rsidRPr="00CF791A" w:rsidRDefault="00591BC2" w:rsidP="00E243D0">
      <w:pPr>
        <w:pStyle w:val="Paragraph"/>
      </w:pPr>
      <w:r w:rsidRPr="00CF791A">
        <w:t xml:space="preserve">Radioactive inventory data is critical for producing source terms for </w:t>
      </w:r>
      <w:r w:rsidR="000F0176" w:rsidRPr="00CF791A">
        <w:t xml:space="preserve">radiation exposure or release, radioactive waste, </w:t>
      </w:r>
      <w:r w:rsidR="0081736D" w:rsidRPr="00CF791A">
        <w:t xml:space="preserve">decommissioning </w:t>
      </w:r>
      <w:r w:rsidR="000F0176" w:rsidRPr="00CF791A">
        <w:t>or discharge</w:t>
      </w:r>
      <w:r w:rsidR="00957975" w:rsidRPr="00CF791A">
        <w:t xml:space="preserve"> scenarios</w:t>
      </w:r>
      <w:r w:rsidR="00AD142C" w:rsidRPr="00CF791A">
        <w:t>.</w:t>
      </w:r>
    </w:p>
    <w:p w14:paraId="46AE5BD7" w14:textId="77777777" w:rsidR="00E243D0" w:rsidRPr="00CF791A" w:rsidRDefault="00E243D0" w:rsidP="00E243D0"/>
    <w:p w14:paraId="2A06193B" w14:textId="77777777" w:rsidR="00E243D0" w:rsidRPr="00CF791A" w:rsidRDefault="00E243D0" w:rsidP="00E243D0">
      <w:pPr>
        <w:spacing w:after="0" w:line="240" w:lineRule="auto"/>
        <w:rPr>
          <w:color w:val="22413A"/>
          <w:sz w:val="48"/>
        </w:rPr>
      </w:pPr>
      <w:r w:rsidRPr="00CF791A">
        <w:br w:type="page"/>
      </w:r>
    </w:p>
    <w:p w14:paraId="4702A2E8" w14:textId="77777777" w:rsidR="00E243D0" w:rsidRPr="00AA159A" w:rsidRDefault="00E243D0" w:rsidP="005364DE">
      <w:pPr>
        <w:pStyle w:val="Heading1"/>
      </w:pPr>
      <w:bookmarkStart w:id="124" w:name="_Toc219206143"/>
      <w:bookmarkStart w:id="125" w:name="_Toc219748170"/>
      <w:bookmarkStart w:id="126" w:name="_Toc235711320"/>
      <w:r w:rsidRPr="00AA159A">
        <w:lastRenderedPageBreak/>
        <w:t>Leadership</w:t>
      </w:r>
      <w:r w:rsidRPr="00AA159A" w:rsidDel="00DB6036">
        <w:t xml:space="preserve"> </w:t>
      </w:r>
      <w:r w:rsidRPr="00AA159A">
        <w:t>and management for safety</w:t>
      </w:r>
      <w:bookmarkEnd w:id="124"/>
      <w:bookmarkEnd w:id="125"/>
      <w:bookmarkEnd w:id="126"/>
    </w:p>
    <w:p w14:paraId="4B307A25" w14:textId="77777777" w:rsidR="00E243D0" w:rsidRPr="00AA159A" w:rsidRDefault="00E243D0" w:rsidP="009B7D05">
      <w:pPr>
        <w:pStyle w:val="SAPHeading"/>
      </w:pPr>
      <w:r w:rsidRPr="00AA159A">
        <w:t>MS.1 – Leadership</w:t>
      </w:r>
    </w:p>
    <w:p w14:paraId="1DCAAB72" w14:textId="77777777" w:rsidR="00E243D0" w:rsidRPr="00AA159A" w:rsidRDefault="00E243D0" w:rsidP="006C4609">
      <w:pPr>
        <w:pStyle w:val="SAPBodyText"/>
        <w:rPr>
          <w:u w:val="single"/>
        </w:rPr>
      </w:pPr>
      <w:r w:rsidRPr="00AA159A">
        <w:t>Leaders at all levels should focus the organisation on achieving and sustaining high standards of safety, enabled by effective governance and a positive safety culture.</w:t>
      </w:r>
    </w:p>
    <w:p w14:paraId="031FEB44" w14:textId="5A38FE81" w:rsidR="00E243D0" w:rsidRPr="00CF791A" w:rsidRDefault="00E243D0" w:rsidP="00E243D0">
      <w:pPr>
        <w:pStyle w:val="Paragraph"/>
      </w:pPr>
      <w:r w:rsidRPr="00CF791A">
        <w:t xml:space="preserve">Leadership is key to achieving appropriate levels of safety and establishing and sustaining a positive safety culture. </w:t>
      </w:r>
      <w:r w:rsidR="00E105EA">
        <w:t>T</w:t>
      </w:r>
      <w:r w:rsidRPr="00CF791A">
        <w:t xml:space="preserve">he behaviour and activities of directors, managers and leaders at all levels should include: </w:t>
      </w:r>
    </w:p>
    <w:p w14:paraId="7A9141AD" w14:textId="77777777" w:rsidR="00E243D0" w:rsidRPr="00AA159A" w:rsidRDefault="00E243D0" w:rsidP="00134698">
      <w:pPr>
        <w:pStyle w:val="NumList2"/>
        <w:numPr>
          <w:ilvl w:val="1"/>
          <w:numId w:val="19"/>
        </w:numPr>
      </w:pPr>
      <w:r w:rsidRPr="00AA159A">
        <w:t xml:space="preserve">establishing the strategies, policies, plans, goals and standards for safety and ensuring that they are delivered throughout the organisation; </w:t>
      </w:r>
    </w:p>
    <w:p w14:paraId="31918FF9" w14:textId="77777777" w:rsidR="00E243D0" w:rsidRPr="00AA159A" w:rsidRDefault="00E243D0" w:rsidP="00134698">
      <w:pPr>
        <w:pStyle w:val="NumList2"/>
        <w:numPr>
          <w:ilvl w:val="1"/>
          <w:numId w:val="19"/>
        </w:numPr>
      </w:pPr>
      <w:r w:rsidRPr="00AA159A">
        <w:t xml:space="preserve">providing direction, governance and oversight to establish and foster a positive safety culture that underpins safe operation; </w:t>
      </w:r>
    </w:p>
    <w:p w14:paraId="384D1342" w14:textId="77777777" w:rsidR="00E243D0" w:rsidRPr="00AA159A" w:rsidRDefault="00E243D0" w:rsidP="00134698">
      <w:pPr>
        <w:pStyle w:val="NumList2"/>
        <w:numPr>
          <w:ilvl w:val="1"/>
          <w:numId w:val="19"/>
        </w:numPr>
      </w:pPr>
      <w:r w:rsidRPr="00AA159A">
        <w:t xml:space="preserve">demonstrating a visible commitment to safety through their activities; </w:t>
      </w:r>
    </w:p>
    <w:p w14:paraId="7FE88F9B" w14:textId="77777777" w:rsidR="00E243D0" w:rsidRPr="00AA159A" w:rsidRDefault="00E243D0" w:rsidP="00134698">
      <w:pPr>
        <w:pStyle w:val="NumList2"/>
        <w:numPr>
          <w:ilvl w:val="1"/>
          <w:numId w:val="19"/>
        </w:numPr>
      </w:pPr>
      <w:r w:rsidRPr="00AA159A">
        <w:t>recognising and resolving conflict between safety and other goals (for example</w:t>
      </w:r>
      <w:r w:rsidRPr="00AA159A" w:rsidDel="00944E10">
        <w:t xml:space="preserve"> </w:t>
      </w:r>
      <w:r w:rsidRPr="00AA159A">
        <w:t>production and commercial pressures);</w:t>
      </w:r>
    </w:p>
    <w:p w14:paraId="17DA3C33" w14:textId="77777777" w:rsidR="00E243D0" w:rsidRPr="00AA159A" w:rsidRDefault="00E243D0" w:rsidP="00134698">
      <w:pPr>
        <w:pStyle w:val="NumList2"/>
        <w:numPr>
          <w:ilvl w:val="1"/>
          <w:numId w:val="19"/>
        </w:numPr>
      </w:pPr>
      <w:r w:rsidRPr="00AA159A">
        <w:t>ensuring that management of safety is participative, actively drawing on the knowledge and experience of all staff; and</w:t>
      </w:r>
    </w:p>
    <w:p w14:paraId="2A4432FE" w14:textId="77777777" w:rsidR="00E243D0" w:rsidRPr="00AA159A" w:rsidRDefault="00E243D0" w:rsidP="00134698">
      <w:pPr>
        <w:pStyle w:val="NumList2"/>
        <w:numPr>
          <w:ilvl w:val="1"/>
          <w:numId w:val="19"/>
        </w:numPr>
      </w:pPr>
      <w:r w:rsidRPr="00AA159A">
        <w:t>ensuring that any reward systems promote the identification and management of risk, encourage safe behaviour and discourage unsafe behaviours or complacency.</w:t>
      </w:r>
    </w:p>
    <w:p w14:paraId="1564F22C" w14:textId="77777777" w:rsidR="00E243D0" w:rsidRPr="00CF791A" w:rsidRDefault="00E243D0" w:rsidP="00E243D0">
      <w:pPr>
        <w:pStyle w:val="Paragraph"/>
      </w:pPr>
      <w:r w:rsidRPr="00CF791A">
        <w:t>The value of safety as an integral part of good business and management practice should be reinforced in interactions between directors, managers, leaders and staff throughout the organisation and its supply chain, as appropriate, to establish a common purpose and collective social responsibility.</w:t>
      </w:r>
    </w:p>
    <w:p w14:paraId="5CAB48CA" w14:textId="77777777" w:rsidR="00E243D0" w:rsidRPr="000C5554" w:rsidRDefault="00E243D0" w:rsidP="000C5554">
      <w:pPr>
        <w:pStyle w:val="Paragraph"/>
        <w:rPr>
          <w:b/>
          <w:bCs w:val="0"/>
        </w:rPr>
      </w:pPr>
      <w:r w:rsidRPr="000C5554">
        <w:rPr>
          <w:b/>
          <w:bCs w:val="0"/>
        </w:rPr>
        <w:t xml:space="preserve">Governance </w:t>
      </w:r>
    </w:p>
    <w:p w14:paraId="3214602D" w14:textId="77777777" w:rsidR="00E243D0" w:rsidRPr="00CF791A" w:rsidRDefault="00E243D0" w:rsidP="000C5554">
      <w:pPr>
        <w:pStyle w:val="Paragraph"/>
      </w:pPr>
      <w:r w:rsidRPr="00CF791A">
        <w:t>The organisation’s board should provide suitable direction and control to ensure the safe and secure operation of nuclear facilities. This requires a dedicated focus from the highest levels of leadership to establish a framework that actively manages, maintains, and continuously improves safety performance. This includes setting and modelling the behaviours and values of the organisation, providing proactive oversight and assurance, instilling a culture of rigorous challenge, and practising informed and prudent decision-making.</w:t>
      </w:r>
    </w:p>
    <w:p w14:paraId="52BA5C50" w14:textId="578883D6" w:rsidR="00E243D0" w:rsidRPr="00CF791A" w:rsidRDefault="00E243D0" w:rsidP="00E243D0">
      <w:pPr>
        <w:pStyle w:val="Paragraph"/>
      </w:pPr>
      <w:r w:rsidRPr="00CF791A">
        <w:t xml:space="preserve">Oversight of safety performance, led by the board, should provide assurance at all levels, and throughout all stages of the life of the undertaking, that safety is being </w:t>
      </w:r>
      <w:r w:rsidR="00C86617">
        <w:t xml:space="preserve">adequately </w:t>
      </w:r>
      <w:r w:rsidRPr="00CF791A">
        <w:t xml:space="preserve">maintained. It should utilise diverse sources of information, including </w:t>
      </w:r>
      <w:r w:rsidRPr="00CF791A">
        <w:lastRenderedPageBreak/>
        <w:t>feedback from independent challenge and reviews, to provide confidence (by means of governance, monitoring and auditing processes) that strategies, policies, plans, goals, standards, systems, and procedures are being implemented through the application of an effective management system.</w:t>
      </w:r>
    </w:p>
    <w:p w14:paraId="52744B38" w14:textId="2B3694F1" w:rsidR="00E243D0" w:rsidRPr="00CF791A" w:rsidRDefault="00E243D0" w:rsidP="00E243D0">
      <w:pPr>
        <w:pStyle w:val="Paragraph"/>
      </w:pPr>
      <w:r w:rsidRPr="00CF791A">
        <w:t>Decision making processes should ensure that safety is given a high priority and enable active challenge. The processes should ensure that available data and opinions are collected and considered, respecting, and encouraging the contribution of those with divergent views. Safety decisions should not be delayed unnecessarily (for example, for commercial reasons) and personnel should be duly empowered to take timely decisions in the interests of safety. Decisions affecting safety should consider the quality and sufficiency of information and the significance of uncertainties and should include the questioning of assumptions.</w:t>
      </w:r>
    </w:p>
    <w:p w14:paraId="52767B3C" w14:textId="77777777" w:rsidR="00E243D0" w:rsidRPr="000C5554" w:rsidRDefault="00E243D0" w:rsidP="000C5554">
      <w:pPr>
        <w:pStyle w:val="Paragraph"/>
        <w:rPr>
          <w:b/>
          <w:bCs w:val="0"/>
        </w:rPr>
      </w:pPr>
      <w:r w:rsidRPr="000C5554">
        <w:rPr>
          <w:b/>
          <w:bCs w:val="0"/>
        </w:rPr>
        <w:t xml:space="preserve">Safety culture </w:t>
      </w:r>
    </w:p>
    <w:p w14:paraId="2662891C" w14:textId="2BCCA1E9" w:rsidR="00E243D0" w:rsidRPr="00CF791A" w:rsidRDefault="00E243D0" w:rsidP="00E243D0">
      <w:pPr>
        <w:pStyle w:val="Paragraph"/>
      </w:pPr>
      <w:r w:rsidRPr="00CF791A">
        <w:t xml:space="preserve">The organisation’s leadership is responsible for cultivating a positive safety culture that fosters trust, collaboration, consultation and open communication. </w:t>
      </w:r>
      <w:r w:rsidR="00386726">
        <w:br/>
      </w:r>
      <w:r w:rsidRPr="00CF791A">
        <w:t>Leaders achieve this through their own consistent behaviours and establishing a management system founded on fairness, respect and transparency.</w:t>
      </w:r>
    </w:p>
    <w:p w14:paraId="2D32C89F" w14:textId="77777777" w:rsidR="00E243D0" w:rsidRPr="00CF791A" w:rsidRDefault="00E243D0" w:rsidP="00E243D0">
      <w:pPr>
        <w:pStyle w:val="Paragraph"/>
      </w:pPr>
      <w:r w:rsidRPr="00CF791A">
        <w:t>To build a positive safety culture, everyone in the organisation and its supply chain, as appropriate, should reinforce safety as a core business value. This approach establishes a common purpose and a sense of collective social responsibility. Actively consulting and involving all staff in the development, maintenance and improvement of safety secures the engagement and cooperation needed to achieve safety goals. The result is a unified team, at every level, in which everyone understands their accountability to colleagues and external stakeholders for upholding the highest safety standards.</w:t>
      </w:r>
    </w:p>
    <w:p w14:paraId="10474040" w14:textId="7270150A" w:rsidR="00E243D0" w:rsidRPr="00AA159A" w:rsidRDefault="00E243D0" w:rsidP="009B7D05">
      <w:pPr>
        <w:pStyle w:val="SAPHeading"/>
      </w:pPr>
      <w:r w:rsidRPr="00AA159A">
        <w:t xml:space="preserve">MS.2 – Management </w:t>
      </w:r>
      <w:r w:rsidR="00832D76" w:rsidRPr="00AA159A">
        <w:t>system</w:t>
      </w:r>
    </w:p>
    <w:p w14:paraId="18788B7A" w14:textId="6665BB30" w:rsidR="00E243D0" w:rsidRPr="00AA159A" w:rsidRDefault="00E243D0" w:rsidP="006C4609">
      <w:pPr>
        <w:pStyle w:val="SAPBodyText"/>
      </w:pPr>
      <w:r w:rsidRPr="00AA159A">
        <w:t xml:space="preserve">Organisations should establish and sustain an effective management system. </w:t>
      </w:r>
      <w:r w:rsidR="00386726">
        <w:br/>
      </w:r>
      <w:r w:rsidRPr="00AA159A">
        <w:t>It should incorporate quality management arrangements with adequate focus on quality assurance</w:t>
      </w:r>
      <w:r w:rsidR="38061B55" w:rsidRPr="00AA159A">
        <w:t xml:space="preserve"> and </w:t>
      </w:r>
      <w:r w:rsidRPr="00AA159A">
        <w:t>control</w:t>
      </w:r>
      <w:r w:rsidR="4EC62F20" w:rsidRPr="00AA159A">
        <w:t>.</w:t>
      </w:r>
    </w:p>
    <w:p w14:paraId="638B91F2" w14:textId="61976C13" w:rsidR="00E243D0" w:rsidRPr="00CF791A" w:rsidRDefault="000C2C29" w:rsidP="00E243D0">
      <w:pPr>
        <w:pStyle w:val="Paragraph"/>
      </w:pPr>
      <w:r>
        <w:t>Dutyholders</w:t>
      </w:r>
      <w:r w:rsidR="00C43DEF" w:rsidRPr="00CF791A">
        <w:t xml:space="preserve"> sh</w:t>
      </w:r>
      <w:r w:rsidR="5FFFDCE7" w:rsidRPr="00CF791A">
        <w:t>ould</w:t>
      </w:r>
      <w:r w:rsidR="00C43DEF" w:rsidRPr="00CF791A">
        <w:t xml:space="preserve"> establish and sustain a management system, based on national or international standards, </w:t>
      </w:r>
      <w:r w:rsidR="00E243D0" w:rsidRPr="00CF791A">
        <w:t xml:space="preserve">that achieves the goals of the organisation and gives due priority to safety. The management system should include </w:t>
      </w:r>
      <w:r w:rsidR="22192C8C" w:rsidRPr="00CF791A">
        <w:t xml:space="preserve">effective processes and </w:t>
      </w:r>
      <w:r w:rsidR="00E243D0" w:rsidRPr="00CF791A">
        <w:t xml:space="preserve">quality management arrangements in respect </w:t>
      </w:r>
      <w:r w:rsidR="0092497A">
        <w:t>to</w:t>
      </w:r>
      <w:r w:rsidR="0092497A" w:rsidRPr="00CF791A">
        <w:t xml:space="preserve"> </w:t>
      </w:r>
      <w:r w:rsidR="00E243D0" w:rsidRPr="00CF791A">
        <w:t>all matters which may affect safety.</w:t>
      </w:r>
      <w:r w:rsidR="00E243D0" w:rsidRPr="00CF791A">
        <w:rPr>
          <w:color w:val="FF0000"/>
        </w:rPr>
        <w:t xml:space="preserve"> </w:t>
      </w:r>
      <w:r w:rsidR="00E243D0" w:rsidRPr="00CF791A">
        <w:t>The requirements are defined in LC17.</w:t>
      </w:r>
    </w:p>
    <w:p w14:paraId="7C6AEDD1" w14:textId="5DD8F1D4" w:rsidR="00E243D0" w:rsidRPr="00CF791A" w:rsidRDefault="00E243D0" w:rsidP="00E243D0">
      <w:pPr>
        <w:pStyle w:val="Paragraph"/>
      </w:pPr>
      <w:r w:rsidRPr="00CF791A">
        <w:t xml:space="preserve">The quality management arrangements should be applied in a graded manner </w:t>
      </w:r>
      <w:r w:rsidR="00386726">
        <w:br/>
      </w:r>
      <w:r w:rsidR="007A50AA">
        <w:t>(refer to</w:t>
      </w:r>
      <w:r w:rsidR="73C40A7A" w:rsidRPr="00CF791A">
        <w:t xml:space="preserve"> KP.1)</w:t>
      </w:r>
      <w:r w:rsidRPr="00CF791A">
        <w:t xml:space="preserve"> dependent on the safety significance of the activity and consequence of, and level of risk associated with, a loss of control. The graded arrangements should include quality assurance and control as appropriate to provide confidence that the requirements of the activity will be fulfilled. </w:t>
      </w:r>
    </w:p>
    <w:p w14:paraId="446F8044" w14:textId="5B833829" w:rsidR="00642A2B" w:rsidRPr="00AA159A" w:rsidRDefault="00642A2B" w:rsidP="009B7D05">
      <w:pPr>
        <w:pStyle w:val="SAPHeading"/>
      </w:pPr>
      <w:r w:rsidRPr="00AA159A">
        <w:lastRenderedPageBreak/>
        <w:t>MS.3 –</w:t>
      </w:r>
      <w:r w:rsidR="0002240B">
        <w:t xml:space="preserve"> </w:t>
      </w:r>
      <w:r w:rsidR="00E37CF7">
        <w:t>R</w:t>
      </w:r>
      <w:r w:rsidRPr="00AA159A">
        <w:t xml:space="preserve">ecords </w:t>
      </w:r>
    </w:p>
    <w:p w14:paraId="049896FC" w14:textId="540E5FF3" w:rsidR="00642A2B" w:rsidRPr="00AA159A" w:rsidRDefault="00E37CF7" w:rsidP="006C4609">
      <w:pPr>
        <w:pStyle w:val="SAPBodyText"/>
      </w:pPr>
      <w:r>
        <w:t>R</w:t>
      </w:r>
      <w:r w:rsidR="00642A2B" w:rsidRPr="00AA159A">
        <w:t xml:space="preserve">ecords should be specified in the management system and should be adequately controlled and retained. </w:t>
      </w:r>
    </w:p>
    <w:p w14:paraId="263F9CDD" w14:textId="4683CC10" w:rsidR="00642A2B" w:rsidRPr="00CF791A" w:rsidRDefault="00642A2B" w:rsidP="00642A2B">
      <w:pPr>
        <w:pStyle w:val="Paragraph"/>
      </w:pPr>
      <w:r w:rsidRPr="00CF791A">
        <w:t xml:space="preserve">The management system should include arrangements to make adequate records, as required by LC6 throughout the lifecycle of the installation. Such arrangements should ensure that records are specified, prepared, authenticated and maintained so that they are readable, complete, identifiable and easily retrievable. </w:t>
      </w:r>
    </w:p>
    <w:p w14:paraId="71718A0C" w14:textId="12F15FAD" w:rsidR="00642A2B" w:rsidRPr="00CF791A" w:rsidRDefault="00642A2B" w:rsidP="00642A2B">
      <w:pPr>
        <w:pStyle w:val="Paragraph"/>
      </w:pPr>
      <w:r w:rsidRPr="00CF791A">
        <w:t>There are different types and aspects of record</w:t>
      </w:r>
      <w:r w:rsidR="000A4BF3" w:rsidRPr="00CF791A">
        <w:t>s</w:t>
      </w:r>
      <w:r w:rsidRPr="00CF791A">
        <w:t xml:space="preserve"> required to manage safety throughout the lifecycle of </w:t>
      </w:r>
      <w:r w:rsidR="0059356C" w:rsidRPr="00CF791A">
        <w:t xml:space="preserve">a </w:t>
      </w:r>
      <w:r w:rsidRPr="00CF791A">
        <w:t xml:space="preserve">nuclear installation (design, construction, commissioning, operation, modification, and decommissioning). Records should be preserved as required to ensure long-term accessibility, including during decommissioning and post-closure phases. </w:t>
      </w:r>
    </w:p>
    <w:p w14:paraId="2BC9DE4E" w14:textId="31611F82" w:rsidR="00642A2B" w:rsidRPr="00CF791A" w:rsidRDefault="00642A2B" w:rsidP="00642A2B">
      <w:pPr>
        <w:pStyle w:val="Paragraph"/>
      </w:pPr>
      <w:r w:rsidRPr="00CF791A">
        <w:t>Records should support organisational knowledge management and be captured and made available to those in the organisation who need to make decisions relevant to safety.</w:t>
      </w:r>
    </w:p>
    <w:p w14:paraId="0116D065" w14:textId="776CE63D" w:rsidR="00E243D0" w:rsidRPr="00AA159A" w:rsidRDefault="00E243D0" w:rsidP="009B7D05">
      <w:pPr>
        <w:pStyle w:val="SAPHeading"/>
      </w:pPr>
      <w:r w:rsidRPr="00AA159A">
        <w:t>MS.</w:t>
      </w:r>
      <w:r w:rsidR="3998C76F" w:rsidRPr="00AA159A">
        <w:t>4</w:t>
      </w:r>
      <w:r w:rsidRPr="00AA159A">
        <w:t xml:space="preserve"> – Capable </w:t>
      </w:r>
      <w:r w:rsidR="00832D76" w:rsidRPr="00AA159A">
        <w:t xml:space="preserve">organisation </w:t>
      </w:r>
    </w:p>
    <w:p w14:paraId="63455801" w14:textId="57E927B2" w:rsidR="00E243D0" w:rsidRPr="00AA159A" w:rsidRDefault="00E243D0" w:rsidP="006C4609">
      <w:pPr>
        <w:pStyle w:val="SAPBodyText"/>
      </w:pPr>
      <w:r w:rsidRPr="00AA159A">
        <w:t>The organisation should establish and sustain the capability to secure the safety of its undertakings.</w:t>
      </w:r>
    </w:p>
    <w:p w14:paraId="764E09BC" w14:textId="77777777" w:rsidR="00E243D0" w:rsidRPr="00CF791A" w:rsidRDefault="00E243D0" w:rsidP="00E243D0">
      <w:pPr>
        <w:pStyle w:val="Paragraph"/>
      </w:pPr>
      <w:r w:rsidRPr="00CF791A">
        <w:t>A capable organisation will have adequate financial and human resources, competences and knowledge in sufficient numbers to provide resilience and maintain the capability to lead, govern and manage for safety at all times.</w:t>
      </w:r>
    </w:p>
    <w:p w14:paraId="2AD861C4" w14:textId="77777777" w:rsidR="00E243D0" w:rsidRPr="00CF791A" w:rsidRDefault="00E243D0" w:rsidP="00E243D0">
      <w:pPr>
        <w:pStyle w:val="Paragraph"/>
      </w:pPr>
      <w:r w:rsidRPr="00CF791A">
        <w:t xml:space="preserve">The organisation’s structure and staffing levels should be based on appropriate organisational design principles and should secure effective coordination between all those involved. Human resource baseline provisions should be established, controlled and reviewed regularly. Changes to the organisation should be subject to evaluation to ensure they do not adversely affect the capability of the organisation to deliver safely. </w:t>
      </w:r>
    </w:p>
    <w:p w14:paraId="4A2B6868" w14:textId="436CFABF" w:rsidR="00E243D0" w:rsidRPr="00CF791A" w:rsidRDefault="00E243D0" w:rsidP="00E243D0">
      <w:pPr>
        <w:pStyle w:val="Paragraph"/>
      </w:pPr>
      <w:r w:rsidRPr="00CF791A">
        <w:t>A ‘</w:t>
      </w:r>
      <w:r w:rsidR="00A22332">
        <w:t>d</w:t>
      </w:r>
      <w:r w:rsidRPr="00CF791A">
        <w:t xml:space="preserve">esign </w:t>
      </w:r>
      <w:r w:rsidR="00A22332">
        <w:t>a</w:t>
      </w:r>
      <w:r w:rsidRPr="00CF791A">
        <w:t>uthority’ capability should be established which includes suitable and sufficient experts with detailed and up-to-date understanding of the safety of its facilities and their design, operation and safety cases. Knowledge of the intended design performance of plant, equipment, processes and systems should be maintained to provide an adequate corporate memory and baseline for monitoring.</w:t>
      </w:r>
    </w:p>
    <w:p w14:paraId="7E512D34" w14:textId="77777777" w:rsidR="00E243D0" w:rsidRPr="00CF791A" w:rsidRDefault="00E243D0" w:rsidP="00E243D0">
      <w:pPr>
        <w:pStyle w:val="Paragraph"/>
      </w:pPr>
      <w:r w:rsidRPr="00CF791A">
        <w:t>The organisation should have a clear policy and rationale for sourcing work in-house or through contractors within its supply chain. This policy should take adequate account of both the short and long-term nuclear safety implications of using contractors.</w:t>
      </w:r>
    </w:p>
    <w:p w14:paraId="0B40126A" w14:textId="6DB65449" w:rsidR="00E243D0" w:rsidRPr="00AA159A" w:rsidRDefault="00E243D0" w:rsidP="009B7D05">
      <w:pPr>
        <w:pStyle w:val="SAPHeading"/>
      </w:pPr>
      <w:r w:rsidRPr="00AA159A">
        <w:lastRenderedPageBreak/>
        <w:t>MS.</w:t>
      </w:r>
      <w:r w:rsidR="1E9E5C3B" w:rsidRPr="00AA159A">
        <w:t>5</w:t>
      </w:r>
      <w:r w:rsidRPr="00AA159A">
        <w:t xml:space="preserve"> – Supply </w:t>
      </w:r>
      <w:r w:rsidR="00832D76" w:rsidRPr="00AA159A">
        <w:t>chain management</w:t>
      </w:r>
      <w:r w:rsidR="007304DC">
        <w:t xml:space="preserve"> </w:t>
      </w:r>
    </w:p>
    <w:p w14:paraId="340F1CFD" w14:textId="0AA9C4F1" w:rsidR="00E243D0" w:rsidRPr="00AA159A" w:rsidRDefault="00E243D0" w:rsidP="006C4609">
      <w:pPr>
        <w:pStyle w:val="SAPBodyText"/>
      </w:pPr>
      <w:r w:rsidRPr="00AA159A">
        <w:t xml:space="preserve">The organisation should establish and sustain supply chain management arrangements to ensure that safety items and services are delivered to the specified intent, meeting the safety case requirements. </w:t>
      </w:r>
    </w:p>
    <w:p w14:paraId="42D7DD64" w14:textId="77777777" w:rsidR="00E243D0" w:rsidRPr="00CF791A" w:rsidRDefault="00E243D0" w:rsidP="00E243D0">
      <w:pPr>
        <w:pStyle w:val="Paragraph"/>
      </w:pPr>
      <w:r w:rsidRPr="00CF791A">
        <w:t xml:space="preserve">The organisation should maintain an ‘Intelligent Customer’ capability for all work carried out on its behalf by suppliers that may impact upon safety. This is the capability of the organisation to understand where and when work is needed and specify what needs to be done as part of its supply chain management arrangements. </w:t>
      </w:r>
    </w:p>
    <w:p w14:paraId="6E552A1B" w14:textId="46F02A7E" w:rsidR="00E243D0" w:rsidRPr="00CF791A" w:rsidRDefault="00E243D0" w:rsidP="00E243D0">
      <w:pPr>
        <w:pStyle w:val="Paragraph"/>
      </w:pPr>
      <w:r w:rsidRPr="00CF791A">
        <w:t>The supply chain management arrangements should give due priority to safety, considering the risk factors across its ‘extended enterprise’ and be applied in a graded manner</w:t>
      </w:r>
      <w:r w:rsidR="26D48930" w:rsidRPr="00CF791A">
        <w:t xml:space="preserve"> </w:t>
      </w:r>
      <w:r w:rsidR="007A50AA">
        <w:t>(refer to</w:t>
      </w:r>
      <w:r w:rsidR="26D48930" w:rsidRPr="00CF791A">
        <w:t xml:space="preserve"> KP.1)</w:t>
      </w:r>
      <w:r w:rsidRPr="00CF791A">
        <w:t>, dependent on the safety significance of the item and service. The arrangements should:</w:t>
      </w:r>
    </w:p>
    <w:p w14:paraId="543D3369" w14:textId="77777777" w:rsidR="00E243D0" w:rsidRPr="00AA159A" w:rsidRDefault="00E243D0" w:rsidP="00134698">
      <w:pPr>
        <w:pStyle w:val="NumList2"/>
        <w:numPr>
          <w:ilvl w:val="1"/>
          <w:numId w:val="20"/>
        </w:numPr>
      </w:pPr>
      <w:r w:rsidRPr="00AA159A">
        <w:t>ensure effective commercial/supply chain strategy to enable delivery of safety case requirements;</w:t>
      </w:r>
    </w:p>
    <w:p w14:paraId="4AEA28AC" w14:textId="77777777" w:rsidR="00E243D0" w:rsidRPr="00AA159A" w:rsidRDefault="00E243D0" w:rsidP="00134698">
      <w:pPr>
        <w:pStyle w:val="NumList2"/>
        <w:numPr>
          <w:ilvl w:val="1"/>
          <w:numId w:val="20"/>
        </w:numPr>
      </w:pPr>
      <w:r w:rsidRPr="00AA159A">
        <w:t>ensure that specifications adequately address safety case requirements;</w:t>
      </w:r>
    </w:p>
    <w:p w14:paraId="14272D0C" w14:textId="77777777" w:rsidR="00E243D0" w:rsidRPr="00AA159A" w:rsidRDefault="00E243D0" w:rsidP="00134698">
      <w:pPr>
        <w:pStyle w:val="NumList2"/>
        <w:numPr>
          <w:ilvl w:val="1"/>
          <w:numId w:val="20"/>
        </w:numPr>
      </w:pPr>
      <w:r w:rsidRPr="00AA159A">
        <w:t>evaluate if suppliers have sufficient organisation and technical capability, capacity and organisational culture to deliver to the specified intent;</w:t>
      </w:r>
    </w:p>
    <w:p w14:paraId="3DF7E1AD" w14:textId="77777777" w:rsidR="00E243D0" w:rsidRPr="00AA159A" w:rsidRDefault="00E243D0" w:rsidP="00134698">
      <w:pPr>
        <w:pStyle w:val="NumList2"/>
        <w:numPr>
          <w:ilvl w:val="1"/>
          <w:numId w:val="20"/>
        </w:numPr>
      </w:pPr>
      <w:r w:rsidRPr="00AA159A">
        <w:t>consider the adequacy of supplier quality management arrangements; and</w:t>
      </w:r>
    </w:p>
    <w:p w14:paraId="69998C27" w14:textId="77777777" w:rsidR="00E243D0" w:rsidRPr="00AA159A" w:rsidRDefault="00E243D0" w:rsidP="00134698">
      <w:pPr>
        <w:pStyle w:val="NumList2"/>
        <w:numPr>
          <w:ilvl w:val="1"/>
          <w:numId w:val="20"/>
        </w:numPr>
      </w:pPr>
      <w:r w:rsidRPr="00AA159A">
        <w:t>include adequate oversight and assurance arrangements, including acceptance of the work carried out on the organisation’s behalf.</w:t>
      </w:r>
    </w:p>
    <w:p w14:paraId="42A299FF" w14:textId="021A5AF7" w:rsidR="00E243D0" w:rsidRPr="00AA159A" w:rsidRDefault="00E243D0" w:rsidP="009B7D05">
      <w:pPr>
        <w:pStyle w:val="SAPHeading"/>
        <w:rPr>
          <w:color w:val="FF0000"/>
        </w:rPr>
      </w:pPr>
      <w:r w:rsidRPr="00AA159A">
        <w:t>MS.</w:t>
      </w:r>
      <w:r w:rsidR="202D1834" w:rsidRPr="00AA159A">
        <w:t>6</w:t>
      </w:r>
      <w:r w:rsidRPr="00AA159A">
        <w:t xml:space="preserve"> – Continual </w:t>
      </w:r>
      <w:r w:rsidR="00832D76" w:rsidRPr="00AA159A">
        <w:t>review</w:t>
      </w:r>
      <w:r w:rsidRPr="00AA159A">
        <w:t xml:space="preserve">, </w:t>
      </w:r>
      <w:r w:rsidR="00832D76" w:rsidRPr="00AA159A">
        <w:t xml:space="preserve">learning </w:t>
      </w:r>
      <w:r w:rsidRPr="00AA159A">
        <w:t xml:space="preserve">&amp; </w:t>
      </w:r>
      <w:r w:rsidR="00832D76" w:rsidRPr="00AA159A">
        <w:t xml:space="preserve">improvement </w:t>
      </w:r>
    </w:p>
    <w:p w14:paraId="72FA9FB4" w14:textId="5AA91407" w:rsidR="00E243D0" w:rsidRPr="00AA159A" w:rsidRDefault="00973A04" w:rsidP="006C4609">
      <w:pPr>
        <w:pStyle w:val="SAPBodyText"/>
        <w:rPr>
          <w:color w:val="FF0000"/>
        </w:rPr>
      </w:pPr>
      <w:r w:rsidRPr="00AA159A">
        <w:t>The organisation should establish and sustain arrangements for the continual review and improvement of its leadership arrangements and management system, applying learning from relevant operating experience.</w:t>
      </w:r>
    </w:p>
    <w:p w14:paraId="55A3B228" w14:textId="5CD6716F" w:rsidR="00E243D0" w:rsidRPr="00CF791A" w:rsidRDefault="00E243D0" w:rsidP="00E243D0">
      <w:pPr>
        <w:pStyle w:val="Paragraph"/>
      </w:pPr>
      <w:r w:rsidRPr="00CF791A">
        <w:t xml:space="preserve">Reviews should consider the adequacy of the organisation's leadership, governance, safety culture, management system, </w:t>
      </w:r>
      <w:r w:rsidR="71D06AC8" w:rsidRPr="00CF791A">
        <w:t xml:space="preserve">records management, </w:t>
      </w:r>
      <w:r w:rsidRPr="00CF791A">
        <w:t xml:space="preserve">organisational capability and supply chain management arrangements, as appropriate. It may be considered as part of a </w:t>
      </w:r>
      <w:r w:rsidR="006E6D09">
        <w:t>dutyholder</w:t>
      </w:r>
      <w:r w:rsidR="006E6D09" w:rsidRPr="00CF791A">
        <w:t xml:space="preserve">'s </w:t>
      </w:r>
      <w:r w:rsidRPr="00CF791A">
        <w:t xml:space="preserve">LC15 </w:t>
      </w:r>
      <w:r w:rsidR="006F4974">
        <w:t>PSR</w:t>
      </w:r>
      <w:r w:rsidRPr="00CF791A">
        <w:t xml:space="preserve"> arrangements.</w:t>
      </w:r>
      <w:r w:rsidR="00164F06" w:rsidRPr="00164F06">
        <w:t xml:space="preserve"> </w:t>
      </w:r>
    </w:p>
    <w:p w14:paraId="2D610152" w14:textId="4F913185" w:rsidR="00E243D0" w:rsidRDefault="00E243D0" w:rsidP="0073358D">
      <w:pPr>
        <w:pStyle w:val="Paragraph"/>
      </w:pPr>
      <w:r w:rsidRPr="00CF791A">
        <w:t xml:space="preserve">A learning organisation should challenge established understanding and practice by reflecting on experiences </w:t>
      </w:r>
      <w:r w:rsidR="00B86195" w:rsidRPr="00CF791A">
        <w:t xml:space="preserve">and outcomes </w:t>
      </w:r>
      <w:r w:rsidRPr="00CF791A">
        <w:t xml:space="preserve">to identify and understand the reasons for differences between actual and intended outcomes. Information should be collected from a range of sources inside and outside the organisation. </w:t>
      </w:r>
      <w:r w:rsidR="002D150D">
        <w:t>This should include</w:t>
      </w:r>
      <w:r w:rsidR="00C753F5" w:rsidRPr="00C327B9">
        <w:t xml:space="preserve"> arrangements</w:t>
      </w:r>
      <w:r w:rsidR="00C753F5">
        <w:t xml:space="preserve"> </w:t>
      </w:r>
      <w:r w:rsidR="00D3699E">
        <w:t xml:space="preserve">made under LC7 to </w:t>
      </w:r>
      <w:r w:rsidR="00C753F5" w:rsidRPr="00207483">
        <w:t>notif</w:t>
      </w:r>
      <w:r w:rsidR="00C753F5">
        <w:t>y</w:t>
      </w:r>
      <w:r w:rsidR="00C753F5" w:rsidRPr="00207483">
        <w:t>, record</w:t>
      </w:r>
      <w:r w:rsidR="00C753F5">
        <w:t xml:space="preserve"> and</w:t>
      </w:r>
      <w:r w:rsidR="00C753F5" w:rsidRPr="00207483">
        <w:t xml:space="preserve"> investigat</w:t>
      </w:r>
      <w:r w:rsidR="00C753F5">
        <w:t>e safety i</w:t>
      </w:r>
      <w:r w:rsidR="00C753F5" w:rsidRPr="00C327B9">
        <w:t>ncidents on the site</w:t>
      </w:r>
      <w:r w:rsidR="00C753F5">
        <w:t xml:space="preserve">. </w:t>
      </w:r>
      <w:r w:rsidRPr="00CF791A">
        <w:t>The lessons learned should be embedded through a structured system for implementing corrective and preventive actions in a timely manner, which is rigorously applied and actively followed up to confirm completion and effectiveness.</w:t>
      </w:r>
    </w:p>
    <w:p w14:paraId="3473D9F5" w14:textId="77777777" w:rsidR="00386726" w:rsidRDefault="00386726" w:rsidP="005364DE">
      <w:pPr>
        <w:pStyle w:val="Heading1"/>
        <w:sectPr w:rsidR="00386726" w:rsidSect="00E243D0">
          <w:pgSz w:w="11906" w:h="16838" w:code="9"/>
          <w:pgMar w:top="1440" w:right="1440" w:bottom="1440" w:left="1440" w:header="397" w:footer="397" w:gutter="0"/>
          <w:cols w:space="312"/>
          <w:docGrid w:linePitch="360"/>
        </w:sectPr>
      </w:pPr>
      <w:bookmarkStart w:id="127" w:name="_Toc219206144"/>
      <w:bookmarkStart w:id="128" w:name="_Toc219748171"/>
    </w:p>
    <w:p w14:paraId="23AF1FC8" w14:textId="29634143" w:rsidR="00E243D0" w:rsidRPr="00AA159A" w:rsidRDefault="00E243D0" w:rsidP="005364DE">
      <w:pPr>
        <w:pStyle w:val="Heading1"/>
      </w:pPr>
      <w:bookmarkStart w:id="129" w:name="_Toc235711321"/>
      <w:r w:rsidRPr="00AA159A">
        <w:lastRenderedPageBreak/>
        <w:t xml:space="preserve">Siting and </w:t>
      </w:r>
      <w:r w:rsidR="004522AF" w:rsidRPr="00AA159A">
        <w:t>l</w:t>
      </w:r>
      <w:r w:rsidRPr="00AA159A">
        <w:t>ayout</w:t>
      </w:r>
      <w:bookmarkEnd w:id="129"/>
      <w:r w:rsidRPr="00AA159A">
        <w:t xml:space="preserve"> </w:t>
      </w:r>
      <w:bookmarkEnd w:id="127"/>
      <w:bookmarkEnd w:id="128"/>
    </w:p>
    <w:p w14:paraId="3E855CA3" w14:textId="77777777" w:rsidR="00E243D0" w:rsidRPr="00CF791A" w:rsidRDefault="00E243D0" w:rsidP="00E243D0">
      <w:pPr>
        <w:pStyle w:val="Paragraph"/>
      </w:pPr>
      <w:r w:rsidRPr="00CF791A">
        <w:t xml:space="preserve">This section outlines ONR’s safety principles for assessing: </w:t>
      </w:r>
    </w:p>
    <w:p w14:paraId="1D3FA63E" w14:textId="77777777" w:rsidR="00E243D0" w:rsidRPr="00CF791A" w:rsidRDefault="00E243D0" w:rsidP="00A31B0A">
      <w:pPr>
        <w:pStyle w:val="Bulletlist1"/>
      </w:pPr>
      <w:r w:rsidRPr="00CF791A">
        <w:t>the siting of a new nuclear facility on a new site or an extension to an existing site;</w:t>
      </w:r>
    </w:p>
    <w:p w14:paraId="2DD967E0" w14:textId="77777777" w:rsidR="00E243D0" w:rsidRPr="00CF791A" w:rsidRDefault="00E243D0" w:rsidP="00A31B0A">
      <w:pPr>
        <w:pStyle w:val="Bulletlist1"/>
      </w:pPr>
      <w:r w:rsidRPr="00CF791A">
        <w:t>the siting of a new facility on an existing nuclear licensed site; and</w:t>
      </w:r>
    </w:p>
    <w:p w14:paraId="0872BD91" w14:textId="77777777" w:rsidR="00E243D0" w:rsidRPr="00CF791A" w:rsidRDefault="00E243D0" w:rsidP="00A31B0A">
      <w:pPr>
        <w:pStyle w:val="Bulletlist1"/>
      </w:pPr>
      <w:r w:rsidRPr="00CF791A">
        <w:t>where appropriate, modification to, or repurposing of an existing facility, or revalidation of relevant safety cases through the life of the site.</w:t>
      </w:r>
    </w:p>
    <w:p w14:paraId="34DF1834" w14:textId="2A5CB90F" w:rsidR="00E243D0" w:rsidRPr="00CF791A" w:rsidRDefault="00E243D0" w:rsidP="00E243D0">
      <w:pPr>
        <w:pStyle w:val="Paragraph"/>
      </w:pPr>
      <w:r w:rsidRPr="00CF791A">
        <w:t xml:space="preserve">ONR is not responsible for site selection and planning decisions but provides advice through either statutory or non-statutory consultation to the relevant national or local planning authorities. </w:t>
      </w:r>
    </w:p>
    <w:p w14:paraId="6DB04307" w14:textId="42342D18" w:rsidR="00E243D0" w:rsidRPr="00CF791A" w:rsidRDefault="00E243D0" w:rsidP="00E243D0">
      <w:pPr>
        <w:pStyle w:val="Paragraph"/>
      </w:pPr>
      <w:r w:rsidRPr="00CF791A">
        <w:t>Assessment of site suitability for nuclear installations is governed by ONR's processes for the licensing of nuclear sites</w:t>
      </w:r>
      <w:r w:rsidR="00DA3758" w:rsidRPr="00CF791A">
        <w:t xml:space="preserve"> </w:t>
      </w:r>
      <w:r w:rsidRPr="00CF791A">
        <w:t xml:space="preserve">published on ONR’s website. </w:t>
      </w:r>
    </w:p>
    <w:p w14:paraId="1E084FF7" w14:textId="77777777" w:rsidR="00E243D0" w:rsidRPr="00AA159A" w:rsidRDefault="00E243D0" w:rsidP="009B7D05">
      <w:pPr>
        <w:pStyle w:val="SAPHeading"/>
      </w:pPr>
      <w:r w:rsidRPr="00AA159A">
        <w:t>ST.1 – Site characterisation</w:t>
      </w:r>
    </w:p>
    <w:p w14:paraId="3FF08A47" w14:textId="77777777" w:rsidR="00E243D0" w:rsidRPr="00AA159A" w:rsidRDefault="00E243D0" w:rsidP="006C4609">
      <w:pPr>
        <w:pStyle w:val="SAPBodyText"/>
      </w:pPr>
      <w:r w:rsidRPr="00AA159A">
        <w:t>Site characterisation should provide reliable information and assurance that site conditions are appropriate and are reflected in the safety case.</w:t>
      </w:r>
    </w:p>
    <w:p w14:paraId="09F58D94" w14:textId="77777777" w:rsidR="00E243D0" w:rsidRPr="00CF791A" w:rsidRDefault="00E243D0" w:rsidP="00E243D0">
      <w:pPr>
        <w:pStyle w:val="Paragraph"/>
      </w:pPr>
      <w:r w:rsidRPr="00CF791A">
        <w:t xml:space="preserve">Site characterisation activities (including, where appropriate, the use of site instrumentation and monitoring) should be conducted in an integrated, systematic, planned, and documented manner that delivers appropriate inputs to the safety case. Site characterisation should collect adequate data to support site evaluation, which should include: </w:t>
      </w:r>
    </w:p>
    <w:p w14:paraId="2C451AB1" w14:textId="77777777" w:rsidR="00E243D0" w:rsidRPr="00CF791A" w:rsidRDefault="00E243D0" w:rsidP="00A31B0A">
      <w:pPr>
        <w:pStyle w:val="Bulletlist1"/>
      </w:pPr>
      <w:r w:rsidRPr="00CF791A">
        <w:t>evaluation of characteristics that would make the site unsuitable;</w:t>
      </w:r>
    </w:p>
    <w:p w14:paraId="721DCD6B" w14:textId="77777777" w:rsidR="00E243D0" w:rsidRPr="00CF791A" w:rsidRDefault="00E243D0" w:rsidP="00A31B0A">
      <w:pPr>
        <w:pStyle w:val="Bulletlist1"/>
      </w:pPr>
      <w:r w:rsidRPr="00CF791A">
        <w:t>identification and characterisation of natural and manmade hazards to the site;</w:t>
      </w:r>
    </w:p>
    <w:p w14:paraId="7C5E68E5" w14:textId="77777777" w:rsidR="00E243D0" w:rsidRPr="00CF791A" w:rsidRDefault="00E243D0" w:rsidP="00A31B0A">
      <w:pPr>
        <w:pStyle w:val="Bulletlist1"/>
      </w:pPr>
      <w:r w:rsidRPr="00CF791A">
        <w:t>the impact of any hazardous or nuclear facilities located on or off the site;</w:t>
      </w:r>
    </w:p>
    <w:p w14:paraId="4CEB101A" w14:textId="77777777" w:rsidR="00E243D0" w:rsidRPr="00CF791A" w:rsidRDefault="00E243D0" w:rsidP="00A31B0A">
      <w:pPr>
        <w:pStyle w:val="Bulletlist1"/>
      </w:pPr>
      <w:r w:rsidRPr="00CF791A">
        <w:t>the overall layout design;</w:t>
      </w:r>
    </w:p>
    <w:p w14:paraId="70D59979" w14:textId="77777777" w:rsidR="00E243D0" w:rsidRPr="00CF791A" w:rsidRDefault="00E243D0" w:rsidP="00A31B0A">
      <w:pPr>
        <w:pStyle w:val="Bulletlist1"/>
      </w:pPr>
      <w:r w:rsidRPr="00CF791A">
        <w:t>the ability of the site to provide a reliable and suitable ultimate heat sink (if required); and</w:t>
      </w:r>
    </w:p>
    <w:p w14:paraId="4D6DA39A" w14:textId="77777777" w:rsidR="00E243D0" w:rsidRPr="00CF791A" w:rsidRDefault="00E243D0" w:rsidP="00A31B0A">
      <w:pPr>
        <w:pStyle w:val="Bulletlist1"/>
      </w:pPr>
      <w:r w:rsidRPr="00CF791A">
        <w:t>the ability of the site to support suitable infrastructure (for example, reliable and stable</w:t>
      </w:r>
      <w:r w:rsidRPr="00CF791A" w:rsidDel="00322AAF">
        <w:t xml:space="preserve"> </w:t>
      </w:r>
      <w:r w:rsidRPr="00CF791A">
        <w:t>electrical grid connections).</w:t>
      </w:r>
    </w:p>
    <w:p w14:paraId="763708FF" w14:textId="77777777" w:rsidR="00386726" w:rsidRDefault="00386726" w:rsidP="009B7D05">
      <w:pPr>
        <w:pStyle w:val="SAPHeading"/>
        <w:sectPr w:rsidR="00386726" w:rsidSect="00E243D0">
          <w:pgSz w:w="11906" w:h="16838" w:code="9"/>
          <w:pgMar w:top="1440" w:right="1440" w:bottom="1440" w:left="1440" w:header="397" w:footer="397" w:gutter="0"/>
          <w:cols w:space="312"/>
          <w:docGrid w:linePitch="360"/>
        </w:sectPr>
      </w:pPr>
    </w:p>
    <w:p w14:paraId="022A3379" w14:textId="4BB2E85E" w:rsidR="00E243D0" w:rsidRPr="00AA159A" w:rsidRDefault="00E243D0" w:rsidP="009B7D05">
      <w:pPr>
        <w:pStyle w:val="SAPHeading"/>
      </w:pPr>
      <w:r w:rsidRPr="00AA159A">
        <w:lastRenderedPageBreak/>
        <w:t>ST.</w:t>
      </w:r>
      <w:r w:rsidR="002E0D8C" w:rsidRPr="00AA159A">
        <w:t>2</w:t>
      </w:r>
      <w:r w:rsidRPr="00AA159A">
        <w:t xml:space="preserve"> – Site evaluation </w:t>
      </w:r>
    </w:p>
    <w:p w14:paraId="28056B58" w14:textId="77777777" w:rsidR="00E243D0" w:rsidRPr="00AA159A" w:rsidRDefault="00E243D0" w:rsidP="006C4609">
      <w:pPr>
        <w:pStyle w:val="SAPBodyText"/>
      </w:pPr>
      <w:r w:rsidRPr="00AA159A">
        <w:t>The site should be evaluated to demonstrate its suitability to support the design, construction and safe nuclear operations.</w:t>
      </w:r>
    </w:p>
    <w:p w14:paraId="72F3E643" w14:textId="15024972" w:rsidR="00E243D0" w:rsidRPr="00CF791A" w:rsidRDefault="00E243D0" w:rsidP="00E243D0">
      <w:pPr>
        <w:pStyle w:val="Paragraph"/>
      </w:pPr>
      <w:r w:rsidRPr="00CF791A">
        <w:t>The evaluation should consider risks associated with geotechnical</w:t>
      </w:r>
      <w:r w:rsidR="00797E75">
        <w:t>/</w:t>
      </w:r>
      <w:r w:rsidRPr="00CF791A">
        <w:t xml:space="preserve">geological characteristics and features of the site. Where appropriate, this could include testing to inform and validate the soil-structure interaction for the proposed plant geometry and </w:t>
      </w:r>
      <w:r w:rsidRPr="00CF791A" w:rsidDel="002B31FF">
        <w:t>site behaviour</w:t>
      </w:r>
      <w:r w:rsidR="00797E75">
        <w:t>/</w:t>
      </w:r>
      <w:r w:rsidRPr="00CF791A" w:rsidDel="002B31FF">
        <w:t>response</w:t>
      </w:r>
      <w:r w:rsidRPr="00CF791A">
        <w:t xml:space="preserve">. Site elevation should be considered in terms of protection against external flooding. </w:t>
      </w:r>
    </w:p>
    <w:p w14:paraId="11D57A46" w14:textId="77777777" w:rsidR="00E243D0" w:rsidRPr="00CF791A" w:rsidRDefault="00E243D0" w:rsidP="00E243D0">
      <w:pPr>
        <w:pStyle w:val="Paragraph"/>
      </w:pPr>
      <w:r w:rsidRPr="00CF791A">
        <w:t xml:space="preserve">Dutyholders should evaluate nearby hazardous facilities, or other nuclear facilities, and how these could impact on safe operation. This should include evaluation of site layout to reduce potential interactions between facilities. This is important during the siting of a nuclear facility in terms of controlling risks. The effects from other hazardous or nuclear facilities located on or off the site will constitute external or internal hazards depending on where the hazard source is located and should be assessed using the EHA principles. </w:t>
      </w:r>
    </w:p>
    <w:p w14:paraId="45C0927E" w14:textId="04D212AB" w:rsidR="00E243D0" w:rsidRPr="00CF791A" w:rsidRDefault="00E243D0" w:rsidP="00E243D0">
      <w:pPr>
        <w:pStyle w:val="Paragraph"/>
      </w:pPr>
      <w:r w:rsidRPr="00CF791A">
        <w:t xml:space="preserve">The evaluation should include the feasibility of implementing </w:t>
      </w:r>
      <w:r w:rsidR="00D23C65" w:rsidRPr="00CF791A">
        <w:t xml:space="preserve">on and off-site </w:t>
      </w:r>
      <w:r w:rsidRPr="00CF791A">
        <w:t xml:space="preserve">emergency </w:t>
      </w:r>
      <w:r w:rsidR="0003023A" w:rsidRPr="00CF791A">
        <w:t xml:space="preserve">protective actions </w:t>
      </w:r>
      <w:r w:rsidRPr="00CF791A">
        <w:t xml:space="preserve">(including possible evacuation of areas around the site). The proximity of population centres, schools, hospitals and other institutions should be considered as well as local physical aspects of the installation and site relevant to the </w:t>
      </w:r>
      <w:r w:rsidR="00757C29" w:rsidRPr="00CF791A">
        <w:t xml:space="preserve">potential </w:t>
      </w:r>
      <w:r w:rsidRPr="00CF791A">
        <w:t xml:space="preserve">dispersion of released radioactivity and its potential effects on people. </w:t>
      </w:r>
    </w:p>
    <w:p w14:paraId="07C0B50F" w14:textId="12CAD8D7" w:rsidR="00E243D0" w:rsidRPr="00AA159A" w:rsidRDefault="00E243D0" w:rsidP="009B7D05">
      <w:pPr>
        <w:pStyle w:val="SAPHeading"/>
      </w:pPr>
      <w:r w:rsidRPr="00AA159A">
        <w:t>ST.</w:t>
      </w:r>
      <w:r w:rsidR="002E0D8C" w:rsidRPr="00AA159A">
        <w:t>3</w:t>
      </w:r>
      <w:r w:rsidRPr="00AA159A">
        <w:t xml:space="preserve"> </w:t>
      </w:r>
      <w:r w:rsidR="004556D1" w:rsidRPr="00AA159A">
        <w:t xml:space="preserve">– </w:t>
      </w:r>
      <w:r w:rsidRPr="00AA159A">
        <w:t>Multi-facility sites</w:t>
      </w:r>
    </w:p>
    <w:p w14:paraId="06EEA64B" w14:textId="77777777" w:rsidR="00E243D0" w:rsidRPr="00AA159A" w:rsidRDefault="00E243D0" w:rsidP="006C4609">
      <w:pPr>
        <w:pStyle w:val="SAPBodyText"/>
      </w:pPr>
      <w:r w:rsidRPr="00AA159A">
        <w:t>Multi-facility sites should demonstrate that interactions between facilities, common services and arrangements have been appropriately managed.</w:t>
      </w:r>
    </w:p>
    <w:p w14:paraId="0C6E344F" w14:textId="77777777" w:rsidR="00E243D0" w:rsidRPr="00CF791A" w:rsidRDefault="00E243D0" w:rsidP="00E243D0">
      <w:pPr>
        <w:pStyle w:val="Paragraph"/>
      </w:pPr>
      <w:r w:rsidRPr="00CF791A">
        <w:t xml:space="preserve">When assessing the hazards and risks posed by a nuclear site, all the facilities, services and activities on it need to be considered. Where multiple nuclear facilities are located on a single site there is the need to consider the totality of risks from a site and how these are controlled. </w:t>
      </w:r>
    </w:p>
    <w:p w14:paraId="7AD982DA" w14:textId="66B2D7D8" w:rsidR="00E243D0" w:rsidRPr="00CF791A" w:rsidRDefault="00E243D0" w:rsidP="00E243D0">
      <w:pPr>
        <w:pStyle w:val="Paragraph"/>
      </w:pPr>
      <w:r w:rsidRPr="00CF791A">
        <w:t xml:space="preserve">Individual sites with multiple facilities often produce individual safety evaluations for each facility. Shared services are also generally dealt with separately. The division of a site’s safety case in this way requires the definition of boundaries and interfaces between facilities, facilities and services. It </w:t>
      </w:r>
      <w:r w:rsidR="001802ED" w:rsidRPr="00CF791A">
        <w:t>may</w:t>
      </w:r>
      <w:r w:rsidRPr="00CF791A">
        <w:t xml:space="preserve"> require a combination of the individual evaluations to provide an overall site safety case </w:t>
      </w:r>
      <w:r w:rsidR="003A7B5F" w:rsidRPr="00CF791A">
        <w:t xml:space="preserve">to </w:t>
      </w:r>
      <w:r w:rsidRPr="00CF791A">
        <w:t>account for the interactions and interdependencies between facilities and services.</w:t>
      </w:r>
    </w:p>
    <w:p w14:paraId="057DE254" w14:textId="77777777" w:rsidR="00E243D0" w:rsidRPr="00CF791A" w:rsidRDefault="00E243D0" w:rsidP="00E243D0">
      <w:pPr>
        <w:pStyle w:val="Paragraph"/>
      </w:pPr>
      <w:r w:rsidRPr="00CF791A">
        <w:t>Interactions between facilities, and shared services, where events in one may adversely affect others, should be explicitly considered in determining the potential for escalation of the risks for the site. This requires an analysis of events that can have physical effects outside the boundaries or limits for the particular facility or service. These may be:</w:t>
      </w:r>
    </w:p>
    <w:p w14:paraId="4960712E" w14:textId="77777777" w:rsidR="00E243D0" w:rsidRPr="00CF791A" w:rsidRDefault="00E243D0" w:rsidP="00A31B0A">
      <w:pPr>
        <w:pStyle w:val="Bulletlist1"/>
      </w:pPr>
      <w:r w:rsidRPr="00CF791A">
        <w:lastRenderedPageBreak/>
        <w:t>faults, internal hazards or external hazards that affect more than one facility and shared service at the same time;</w:t>
      </w:r>
    </w:p>
    <w:p w14:paraId="13E2C230" w14:textId="77777777" w:rsidR="00E243D0" w:rsidRPr="00CF791A" w:rsidRDefault="00E243D0" w:rsidP="00A31B0A">
      <w:pPr>
        <w:pStyle w:val="Bulletlist1"/>
      </w:pPr>
      <w:r w:rsidRPr="00CF791A">
        <w:t>Interactions that can progress from one facility to another or via shared services (domino effects); and</w:t>
      </w:r>
    </w:p>
    <w:p w14:paraId="7D40620F" w14:textId="77777777" w:rsidR="00E243D0" w:rsidRPr="00CF791A" w:rsidRDefault="00E243D0" w:rsidP="00A31B0A">
      <w:pPr>
        <w:pStyle w:val="Bulletlist1"/>
      </w:pPr>
      <w:r w:rsidRPr="00CF791A">
        <w:t>interactions between shared services that affect several facilities.</w:t>
      </w:r>
    </w:p>
    <w:p w14:paraId="29FEC340" w14:textId="77777777" w:rsidR="00E243D0" w:rsidRPr="00CF791A" w:rsidRDefault="00E243D0" w:rsidP="00E243D0">
      <w:pPr>
        <w:pStyle w:val="Paragraph"/>
      </w:pPr>
      <w:r w:rsidRPr="00CF791A">
        <w:t>Where a site has been considered as comprising several facilities, a specific consideration of overall site risks should be carried out, unless it can be shown that the facilities are totally independent from one another. Independence in this context means there are no common shared services that can affect safety,</w:t>
      </w:r>
      <w:r w:rsidRPr="00CF791A" w:rsidDel="003D3122">
        <w:t xml:space="preserve"> </w:t>
      </w:r>
      <w:r w:rsidRPr="00CF791A">
        <w:t xml:space="preserve">and no fault or accident at any one facility should have repercussions at any other. </w:t>
      </w:r>
    </w:p>
    <w:p w14:paraId="2D953402" w14:textId="77777777" w:rsidR="00E243D0" w:rsidRPr="00CF791A" w:rsidRDefault="00E243D0" w:rsidP="00E243D0">
      <w:pPr>
        <w:pStyle w:val="Paragraph"/>
      </w:pPr>
      <w:r w:rsidRPr="00CF791A">
        <w:t>Multi-facility sites should have emergency arrangements that recognise the potential for multi-facility accidents.</w:t>
      </w:r>
    </w:p>
    <w:p w14:paraId="4FF90EB0" w14:textId="01F2AB69" w:rsidR="00E243D0" w:rsidRPr="00AA159A" w:rsidRDefault="00E243D0" w:rsidP="009B7D05">
      <w:pPr>
        <w:pStyle w:val="SAPHeading"/>
      </w:pPr>
      <w:r w:rsidRPr="00AA159A">
        <w:t>ST.</w:t>
      </w:r>
      <w:r w:rsidR="00BD6277">
        <w:t>4</w:t>
      </w:r>
      <w:r w:rsidRPr="00AA159A">
        <w:t xml:space="preserve"> </w:t>
      </w:r>
      <w:r w:rsidR="004556D1" w:rsidRPr="00AA159A">
        <w:t xml:space="preserve">– </w:t>
      </w:r>
      <w:r w:rsidRPr="00AA159A">
        <w:t>Co-located sites</w:t>
      </w:r>
    </w:p>
    <w:p w14:paraId="20B5473D" w14:textId="77777777" w:rsidR="00E243D0" w:rsidRPr="00AA159A" w:rsidRDefault="00E243D0" w:rsidP="006C4609">
      <w:pPr>
        <w:pStyle w:val="SAPBodyText"/>
      </w:pPr>
      <w:r w:rsidRPr="00AA159A">
        <w:t>Where the nuclear site neighbours other sites, arrangements should be established to cooperate on matters of mutual safety.</w:t>
      </w:r>
    </w:p>
    <w:p w14:paraId="657AA5B5" w14:textId="37ABE6E3" w:rsidR="00E243D0" w:rsidRPr="00CF791A" w:rsidRDefault="00E243D0" w:rsidP="00E243D0">
      <w:pPr>
        <w:pStyle w:val="Paragraph"/>
      </w:pPr>
      <w:r w:rsidRPr="00CF791A">
        <w:t>Where neighbouring sites, which may be under the control of different dutyholders, share common systems or have the potential for interactions, there should be cooperation between them in developing safety cases and emergency arrangements. Formal mechanisms should be established and demonstrated to be working effectively.</w:t>
      </w:r>
      <w:r w:rsidR="00146B14" w:rsidRPr="00CF791A">
        <w:t xml:space="preserve"> </w:t>
      </w:r>
      <w:r w:rsidR="00CA6E64" w:rsidRPr="00CF791A">
        <w:t>Neighbouring</w:t>
      </w:r>
      <w:r w:rsidR="009D7006" w:rsidRPr="00CF791A">
        <w:t xml:space="preserve"> sites </w:t>
      </w:r>
      <w:r w:rsidR="005E334B" w:rsidRPr="00CF791A">
        <w:t>include</w:t>
      </w:r>
      <w:r w:rsidR="009D7006" w:rsidRPr="00CF791A">
        <w:t xml:space="preserve"> other nuclear sites and </w:t>
      </w:r>
      <w:r w:rsidR="00F2539B" w:rsidRPr="00CF791A">
        <w:t xml:space="preserve">other </w:t>
      </w:r>
      <w:r w:rsidR="00227828" w:rsidRPr="00CF791A">
        <w:t xml:space="preserve">significant </w:t>
      </w:r>
      <w:r w:rsidR="00F57DCC" w:rsidRPr="00CF791A">
        <w:t xml:space="preserve">industrial </w:t>
      </w:r>
      <w:r w:rsidR="00227828" w:rsidRPr="00CF791A">
        <w:t xml:space="preserve">sites, such </w:t>
      </w:r>
      <w:r w:rsidR="00F2539B" w:rsidRPr="00CF791A">
        <w:t>as</w:t>
      </w:r>
      <w:r w:rsidR="00227828" w:rsidRPr="00CF791A">
        <w:t xml:space="preserve"> </w:t>
      </w:r>
      <w:r w:rsidR="004C43BD" w:rsidRPr="00CF791A">
        <w:t xml:space="preserve">chemical </w:t>
      </w:r>
      <w:r w:rsidR="007C1C7B" w:rsidRPr="00CF791A">
        <w:t>site</w:t>
      </w:r>
      <w:r w:rsidR="00F57DCC" w:rsidRPr="00CF791A">
        <w:t>s</w:t>
      </w:r>
      <w:r w:rsidR="00F2539B" w:rsidRPr="00CF791A">
        <w:t>,</w:t>
      </w:r>
      <w:r w:rsidR="007C1C7B" w:rsidRPr="00CF791A">
        <w:t xml:space="preserve"> </w:t>
      </w:r>
      <w:r w:rsidR="00F57DCC" w:rsidRPr="00CF791A">
        <w:t>particularly</w:t>
      </w:r>
      <w:r w:rsidR="007C1C7B" w:rsidRPr="00CF791A">
        <w:t xml:space="preserve"> </w:t>
      </w:r>
      <w:r w:rsidR="00F57DCC" w:rsidRPr="00CF791A">
        <w:t>if</w:t>
      </w:r>
      <w:r w:rsidR="007C1C7B" w:rsidRPr="00CF791A">
        <w:t xml:space="preserve"> </w:t>
      </w:r>
      <w:r w:rsidR="00AB0E6F" w:rsidRPr="00CF791A">
        <w:t xml:space="preserve">identified </w:t>
      </w:r>
      <w:r w:rsidR="005A7456" w:rsidRPr="00CF791A">
        <w:t>a</w:t>
      </w:r>
      <w:r w:rsidR="00420CF1" w:rsidRPr="00CF791A">
        <w:t>s a</w:t>
      </w:r>
      <w:r w:rsidR="005A7456" w:rsidRPr="00CF791A">
        <w:t xml:space="preserve"> </w:t>
      </w:r>
      <w:r w:rsidR="00AB0E6F" w:rsidRPr="00CF791A">
        <w:t>site</w:t>
      </w:r>
      <w:r w:rsidR="005A7456" w:rsidRPr="00CF791A">
        <w:t xml:space="preserve"> </w:t>
      </w:r>
      <w:r w:rsidR="00F57A53" w:rsidRPr="00CF791A">
        <w:t>which hold</w:t>
      </w:r>
      <w:r w:rsidR="00420CF1" w:rsidRPr="00CF791A">
        <w:t>s</w:t>
      </w:r>
      <w:r w:rsidR="00F57A53" w:rsidRPr="00CF791A">
        <w:t xml:space="preserve"> dangerous substances exceeding level</w:t>
      </w:r>
      <w:r w:rsidR="00420CF1" w:rsidRPr="00CF791A">
        <w:t>s</w:t>
      </w:r>
      <w:r w:rsidR="00F57A53" w:rsidRPr="00CF791A">
        <w:t xml:space="preserve"> specified </w:t>
      </w:r>
      <w:r w:rsidR="005A7456" w:rsidRPr="00CF791A">
        <w:t xml:space="preserve">under </w:t>
      </w:r>
      <w:r w:rsidR="006C5E5A">
        <w:t>The C</w:t>
      </w:r>
      <w:r w:rsidR="00CB23EC" w:rsidRPr="00CF791A">
        <w:t xml:space="preserve">ontrol </w:t>
      </w:r>
      <w:r w:rsidR="005A7456" w:rsidRPr="00CF791A">
        <w:t xml:space="preserve">of </w:t>
      </w:r>
      <w:r w:rsidR="006C5E5A">
        <w:t>M</w:t>
      </w:r>
      <w:r w:rsidR="00CB23EC" w:rsidRPr="00CF791A">
        <w:t xml:space="preserve">ajor </w:t>
      </w:r>
      <w:r w:rsidR="006C5E5A">
        <w:t>A</w:t>
      </w:r>
      <w:r w:rsidR="00CB23EC" w:rsidRPr="00CF791A">
        <w:t xml:space="preserve">ccident </w:t>
      </w:r>
      <w:r w:rsidR="006C5E5A">
        <w:t>H</w:t>
      </w:r>
      <w:r w:rsidR="00CB23EC" w:rsidRPr="00CF791A">
        <w:t xml:space="preserve">azards </w:t>
      </w:r>
      <w:r w:rsidR="006C5E5A">
        <w:t>R</w:t>
      </w:r>
      <w:r w:rsidR="00CB23EC" w:rsidRPr="00CF791A">
        <w:t xml:space="preserve">egulations </w:t>
      </w:r>
      <w:r w:rsidR="005A7456" w:rsidRPr="00CF791A">
        <w:t>2015</w:t>
      </w:r>
      <w:r w:rsidR="00AB0E6F" w:rsidRPr="00CF791A">
        <w:t>.</w:t>
      </w:r>
    </w:p>
    <w:p w14:paraId="421120E7" w14:textId="5A3FD5CA" w:rsidR="00DB5B10" w:rsidRPr="00AA159A" w:rsidRDefault="002E0D8C" w:rsidP="009B7D05">
      <w:pPr>
        <w:pStyle w:val="SAPHeading"/>
        <w:rPr>
          <w:lang w:bidi="ar-SA"/>
        </w:rPr>
      </w:pPr>
      <w:r w:rsidRPr="00AA159A">
        <w:rPr>
          <w:lang w:bidi="ar-SA"/>
        </w:rPr>
        <w:t>ST</w:t>
      </w:r>
      <w:r w:rsidR="00DB5B10" w:rsidRPr="00AA159A">
        <w:rPr>
          <w:lang w:bidi="ar-SA"/>
        </w:rPr>
        <w:t>.</w:t>
      </w:r>
      <w:r w:rsidR="00BD6277">
        <w:rPr>
          <w:lang w:bidi="ar-SA"/>
        </w:rPr>
        <w:t>5</w:t>
      </w:r>
      <w:r w:rsidR="00DB5B10" w:rsidRPr="00AA159A">
        <w:rPr>
          <w:lang w:bidi="ar-SA"/>
        </w:rPr>
        <w:t xml:space="preserve"> – Site and facility layout</w:t>
      </w:r>
    </w:p>
    <w:p w14:paraId="26282519" w14:textId="77777777" w:rsidR="00DB5B10" w:rsidRPr="00AA159A" w:rsidRDefault="00DB5B10" w:rsidP="006C4609">
      <w:pPr>
        <w:pStyle w:val="SAPBodyText"/>
      </w:pPr>
      <w:r w:rsidRPr="00AA159A">
        <w:t xml:space="preserve">The layout of the site, its facilities, support facilities, systems, and services should support safe operations. </w:t>
      </w:r>
    </w:p>
    <w:p w14:paraId="6D23E820" w14:textId="77777777" w:rsidR="00DB5B10" w:rsidRPr="00CF791A" w:rsidRDefault="00DB5B10" w:rsidP="00DB5B10">
      <w:pPr>
        <w:pStyle w:val="Paragraph"/>
      </w:pPr>
      <w:r w:rsidRPr="00CF791A">
        <w:t>The layout of the site and facilities should:</w:t>
      </w:r>
    </w:p>
    <w:p w14:paraId="158D0EBC" w14:textId="06CC6B23" w:rsidR="00DB5B10" w:rsidRPr="00AA159A" w:rsidRDefault="0045611F" w:rsidP="00134698">
      <w:pPr>
        <w:pStyle w:val="NumList2"/>
        <w:numPr>
          <w:ilvl w:val="1"/>
          <w:numId w:val="21"/>
        </w:numPr>
      </w:pPr>
      <w:r w:rsidRPr="00AA159A">
        <w:t>M</w:t>
      </w:r>
      <w:r w:rsidR="00DB5B10" w:rsidRPr="00AA159A">
        <w:t>inimise the effects of faults, internal and external hazards. For example, by optimising embedment, segregation in the design of structures, systems or components (SSCs), allowing for safe movement of overhead lifting equipment, fire compartmentation, seismic separation, shielding from malicious aircraft impact, consideration of the impacts of flooding, diverse routes for essential services, and so on</w:t>
      </w:r>
      <w:r w:rsidR="005671BD">
        <w:t>;</w:t>
      </w:r>
    </w:p>
    <w:p w14:paraId="5F7B068E" w14:textId="6B36BF81" w:rsidR="00DB5B10" w:rsidRPr="00AA159A" w:rsidRDefault="0045611F" w:rsidP="00134698">
      <w:pPr>
        <w:pStyle w:val="NumList2"/>
        <w:numPr>
          <w:ilvl w:val="1"/>
          <w:numId w:val="21"/>
        </w:numPr>
      </w:pPr>
      <w:r w:rsidRPr="00AA159A">
        <w:t>M</w:t>
      </w:r>
      <w:r w:rsidR="00DB5B10" w:rsidRPr="00AA159A">
        <w:t>inimise the need for movement of nuclear matter around site and within facilities</w:t>
      </w:r>
      <w:r w:rsidR="005671BD">
        <w:t>;</w:t>
      </w:r>
    </w:p>
    <w:p w14:paraId="0DB761A3" w14:textId="0C3F3B64" w:rsidR="00DB5B10" w:rsidRPr="00AA159A" w:rsidRDefault="0045611F" w:rsidP="00134698">
      <w:pPr>
        <w:pStyle w:val="NumList2"/>
        <w:numPr>
          <w:ilvl w:val="1"/>
          <w:numId w:val="21"/>
        </w:numPr>
      </w:pPr>
      <w:r w:rsidRPr="00AA159A">
        <w:lastRenderedPageBreak/>
        <w:t>S</w:t>
      </w:r>
      <w:r w:rsidR="00DB5B10" w:rsidRPr="00AA159A">
        <w:t>upport safe access for operations and allow adequate clearance and access routes for E</w:t>
      </w:r>
      <w:r w:rsidR="00445182">
        <w:t>MI</w:t>
      </w:r>
      <w:r w:rsidR="00DB5B10" w:rsidRPr="00AA159A">
        <w:t>T, this should include access for necessary recovery actions and re-supply of essential stocks, equipment and personnel following an accident. Access to areas with radiation hazards and possible contamination should be appropriately controlled</w:t>
      </w:r>
      <w:r w:rsidR="005671BD">
        <w:t>;</w:t>
      </w:r>
      <w:r w:rsidR="00DB5B10" w:rsidRPr="00AA159A">
        <w:t xml:space="preserve"> </w:t>
      </w:r>
    </w:p>
    <w:p w14:paraId="4F295AD8" w14:textId="5BF55B4C" w:rsidR="00DB5B10" w:rsidRPr="00AA159A" w:rsidRDefault="00CF5E98" w:rsidP="00134698">
      <w:pPr>
        <w:pStyle w:val="NumList2"/>
        <w:numPr>
          <w:ilvl w:val="1"/>
          <w:numId w:val="21"/>
        </w:numPr>
      </w:pPr>
      <w:r w:rsidRPr="00AA159A">
        <w:t>Prevent u</w:t>
      </w:r>
      <w:r w:rsidR="00DB5B10" w:rsidRPr="00AA159A">
        <w:t>nauthorised access to, or interference with SSCs to mitigate the potential of inadvertent or malicious actions that could affect their operation (such as access arrangements or segregation of diverse safety systems)</w:t>
      </w:r>
      <w:r w:rsidR="005671BD">
        <w:t>;</w:t>
      </w:r>
    </w:p>
    <w:p w14:paraId="008EE5E4" w14:textId="4587FFB1" w:rsidR="00DB5B10" w:rsidRPr="00AA159A" w:rsidRDefault="00CF5E98" w:rsidP="00134698">
      <w:pPr>
        <w:pStyle w:val="NumList2"/>
        <w:numPr>
          <w:ilvl w:val="1"/>
          <w:numId w:val="21"/>
        </w:numPr>
      </w:pPr>
      <w:r w:rsidRPr="00AA159A">
        <w:t>C</w:t>
      </w:r>
      <w:r w:rsidR="00DB5B10" w:rsidRPr="00AA159A">
        <w:t xml:space="preserve">onsider the requirement to accommodate temporary works for construction activities, </w:t>
      </w:r>
      <w:r w:rsidR="00BE7B7F">
        <w:t>EMIT</w:t>
      </w:r>
      <w:r w:rsidR="00DB5B10" w:rsidRPr="00AA159A">
        <w:t xml:space="preserve"> and decommissioning</w:t>
      </w:r>
      <w:r w:rsidR="007304DC">
        <w:t>/</w:t>
      </w:r>
      <w:r w:rsidR="00DB5B10" w:rsidRPr="00AA159A">
        <w:t>demolition</w:t>
      </w:r>
      <w:r w:rsidR="005671BD">
        <w:t>;</w:t>
      </w:r>
    </w:p>
    <w:p w14:paraId="05161201" w14:textId="495C8DEE" w:rsidR="00DB5B10" w:rsidRPr="00AA159A" w:rsidRDefault="00CF5E98" w:rsidP="00134698">
      <w:pPr>
        <w:pStyle w:val="NumList2"/>
        <w:numPr>
          <w:ilvl w:val="1"/>
          <w:numId w:val="21"/>
        </w:numPr>
      </w:pPr>
      <w:r w:rsidRPr="00AA159A">
        <w:t>W</w:t>
      </w:r>
      <w:r w:rsidR="00DB5B10" w:rsidRPr="00AA159A">
        <w:t>here appropriate, allow flexibility for future modifications, ensuring that structural layouts can adapt without undermining integrity</w:t>
      </w:r>
      <w:r w:rsidR="005671BD">
        <w:t>;</w:t>
      </w:r>
    </w:p>
    <w:p w14:paraId="3ABD705B" w14:textId="1F651318" w:rsidR="00DB5B10" w:rsidRPr="00AA159A" w:rsidRDefault="00CF5E98" w:rsidP="00134698">
      <w:pPr>
        <w:pStyle w:val="NumList2"/>
        <w:numPr>
          <w:ilvl w:val="1"/>
          <w:numId w:val="21"/>
        </w:numPr>
      </w:pPr>
      <w:r w:rsidRPr="00AA159A">
        <w:t>S</w:t>
      </w:r>
      <w:r w:rsidR="00DB5B10" w:rsidRPr="00AA159A">
        <w:t>upport structure robustness and load path continuity</w:t>
      </w:r>
      <w:r w:rsidR="006F36D3">
        <w:t>;</w:t>
      </w:r>
      <w:r w:rsidR="00DB5B10" w:rsidRPr="00AA159A">
        <w:t xml:space="preserve"> avoid irregular layouts</w:t>
      </w:r>
      <w:r w:rsidR="006F36D3">
        <w:t>,</w:t>
      </w:r>
      <w:r w:rsidR="00DB5B10" w:rsidRPr="00AA159A">
        <w:t xml:space="preserve"> significant asymmetries or stiffness/mass eccentricities that could compromise stability or exacerbate loadings</w:t>
      </w:r>
      <w:r w:rsidR="005671BD">
        <w:t>; and</w:t>
      </w:r>
      <w:r w:rsidR="002F617B" w:rsidRPr="00AA159A">
        <w:t xml:space="preserve"> </w:t>
      </w:r>
    </w:p>
    <w:p w14:paraId="108C16AE" w14:textId="66AC280A" w:rsidR="00DB5B10" w:rsidRPr="00AA159A" w:rsidRDefault="00CF5E98" w:rsidP="00134698">
      <w:pPr>
        <w:pStyle w:val="NumList2"/>
        <w:numPr>
          <w:ilvl w:val="1"/>
          <w:numId w:val="21"/>
        </w:numPr>
      </w:pPr>
      <w:r w:rsidRPr="00AA159A">
        <w:t>P</w:t>
      </w:r>
      <w:r w:rsidR="00DB5B10" w:rsidRPr="00AA159A">
        <w:t>rovide sufficient spatial allowances to accommodate the responses of systems and structures under static and dynamic soil-structure and structure-soil-structure interaction effects (such as differential settlements, pounding and impact damage)</w:t>
      </w:r>
      <w:r w:rsidR="002F617B" w:rsidRPr="00AA159A">
        <w:t>.</w:t>
      </w:r>
      <w:r w:rsidR="00DB5B10" w:rsidRPr="00AA159A">
        <w:t xml:space="preserve"> </w:t>
      </w:r>
    </w:p>
    <w:p w14:paraId="1D538EC6" w14:textId="039A32D3" w:rsidR="00E243D0" w:rsidRPr="00CF791A" w:rsidRDefault="00DB5B10" w:rsidP="008606CE">
      <w:pPr>
        <w:pStyle w:val="Paragraph"/>
      </w:pPr>
      <w:r w:rsidRPr="00CF791A">
        <w:t>The application of design processes (including optioneering where appropriate) should underpin these critical design decisions.</w:t>
      </w:r>
    </w:p>
    <w:p w14:paraId="29990943" w14:textId="77777777" w:rsidR="00E243D0" w:rsidRPr="00CF791A" w:rsidRDefault="00E243D0" w:rsidP="00E243D0">
      <w:pPr>
        <w:spacing w:after="0" w:line="240" w:lineRule="auto"/>
        <w:rPr>
          <w:color w:val="22413A"/>
          <w:sz w:val="48"/>
        </w:rPr>
      </w:pPr>
      <w:r w:rsidRPr="00CF791A">
        <w:br w:type="page"/>
      </w:r>
    </w:p>
    <w:p w14:paraId="6F05262E" w14:textId="42AA5926" w:rsidR="00E243D0" w:rsidRPr="00AA159A" w:rsidRDefault="00E243D0" w:rsidP="005364DE">
      <w:pPr>
        <w:pStyle w:val="Heading1"/>
      </w:pPr>
      <w:bookmarkStart w:id="130" w:name="_Toc219206145"/>
      <w:bookmarkStart w:id="131" w:name="_Toc219748172"/>
      <w:bookmarkStart w:id="132" w:name="_Toc235711322"/>
      <w:r w:rsidRPr="00AA159A">
        <w:lastRenderedPageBreak/>
        <w:t xml:space="preserve">External and </w:t>
      </w:r>
      <w:r w:rsidR="004522AF" w:rsidRPr="00AA159A">
        <w:t>i</w:t>
      </w:r>
      <w:r w:rsidRPr="00AA159A">
        <w:t xml:space="preserve">nternal </w:t>
      </w:r>
      <w:r w:rsidR="004522AF" w:rsidRPr="00AA159A">
        <w:t>h</w:t>
      </w:r>
      <w:r w:rsidRPr="00AA159A">
        <w:t>azards</w:t>
      </w:r>
      <w:bookmarkEnd w:id="130"/>
      <w:bookmarkEnd w:id="131"/>
      <w:bookmarkEnd w:id="132"/>
    </w:p>
    <w:p w14:paraId="3396A08F" w14:textId="62DDD0D4" w:rsidR="00E243D0" w:rsidRPr="00CF791A" w:rsidRDefault="00E243D0" w:rsidP="00E243D0">
      <w:pPr>
        <w:pStyle w:val="Paragraph"/>
      </w:pPr>
      <w:r w:rsidRPr="00CF791A">
        <w:t xml:space="preserve">External hazards are natural or man-made hazards to a site and its facilities that originate outside the site and its processes, over which the dutyholder has little or no control. Terrorist or other malicious acts are </w:t>
      </w:r>
      <w:r w:rsidR="00123AA4" w:rsidRPr="00CF791A">
        <w:t xml:space="preserve">also </w:t>
      </w:r>
      <w:r w:rsidRPr="00CF791A">
        <w:t xml:space="preserve">assessed as external hazards under </w:t>
      </w:r>
      <w:r w:rsidR="00947997" w:rsidRPr="00CF791A">
        <w:t xml:space="preserve">other </w:t>
      </w:r>
      <w:r w:rsidRPr="00CF791A">
        <w:t xml:space="preserve">legislation. </w:t>
      </w:r>
    </w:p>
    <w:p w14:paraId="349A4C84" w14:textId="77777777" w:rsidR="00E243D0" w:rsidRPr="00CF791A" w:rsidRDefault="00E243D0" w:rsidP="00E243D0">
      <w:pPr>
        <w:pStyle w:val="Paragraph"/>
      </w:pPr>
      <w:r w:rsidRPr="00CF791A">
        <w:t>Internal hazards are those hazards to the facility or its SSCs that originate within the site boundary and over which the dutyholder has control in some form. Consideration of human-induced events that could directly or indirectly affect the safety of the facility is expected.</w:t>
      </w:r>
    </w:p>
    <w:p w14:paraId="37479C46" w14:textId="77777777" w:rsidR="00E243D0" w:rsidRPr="00CF791A" w:rsidRDefault="00E243D0" w:rsidP="00E243D0">
      <w:pPr>
        <w:pStyle w:val="Paragraph"/>
      </w:pPr>
      <w:r w:rsidRPr="00CF791A">
        <w:t>Dutyholders should systematically identify, screen, and characterise all hazards throughout the facility’s lifecycle. The dutyholder should periodically review hazards including changes to severity and/or frequency.</w:t>
      </w:r>
    </w:p>
    <w:p w14:paraId="02B133B3" w14:textId="37ADB38C" w:rsidR="00FD3296" w:rsidRPr="00CF791A" w:rsidRDefault="00FD3296" w:rsidP="00633992">
      <w:pPr>
        <w:pStyle w:val="Paragraph"/>
      </w:pPr>
      <w:r w:rsidRPr="00CF791A">
        <w:t>Dutyholders should systematically analyse hazards and hazard combinations, throughout the facility lifecycle to determine their potential consequences and interactions with SSCs. Analysis outcomes should be used to manage nuclear safety risks. Dutyholders should also understand hazards and hazard combinations beyond the design basis including extreme conditions and cliff-edge effects. This should include consideration of scenarios where safety barriers may be degraded or removed (for example, during maintenance states</w:t>
      </w:r>
      <w:r w:rsidR="009F0BFD">
        <w:t xml:space="preserve"> and </w:t>
      </w:r>
      <w:r w:rsidRPr="00CF791A">
        <w:t>refuelling).</w:t>
      </w:r>
    </w:p>
    <w:p w14:paraId="514308BD" w14:textId="77777777" w:rsidR="00E243D0" w:rsidRPr="00AA159A" w:rsidRDefault="00E243D0" w:rsidP="009B7D05">
      <w:pPr>
        <w:pStyle w:val="SAPHeading"/>
      </w:pPr>
      <w:r w:rsidRPr="00AA159A">
        <w:t>EHA.1 – Identification</w:t>
      </w:r>
    </w:p>
    <w:p w14:paraId="13B3164D" w14:textId="77777777" w:rsidR="00E243D0" w:rsidRPr="00AA159A" w:rsidRDefault="00E243D0" w:rsidP="006C4609">
      <w:pPr>
        <w:pStyle w:val="SAPBodyText"/>
      </w:pPr>
      <w:r w:rsidRPr="00AA159A">
        <w:t>A systematic and effective process should be applied to identify all external and internal hazards both individually and in combination that could affect nuclear safety.</w:t>
      </w:r>
    </w:p>
    <w:p w14:paraId="586B4111" w14:textId="77777777" w:rsidR="00E243D0" w:rsidRPr="00CF791A" w:rsidRDefault="00E243D0" w:rsidP="00E243D0">
      <w:pPr>
        <w:pStyle w:val="Paragraph"/>
      </w:pPr>
      <w:r w:rsidRPr="00CF791A">
        <w:t>The external and internal hazard identification processes should include all credible combinations of independently occurring hazards, causally-related hazards and consequential events resulting from a common initiating event.</w:t>
      </w:r>
    </w:p>
    <w:p w14:paraId="25AC12C0" w14:textId="77777777" w:rsidR="00E243D0" w:rsidRPr="00AA159A" w:rsidRDefault="00E243D0" w:rsidP="009B7D05">
      <w:pPr>
        <w:pStyle w:val="SAPHeading"/>
      </w:pPr>
      <w:r w:rsidRPr="00AA159A">
        <w:t>EHA.2 – Screening</w:t>
      </w:r>
    </w:p>
    <w:p w14:paraId="555826F7" w14:textId="77777777" w:rsidR="00E243D0" w:rsidRPr="00AA159A" w:rsidRDefault="00E243D0" w:rsidP="006C4609">
      <w:pPr>
        <w:pStyle w:val="SAPBodyText"/>
      </w:pPr>
      <w:r w:rsidRPr="00AA159A">
        <w:t>A systematic and effective process should be applied to screen hazards both individually and in combination based on contribution to nuclear safety risks.</w:t>
      </w:r>
    </w:p>
    <w:p w14:paraId="31DBBC0E" w14:textId="58C569E8" w:rsidR="00E243D0" w:rsidRPr="00CF791A" w:rsidRDefault="00566CA5" w:rsidP="00566CA5">
      <w:pPr>
        <w:pStyle w:val="Paragraph"/>
      </w:pPr>
      <w:r w:rsidRPr="00CF791A">
        <w:t>For some hazards, such as the presence of a geological fault that could cause hazardous displacement, the application of screening criteria may require qualitative or bespoke judgements.</w:t>
      </w:r>
      <w:r w:rsidR="00E243D0" w:rsidRPr="00CF791A">
        <w:t xml:space="preserve"> For hazard combinations and associated fault sequences, the initiating hazards may affect the facility state making secondary hazards more likely than their assumed normal frequency. The exclusion of any hazards or combinations screened out from further analysis should be justified. All remaining hazards and combinations should be considered as initiating events in the fault analysis </w:t>
      </w:r>
      <w:r w:rsidR="007A50AA">
        <w:t>(refer to</w:t>
      </w:r>
      <w:r w:rsidR="00E243D0" w:rsidRPr="00CF791A">
        <w:t xml:space="preserve"> FA.2</w:t>
      </w:r>
      <w:r w:rsidR="00E74183" w:rsidRPr="00CF791A">
        <w:t>)</w:t>
      </w:r>
      <w:r w:rsidR="00E243D0" w:rsidRPr="00CF791A">
        <w:t>.</w:t>
      </w:r>
    </w:p>
    <w:p w14:paraId="55CA3542" w14:textId="6AF32F59" w:rsidR="00E243D0" w:rsidRPr="00AA159A" w:rsidRDefault="00E243D0" w:rsidP="009B7D05">
      <w:pPr>
        <w:pStyle w:val="SAPHeading"/>
      </w:pPr>
      <w:r w:rsidRPr="00AA159A">
        <w:lastRenderedPageBreak/>
        <w:t xml:space="preserve">EHA.3 – Hazard </w:t>
      </w:r>
      <w:r w:rsidR="003C75AD" w:rsidRPr="00AA159A">
        <w:t xml:space="preserve">data sources </w:t>
      </w:r>
      <w:r w:rsidRPr="00AA159A">
        <w:t xml:space="preserve">and </w:t>
      </w:r>
      <w:r w:rsidR="003C75AD" w:rsidRPr="00AA159A">
        <w:t>application</w:t>
      </w:r>
    </w:p>
    <w:p w14:paraId="496A0C74" w14:textId="77777777" w:rsidR="00E243D0" w:rsidRPr="00AA159A" w:rsidRDefault="00E243D0" w:rsidP="006C4609">
      <w:pPr>
        <w:pStyle w:val="SAPBodyText"/>
      </w:pPr>
      <w:r w:rsidRPr="00AA159A">
        <w:t>Hazard data applied to hazard characterisation and analysis should be best available and justified. Uncertainties should be adequately characterised to provide reliable representation.</w:t>
      </w:r>
    </w:p>
    <w:p w14:paraId="046C9210" w14:textId="33F1414F" w:rsidR="00E243D0" w:rsidRPr="00CF791A" w:rsidRDefault="00E243D0" w:rsidP="00E243D0">
      <w:pPr>
        <w:pStyle w:val="Paragraph"/>
      </w:pPr>
      <w:r w:rsidRPr="00CF791A">
        <w:t xml:space="preserve">An adequate process should identify and manage data to provide reliable data for hazard characterisation and analysis in accordance with the AV principles. </w:t>
      </w:r>
      <w:r w:rsidR="00D729AC">
        <w:br/>
      </w:r>
      <w:r w:rsidRPr="00CF791A">
        <w:t xml:space="preserve">The process and rigour applied should be proportionate to the hazard significance. </w:t>
      </w:r>
      <w:r w:rsidR="00D729AC">
        <w:br/>
      </w:r>
      <w:r w:rsidRPr="00CF791A">
        <w:t>In determining best available data the dutyholder should consider:</w:t>
      </w:r>
    </w:p>
    <w:p w14:paraId="1EF4C468" w14:textId="188D4E9F" w:rsidR="00802449" w:rsidRPr="00A86F87" w:rsidRDefault="00E243D0" w:rsidP="00134698">
      <w:pPr>
        <w:pStyle w:val="NumList2"/>
        <w:numPr>
          <w:ilvl w:val="1"/>
          <w:numId w:val="22"/>
        </w:numPr>
      </w:pPr>
      <w:r w:rsidRPr="00AA159A">
        <w:t>the provenance and completeness of hazard data recognising the often varied and differing quality of data sources and associated uncertainties (for example, instrumental, operational, historical and palaeogeological);</w:t>
      </w:r>
    </w:p>
    <w:p w14:paraId="7B8EBCB9" w14:textId="000DFAC3" w:rsidR="00CE0EDD" w:rsidRPr="00A86F87" w:rsidRDefault="00E243D0" w:rsidP="00134698">
      <w:pPr>
        <w:pStyle w:val="NumList2"/>
        <w:numPr>
          <w:ilvl w:val="1"/>
          <w:numId w:val="22"/>
        </w:numPr>
      </w:pPr>
      <w:r w:rsidRPr="00AA159A">
        <w:t>the possible need for expert judgement in combining and analysing data;</w:t>
      </w:r>
    </w:p>
    <w:p w14:paraId="7B8B6BD6" w14:textId="3359CBE1" w:rsidR="007E63D8" w:rsidRPr="00A86F87" w:rsidRDefault="00E243D0" w:rsidP="00134698">
      <w:pPr>
        <w:pStyle w:val="NumList2"/>
        <w:numPr>
          <w:ilvl w:val="1"/>
          <w:numId w:val="22"/>
        </w:numPr>
      </w:pPr>
      <w:r w:rsidRPr="00AA159A">
        <w:t>applicability and relevancy of data to the site, facility and/or activities; and</w:t>
      </w:r>
    </w:p>
    <w:p w14:paraId="030AF7FE" w14:textId="16EF43B2" w:rsidR="00417E76" w:rsidRDefault="00E243D0" w:rsidP="00134698">
      <w:pPr>
        <w:pStyle w:val="NumList2"/>
        <w:numPr>
          <w:ilvl w:val="1"/>
          <w:numId w:val="22"/>
        </w:numPr>
      </w:pPr>
      <w:r w:rsidRPr="00AA159A">
        <w:t>hazard characterisation and design requirements.</w:t>
      </w:r>
    </w:p>
    <w:p w14:paraId="498C9937" w14:textId="5232D465" w:rsidR="00E243D0" w:rsidRPr="00AA159A" w:rsidRDefault="00E243D0" w:rsidP="00E008B9">
      <w:pPr>
        <w:pStyle w:val="Paragraph"/>
      </w:pPr>
      <w:r w:rsidRPr="00AA159A">
        <w:t xml:space="preserve">Generally, data should enable the relationship between severity and frequency to be determined. </w:t>
      </w:r>
      <w:r w:rsidRPr="00CF791A">
        <w:t>Where data is limited or highly uncertain, the use of expert judgement may be acceptable provided that the basis for the judgement is suitably justified.</w:t>
      </w:r>
      <w:r w:rsidR="00922937">
        <w:t xml:space="preserve"> </w:t>
      </w:r>
      <w:r w:rsidRPr="00CF791A">
        <w:t>Hazard and hazard-related data should be monitored and collected over the site and facility lifetime to support safety case development, periodic reviews and operational arrangements. This data should be used to validate hazard severities and frequencies and associated assumptions.</w:t>
      </w:r>
    </w:p>
    <w:p w14:paraId="4068BD12" w14:textId="77777777" w:rsidR="00E243D0" w:rsidRPr="00AA159A" w:rsidRDefault="00E243D0" w:rsidP="009B7D05">
      <w:pPr>
        <w:pStyle w:val="SAPHeading"/>
      </w:pPr>
      <w:r w:rsidRPr="00AA159A">
        <w:t>EHA.4 – Characterisation</w:t>
      </w:r>
    </w:p>
    <w:p w14:paraId="0D2A3741" w14:textId="4D9C777B" w:rsidR="00E243D0" w:rsidRPr="00AA159A" w:rsidRDefault="00E243D0" w:rsidP="006C4609">
      <w:pPr>
        <w:pStyle w:val="SAPBodyText"/>
      </w:pPr>
      <w:r w:rsidRPr="00AA159A">
        <w:t>A systematic and effective process should be applied to characterise hazards and hazard combinations, justifying the relationship between severity/consequence and frequency to enable inputs for use in safety analyses.</w:t>
      </w:r>
    </w:p>
    <w:p w14:paraId="279678AE" w14:textId="06A097AF" w:rsidR="00E243D0" w:rsidRPr="00CF791A" w:rsidRDefault="00E243D0" w:rsidP="00E243D0">
      <w:pPr>
        <w:pStyle w:val="Paragraph"/>
      </w:pPr>
      <w:r w:rsidRPr="00CF791A">
        <w:t>The methods and rigour applied to hazard characterisation, such as the adoption of a structured decision-making process and independent peer review, should be justified and appropriate to the overall risk contribution. This could include qualitative and/or quantitative methods. The process should characterise relevant hazard components, parameters and associated uncertainties, enabling a</w:t>
      </w:r>
      <w:r w:rsidR="00395450">
        <w:t>n</w:t>
      </w:r>
      <w:r w:rsidRPr="00CF791A">
        <w:t xml:space="preserve"> </w:t>
      </w:r>
      <w:r w:rsidR="00395450">
        <w:t>appropriate</w:t>
      </w:r>
      <w:r w:rsidR="00395450" w:rsidRPr="00CF791A">
        <w:t xml:space="preserve"> </w:t>
      </w:r>
      <w:r w:rsidRPr="00CF791A">
        <w:t xml:space="preserve">design basis to be determined for use in the safety analysis. </w:t>
      </w:r>
    </w:p>
    <w:p w14:paraId="52A06A4D" w14:textId="77777777" w:rsidR="00E243D0" w:rsidRPr="00CF791A" w:rsidRDefault="00E243D0" w:rsidP="00E243D0">
      <w:pPr>
        <w:pStyle w:val="Paragraph"/>
      </w:pPr>
      <w:r w:rsidRPr="00CF791A">
        <w:t xml:space="preserve">For relevant natural hazards, the effects of climate change over the lifetime of the facility should be characterised. This should include the reasonably foreseeable effects and more extreme scenarios. </w:t>
      </w:r>
    </w:p>
    <w:p w14:paraId="6F1AE390" w14:textId="5530EF9D" w:rsidR="00E243D0" w:rsidRPr="00CF791A" w:rsidRDefault="00E243D0" w:rsidP="00E243D0">
      <w:pPr>
        <w:pStyle w:val="Paragraph"/>
      </w:pPr>
      <w:r w:rsidRPr="00CF791A">
        <w:t xml:space="preserve">Hazard characterisation should be reviewed on a periodic basis to account for updates to data, methods, non-stationary effects and so on </w:t>
      </w:r>
      <w:r w:rsidR="007A50AA">
        <w:t>(refer to</w:t>
      </w:r>
      <w:r w:rsidR="001561CF" w:rsidRPr="00CF791A">
        <w:t xml:space="preserve"> </w:t>
      </w:r>
      <w:r w:rsidRPr="00CF791A">
        <w:t>AV.</w:t>
      </w:r>
      <w:r w:rsidR="001561CF" w:rsidRPr="00CF791A">
        <w:t>5</w:t>
      </w:r>
      <w:r w:rsidRPr="00CF791A">
        <w:t xml:space="preserve">). </w:t>
      </w:r>
      <w:r w:rsidR="00D729AC">
        <w:br/>
      </w:r>
      <w:r w:rsidRPr="00CF791A">
        <w:t xml:space="preserve">The review periodicity should be commensurate with developments of underpinning </w:t>
      </w:r>
      <w:r w:rsidRPr="00CF791A">
        <w:lastRenderedPageBreak/>
        <w:t>science and technology, operating experience, design modifications, uncertainties and risk.</w:t>
      </w:r>
    </w:p>
    <w:p w14:paraId="76DA2DF4" w14:textId="77777777" w:rsidR="000F692B" w:rsidRPr="00C51F09" w:rsidRDefault="000F692B" w:rsidP="009B7D05">
      <w:pPr>
        <w:pStyle w:val="SAPHeading"/>
      </w:pPr>
      <w:r w:rsidRPr="00C51F09">
        <w:t>EHA.5 – Design basis hazards</w:t>
      </w:r>
    </w:p>
    <w:p w14:paraId="2B21EC78" w14:textId="77777777" w:rsidR="000F692B" w:rsidRPr="00C51F09" w:rsidRDefault="000F692B" w:rsidP="006C4609">
      <w:pPr>
        <w:pStyle w:val="SAPBodyText"/>
      </w:pPr>
      <w:r w:rsidRPr="00C51F09">
        <w:t>A design basis hazard should be defined and justified for each hazard or hazard combination that cannot be excluded, on the basis of frequency or consequence.</w:t>
      </w:r>
    </w:p>
    <w:p w14:paraId="170DE6FD" w14:textId="516542A2" w:rsidR="00200F9B" w:rsidRDefault="00200F9B" w:rsidP="004A57D7">
      <w:pPr>
        <w:pStyle w:val="Paragraph"/>
      </w:pPr>
      <w:r>
        <w:t xml:space="preserve">The predicted frequencies for </w:t>
      </w:r>
      <w:r w:rsidRPr="00C51F09">
        <w:t xml:space="preserve">hazards </w:t>
      </w:r>
      <w:r>
        <w:t xml:space="preserve">and their </w:t>
      </w:r>
      <w:r w:rsidRPr="00C51F09">
        <w:t>unmitigated consequence</w:t>
      </w:r>
      <w:r>
        <w:t>s</w:t>
      </w:r>
      <w:r w:rsidRPr="00C51F09">
        <w:t xml:space="preserve"> </w:t>
      </w:r>
      <w:r>
        <w:t xml:space="preserve">(including appropriate assumptions </w:t>
      </w:r>
      <w:r w:rsidR="007A50AA">
        <w:t>(refer to</w:t>
      </w:r>
      <w:r>
        <w:t xml:space="preserve"> DBA.3)) should be determined and compared against DBA.2 and Risk Indicator 4 to determine whether they should form part of the design basis analysis. Internal and man-made hazards </w:t>
      </w:r>
      <w:r w:rsidR="00E32890">
        <w:t xml:space="preserve">with </w:t>
      </w:r>
      <w:r>
        <w:t xml:space="preserve">a predicted </w:t>
      </w:r>
      <w:r w:rsidR="00825E76">
        <w:t xml:space="preserve">best estimate </w:t>
      </w:r>
      <w:r w:rsidRPr="00C51F09">
        <w:t xml:space="preserve">frequency </w:t>
      </w:r>
      <w:r>
        <w:t xml:space="preserve">greater than </w:t>
      </w:r>
      <w:r w:rsidRPr="00C51F09">
        <w:t>10</w:t>
      </w:r>
      <w:r w:rsidRPr="00200F9B">
        <w:rPr>
          <w:vertAlign w:val="superscript"/>
        </w:rPr>
        <w:t>-5</w:t>
      </w:r>
      <w:r w:rsidRPr="00C51F09">
        <w:t xml:space="preserve"> pa should be </w:t>
      </w:r>
      <w:r w:rsidR="006B2EBE">
        <w:t>included</w:t>
      </w:r>
      <w:r>
        <w:t xml:space="preserve"> in</w:t>
      </w:r>
      <w:r w:rsidRPr="00C51F09">
        <w:t xml:space="preserve"> the design basis</w:t>
      </w:r>
      <w:r w:rsidR="00A303C5">
        <w:t xml:space="preserve">, </w:t>
      </w:r>
      <w:r w:rsidR="008C6011">
        <w:t xml:space="preserve">unless the </w:t>
      </w:r>
      <w:r w:rsidR="008C6011" w:rsidRPr="008C6011">
        <w:t>unmitigated consequences do not exceed the BSL</w:t>
      </w:r>
      <w:r w:rsidR="00FF2180">
        <w:t>s</w:t>
      </w:r>
      <w:r w:rsidR="008C6011" w:rsidRPr="008C6011">
        <w:t xml:space="preserve"> in Risk Indicator 4</w:t>
      </w:r>
      <w:r>
        <w:t xml:space="preserve">. </w:t>
      </w:r>
    </w:p>
    <w:p w14:paraId="0B6329D1" w14:textId="0701F506" w:rsidR="00200F9B" w:rsidRPr="00C51F09" w:rsidRDefault="00200F9B" w:rsidP="00224635">
      <w:pPr>
        <w:pStyle w:val="Paragraph"/>
      </w:pPr>
      <w:r>
        <w:t xml:space="preserve">To </w:t>
      </w:r>
      <w:r w:rsidRPr="00F250CD">
        <w:t xml:space="preserve">enable flexibility for natural external hazards, </w:t>
      </w:r>
      <w:r w:rsidR="00224635" w:rsidRPr="000F6AE2">
        <w:t>the design basis hazard can be determined using an annual frequency of exceedance within the range of 10</w:t>
      </w:r>
      <w:r w:rsidR="00224635" w:rsidRPr="000F6AE2">
        <w:rPr>
          <w:vertAlign w:val="superscript"/>
        </w:rPr>
        <w:t>-4</w:t>
      </w:r>
      <w:r w:rsidR="00224635" w:rsidRPr="000F6AE2">
        <w:t xml:space="preserve"> to 10</w:t>
      </w:r>
      <w:r w:rsidR="00224635" w:rsidRPr="000F6AE2">
        <w:rPr>
          <w:vertAlign w:val="superscript"/>
        </w:rPr>
        <w:t>-5</w:t>
      </w:r>
      <w:r w:rsidRPr="00F250CD">
        <w:t xml:space="preserve"> </w:t>
      </w:r>
      <w:r w:rsidR="00746FA7">
        <w:t xml:space="preserve">subject to </w:t>
      </w:r>
      <w:r w:rsidR="00C86197">
        <w:t xml:space="preserve">inclusion of </w:t>
      </w:r>
      <w:r w:rsidR="00BC1150">
        <w:t>appropriate conservati</w:t>
      </w:r>
      <w:r w:rsidR="00E42F55">
        <w:t>sm</w:t>
      </w:r>
      <w:r w:rsidR="005D7A33">
        <w:t xml:space="preserve">. </w:t>
      </w:r>
      <w:r w:rsidRPr="00F250CD">
        <w:t>The approach taken</w:t>
      </w:r>
      <w:r w:rsidRPr="00FF4CCA">
        <w:t xml:space="preserve"> and degree of conservatism applied should be justified.</w:t>
      </w:r>
      <w:r w:rsidRPr="00C51F09">
        <w:t xml:space="preserve"> </w:t>
      </w:r>
      <w:r w:rsidRPr="00FF4CCA">
        <w:t xml:space="preserve">Alternatively, a design basis </w:t>
      </w:r>
      <w:r>
        <w:t xml:space="preserve">approach </w:t>
      </w:r>
      <w:r w:rsidRPr="00FF4CCA">
        <w:t xml:space="preserve">could be defined based on the </w:t>
      </w:r>
      <w:r>
        <w:t>risk framework</w:t>
      </w:r>
      <w:r w:rsidRPr="00FF4CCA">
        <w:t>, if appropriately justified.</w:t>
      </w:r>
      <w:r>
        <w:t xml:space="preserve"> </w:t>
      </w:r>
    </w:p>
    <w:p w14:paraId="7647E959" w14:textId="10657A7B" w:rsidR="00200F9B" w:rsidRPr="00C51F09" w:rsidRDefault="00200F9B" w:rsidP="00200F9B">
      <w:pPr>
        <w:pStyle w:val="Paragraph"/>
      </w:pPr>
      <w:r w:rsidRPr="00C51F09">
        <w:t xml:space="preserve">Some hazards may not be amenable to the derivation of a design basis based on frequency. In such cases, </w:t>
      </w:r>
      <w:r w:rsidRPr="00A759CE">
        <w:t>a surrogate maximum credible event may be defined</w:t>
      </w:r>
      <w:r w:rsidRPr="00C51F09">
        <w:t xml:space="preserve">. </w:t>
      </w:r>
      <w:r w:rsidR="00D729AC">
        <w:br/>
      </w:r>
      <w:r w:rsidRPr="00C51F09">
        <w:t xml:space="preserve">A bounding hazard may </w:t>
      </w:r>
      <w:r>
        <w:t xml:space="preserve">also be used to </w:t>
      </w:r>
      <w:r w:rsidRPr="00C51F09">
        <w:t xml:space="preserve">group hazards and/or hazard combinations. </w:t>
      </w:r>
      <w:r>
        <w:t xml:space="preserve">Use of </w:t>
      </w:r>
      <w:r w:rsidRPr="00A759CE">
        <w:t xml:space="preserve">surrogate maximum credible event </w:t>
      </w:r>
      <w:r>
        <w:t xml:space="preserve">or </w:t>
      </w:r>
      <w:r w:rsidRPr="00C51F09">
        <w:t xml:space="preserve">bounding hazards should be suitably justified. </w:t>
      </w:r>
    </w:p>
    <w:p w14:paraId="3FD004E7" w14:textId="77777777" w:rsidR="00200F9B" w:rsidRPr="00C51F09" w:rsidRDefault="00200F9B" w:rsidP="00200F9B">
      <w:pPr>
        <w:pStyle w:val="Paragraph"/>
      </w:pPr>
      <w:r w:rsidRPr="00FF4CCA">
        <w:t>The design basis should be sufficiently conservative to reflect international minimum expectations and representative of the initiating hazard behaviour.</w:t>
      </w:r>
    </w:p>
    <w:p w14:paraId="2A58D847" w14:textId="77777777" w:rsidR="00200F9B" w:rsidRDefault="00200F9B" w:rsidP="00200F9B">
      <w:pPr>
        <w:pStyle w:val="Paragraph"/>
      </w:pPr>
      <w:r w:rsidRPr="00C51F09">
        <w:t xml:space="preserve">For hazards where frequency or severity vary with time (non-stationary), the design basis should be revalidated, and where necessary, redefined on a periodic basis to account for changes in the underlying hazard frequency and/or severity. </w:t>
      </w:r>
    </w:p>
    <w:p w14:paraId="2D6DE4C6" w14:textId="77777777" w:rsidR="00200F9B" w:rsidRPr="00C51F09" w:rsidRDefault="00200F9B" w:rsidP="00200F9B">
      <w:pPr>
        <w:pStyle w:val="Paragraph"/>
      </w:pPr>
      <w:r w:rsidRPr="00C51F09">
        <w:t xml:space="preserve">The effects of climate change over the lifetime of the facility should be included for relevant natural hazards. </w:t>
      </w:r>
    </w:p>
    <w:p w14:paraId="6BEE569F" w14:textId="301DBC06" w:rsidR="00200F9B" w:rsidRDefault="00200F9B" w:rsidP="00200F9B">
      <w:pPr>
        <w:pStyle w:val="Paragraph"/>
      </w:pPr>
      <w:r w:rsidRPr="00C51F09">
        <w:t xml:space="preserve">Where the unmitigated consequences are low, it may be appropriate for a facility </w:t>
      </w:r>
      <w:r w:rsidR="00D729AC">
        <w:br/>
      </w:r>
      <w:r w:rsidRPr="00C51F09">
        <w:t>(or relevant parts of it) to be designed against hazard-induced loads by applying relevant industrial standards.</w:t>
      </w:r>
    </w:p>
    <w:p w14:paraId="27ED0A32" w14:textId="77777777" w:rsidR="00B53598" w:rsidRPr="00AA159A" w:rsidRDefault="00B53598" w:rsidP="009B7D05">
      <w:pPr>
        <w:pStyle w:val="SAPHeading"/>
        <w:rPr>
          <w:lang w:bidi="ar-SA"/>
        </w:rPr>
      </w:pPr>
      <w:r w:rsidRPr="00AA159A">
        <w:rPr>
          <w:lang w:bidi="ar-SA"/>
        </w:rPr>
        <w:t>EHA.6 – Hazard-plant interaction and consequence analysis</w:t>
      </w:r>
    </w:p>
    <w:p w14:paraId="4BACD97C" w14:textId="34D58ED3" w:rsidR="00B53598" w:rsidRPr="00AA159A" w:rsidRDefault="00B53598" w:rsidP="006C4609">
      <w:pPr>
        <w:pStyle w:val="SAPBodyText"/>
      </w:pPr>
      <w:r w:rsidRPr="00AA159A">
        <w:t>Relevant internal and external hazards and hazard combination(s) that could affect nuclear safety should be analysed to determine their impact on the facility</w:t>
      </w:r>
      <w:r w:rsidR="00526F7C">
        <w:t xml:space="preserve"> and the delivery of </w:t>
      </w:r>
      <w:r w:rsidRPr="00AA159A">
        <w:t>relevant safety function</w:t>
      </w:r>
      <w:r w:rsidR="008F01B4">
        <w:t>s</w:t>
      </w:r>
      <w:r w:rsidRPr="00AA159A">
        <w:t>.</w:t>
      </w:r>
    </w:p>
    <w:p w14:paraId="06369A02" w14:textId="49B51D20" w:rsidR="00B53598" w:rsidRPr="00CF791A" w:rsidRDefault="00B53598" w:rsidP="00B53598">
      <w:pPr>
        <w:pStyle w:val="Paragraph"/>
      </w:pPr>
      <w:r w:rsidRPr="00CF791A">
        <w:t xml:space="preserve">Internal and external hazards can result in various combinations of loadings and conditions that safety measures may be required to withstand or be protected from to </w:t>
      </w:r>
      <w:r w:rsidRPr="00CF791A">
        <w:lastRenderedPageBreak/>
        <w:t>maintain nuclear safety. Dutyholders should</w:t>
      </w:r>
      <w:r w:rsidR="00980473" w:rsidRPr="00CF791A">
        <w:t xml:space="preserve"> </w:t>
      </w:r>
      <w:r w:rsidRPr="00CF791A">
        <w:t xml:space="preserve">derive these loadings and conditions and appropriately </w:t>
      </w:r>
      <w:r w:rsidR="008D0D93" w:rsidRPr="00CF791A">
        <w:t>characteri</w:t>
      </w:r>
      <w:r w:rsidR="008D0D93">
        <w:t>s</w:t>
      </w:r>
      <w:r w:rsidR="008D0D93" w:rsidRPr="00CF791A">
        <w:t xml:space="preserve">e </w:t>
      </w:r>
      <w:r w:rsidRPr="00CF791A">
        <w:t xml:space="preserve">their impact on SSCs for engineering analysis. </w:t>
      </w:r>
      <w:r w:rsidR="00D729AC">
        <w:br/>
      </w:r>
      <w:r w:rsidRPr="00CF791A">
        <w:t xml:space="preserve">This may necessitate an iterative approach to inform the design and safety measures to ensure that consequences from hazards are minimized. </w:t>
      </w:r>
    </w:p>
    <w:p w14:paraId="0D97101D" w14:textId="61A91BE1" w:rsidR="00B53598" w:rsidRPr="00CF791A" w:rsidRDefault="00B53598" w:rsidP="00B53598">
      <w:pPr>
        <w:pStyle w:val="Paragraph"/>
      </w:pPr>
      <w:r w:rsidRPr="00CF791A">
        <w:t xml:space="preserve">The hazard analysis should </w:t>
      </w:r>
      <w:r w:rsidR="00612D8F">
        <w:t>consider</w:t>
      </w:r>
      <w:r w:rsidRPr="00CF791A">
        <w:t xml:space="preserve"> the most challenging permitted operating conditions</w:t>
      </w:r>
      <w:r w:rsidR="008F71B6">
        <w:t xml:space="preserve"> and </w:t>
      </w:r>
      <w:r w:rsidRPr="00CF791A">
        <w:t>all relevant hazard sources across the facility for all plant states.</w:t>
      </w:r>
    </w:p>
    <w:p w14:paraId="7751ED9E" w14:textId="6DAE71B6" w:rsidR="00B53598" w:rsidRPr="00CF791A" w:rsidRDefault="00B53598" w:rsidP="00B53598">
      <w:pPr>
        <w:pStyle w:val="Paragraph"/>
      </w:pPr>
      <w:r w:rsidRPr="00CF791A">
        <w:t xml:space="preserve">The analysis should consider available defence in depth, and simultaneous effects </w:t>
      </w:r>
      <w:r w:rsidR="008606CE" w:rsidRPr="00CF791A">
        <w:t>(for example,</w:t>
      </w:r>
      <w:r w:rsidRPr="00CF791A">
        <w:t xml:space="preserve"> interactions between SSCs), common cause failures (</w:t>
      </w:r>
      <w:r w:rsidR="00066A4E" w:rsidRPr="00CF791A">
        <w:t>for example,</w:t>
      </w:r>
      <w:r w:rsidRPr="00CF791A">
        <w:t xml:space="preserve"> loss of off-site power) and consequential effects. The analysis should apply an appropriate combination of expert judgement, deterministic and probabilistic methods.</w:t>
      </w:r>
      <w:r w:rsidR="007304DC">
        <w:t xml:space="preserve"> </w:t>
      </w:r>
    </w:p>
    <w:p w14:paraId="1D15B25F" w14:textId="10A9362B" w:rsidR="00B53598" w:rsidRPr="00CF791A" w:rsidRDefault="00B53598" w:rsidP="00B53598">
      <w:pPr>
        <w:pStyle w:val="Paragraph"/>
      </w:pPr>
      <w:r w:rsidRPr="00CF791A">
        <w:t>The analysis should systematically review the facility’s behaviour in response to the hazard(s) loads and conditions and demonstrate its tolerance to the hazard(s). Hazard loads and conditions may vary with time. The dutyholder should ensure its analysis considers how the hazard progresses</w:t>
      </w:r>
      <w:r w:rsidR="006430C6">
        <w:t xml:space="preserve"> and the respons</w:t>
      </w:r>
      <w:r w:rsidR="00255279">
        <w:t>e</w:t>
      </w:r>
      <w:r w:rsidR="006430C6">
        <w:t xml:space="preserve"> of identified safety measures.</w:t>
      </w:r>
      <w:r w:rsidR="007304DC">
        <w:t xml:space="preserve"> </w:t>
      </w:r>
    </w:p>
    <w:p w14:paraId="6468B69C" w14:textId="4907F6EB" w:rsidR="00B53598" w:rsidRPr="00CF791A" w:rsidRDefault="00B53598" w:rsidP="00B53598">
      <w:pPr>
        <w:pStyle w:val="Paragraph"/>
      </w:pPr>
      <w:r w:rsidRPr="00CF791A">
        <w:t xml:space="preserve">The analysis should </w:t>
      </w:r>
      <w:r w:rsidR="00FB7B88">
        <w:t>inform</w:t>
      </w:r>
      <w:r w:rsidR="00FB7B88" w:rsidRPr="00CF791A">
        <w:t xml:space="preserve"> </w:t>
      </w:r>
      <w:r w:rsidRPr="00CF791A">
        <w:t>the requirements for segregation, diversity and redundancy of plant</w:t>
      </w:r>
      <w:r w:rsidR="00C46110">
        <w:t xml:space="preserve"> </w:t>
      </w:r>
      <w:r w:rsidR="007A50AA">
        <w:t>(refer to</w:t>
      </w:r>
      <w:r w:rsidR="00C46110">
        <w:t xml:space="preserve"> EDS.4)</w:t>
      </w:r>
      <w:r w:rsidRPr="00CF791A">
        <w:t>, as well as required hazard protection measures and their safety functional requirements</w:t>
      </w:r>
      <w:r w:rsidR="00FB7B88">
        <w:t>,</w:t>
      </w:r>
      <w:r w:rsidRPr="00CF791A">
        <w:t xml:space="preserve"> including SSC hazard withstand claims </w:t>
      </w:r>
      <w:r w:rsidR="007A50AA">
        <w:t>(refer to</w:t>
      </w:r>
      <w:r w:rsidR="000D297B" w:rsidRPr="00CF791A">
        <w:t xml:space="preserve"> </w:t>
      </w:r>
      <w:r w:rsidRPr="00CF791A">
        <w:t>EHA.7). The analysis should demonstrate that the facility can be brought to, and maintained in, a safe state even in the event of a</w:t>
      </w:r>
      <w:r w:rsidR="00061E4E" w:rsidRPr="00CF791A">
        <w:t>n additional</w:t>
      </w:r>
      <w:r w:rsidRPr="00CF791A">
        <w:t xml:space="preserve"> single failure, including when equipment is unavailable. Hazard analysis, where appropriate, may credit human actions to limit severity (</w:t>
      </w:r>
      <w:r w:rsidR="00A50001" w:rsidRPr="00CF791A">
        <w:t>for example,</w:t>
      </w:r>
      <w:r w:rsidRPr="00CF791A">
        <w:t xml:space="preserve"> flooding). </w:t>
      </w:r>
      <w:r w:rsidR="00D729AC">
        <w:br/>
      </w:r>
      <w:r w:rsidRPr="00CF791A">
        <w:t xml:space="preserve">In these cases, such claimed actions should be substantiated. </w:t>
      </w:r>
    </w:p>
    <w:p w14:paraId="20325F2F" w14:textId="77777777" w:rsidR="00B53598" w:rsidRPr="00AA159A" w:rsidRDefault="00B53598" w:rsidP="009B7D05">
      <w:pPr>
        <w:pStyle w:val="SAPHeading"/>
      </w:pPr>
      <w:r w:rsidRPr="00AA159A">
        <w:t xml:space="preserve">EHA.7 – Hazard prevention, protection and mitigation </w:t>
      </w:r>
    </w:p>
    <w:p w14:paraId="477A3FC0" w14:textId="77777777" w:rsidR="00B53598" w:rsidRPr="00AA159A" w:rsidRDefault="00B53598" w:rsidP="006C4609">
      <w:pPr>
        <w:pStyle w:val="SAPBodyText"/>
      </w:pPr>
      <w:r w:rsidRPr="00AA159A">
        <w:t xml:space="preserve">Effective hazard prevention, protection and mitigation should be implemented to demonstrate that the risks from internal and external hazards, individually and in combination, do not adversely affect nuclear safety. </w:t>
      </w:r>
    </w:p>
    <w:p w14:paraId="77BF0528" w14:textId="0332F78D" w:rsidR="00B53598" w:rsidRPr="00CF791A" w:rsidRDefault="00B53598" w:rsidP="00B53598">
      <w:pPr>
        <w:pStyle w:val="Paragraph"/>
      </w:pPr>
      <w:r w:rsidRPr="00CF791A">
        <w:t>Hazards can affect plant both locally and globally (affecting multiple SSCs and layers of defence-in-depth) and may result in consequential hazards and additional failures of safety barriers</w:t>
      </w:r>
      <w:r w:rsidR="00797E75">
        <w:t>/</w:t>
      </w:r>
      <w:r w:rsidRPr="00CF791A">
        <w:t>systems (domino effects), as well as common cause failures.</w:t>
      </w:r>
    </w:p>
    <w:p w14:paraId="12D6267E" w14:textId="77777777" w:rsidR="00B53598" w:rsidRPr="00CF791A" w:rsidRDefault="00B53598" w:rsidP="00B53598">
      <w:pPr>
        <w:pStyle w:val="Paragraph"/>
      </w:pPr>
      <w:r w:rsidRPr="00CF791A">
        <w:t xml:space="preserve">Dutyholders should demonstrate how internal and external hazards are minimised from the outset of the plant design; seeking to prevent and eliminate hazards through appropriate siting, layout optimisation, and/or reducing hazard inventories, such as by using less hazardous substitutes. </w:t>
      </w:r>
    </w:p>
    <w:p w14:paraId="7635C5D7" w14:textId="3ACB5E45" w:rsidR="00B53598" w:rsidRPr="00CF791A" w:rsidRDefault="00B53598" w:rsidP="00B53598">
      <w:pPr>
        <w:pStyle w:val="Paragraph"/>
      </w:pPr>
      <w:r w:rsidRPr="00CF791A">
        <w:t xml:space="preserve">Hazard protection and mitigation should be addressed in facility design, with provision and justification for adequate safety measures. Dutyholders should implement necessary measures to protect against internal and external hazards that could affect nuclear safety. Protection measures should be proportionate to the </w:t>
      </w:r>
      <w:r w:rsidR="00287B24" w:rsidRPr="00CF791A">
        <w:lastRenderedPageBreak/>
        <w:t>nuclear safety</w:t>
      </w:r>
      <w:r w:rsidR="00287B24" w:rsidRPr="00CF791A" w:rsidDel="00287B24">
        <w:t xml:space="preserve"> </w:t>
      </w:r>
      <w:r w:rsidRPr="00CF791A">
        <w:t>risk and may include physical barriers, hazard detection, alarms, human actions, and implementation of limits and conditions.</w:t>
      </w:r>
    </w:p>
    <w:p w14:paraId="5C54FB4F" w14:textId="77777777" w:rsidR="00B53598" w:rsidRPr="00CF791A" w:rsidRDefault="00B53598" w:rsidP="00B53598">
      <w:pPr>
        <w:pStyle w:val="Paragraph"/>
      </w:pPr>
      <w:r w:rsidRPr="00CF791A">
        <w:t>The approach to hazard protection and mitigation should include:</w:t>
      </w:r>
    </w:p>
    <w:p w14:paraId="4339DAD1" w14:textId="26EC59E8" w:rsidR="00B53598" w:rsidRPr="00AA159A" w:rsidRDefault="00B8023F" w:rsidP="00134698">
      <w:pPr>
        <w:pStyle w:val="NumList2"/>
        <w:numPr>
          <w:ilvl w:val="1"/>
          <w:numId w:val="23"/>
        </w:numPr>
      </w:pPr>
      <w:r w:rsidRPr="00AA159A">
        <w:t>a</w:t>
      </w:r>
      <w:r w:rsidR="00B53598" w:rsidRPr="00AA159A">
        <w:t>pplication of the hierarchy of control to hazards (</w:t>
      </w:r>
      <w:r w:rsidR="005A5049">
        <w:t>for example</w:t>
      </w:r>
      <w:r w:rsidR="00B53598" w:rsidRPr="00AA159A">
        <w:t>, favour a dry site concept compared with a protected site against external flooding)</w:t>
      </w:r>
      <w:r w:rsidRPr="00AA159A">
        <w:t>;</w:t>
      </w:r>
      <w:r w:rsidR="00B53598" w:rsidRPr="00AA159A">
        <w:t xml:space="preserve"> </w:t>
      </w:r>
    </w:p>
    <w:p w14:paraId="1D8C6AF4" w14:textId="74E90ECA" w:rsidR="00B53598" w:rsidRPr="00AA159A" w:rsidRDefault="00B8023F" w:rsidP="00134698">
      <w:pPr>
        <w:pStyle w:val="NumList2"/>
        <w:numPr>
          <w:ilvl w:val="1"/>
          <w:numId w:val="23"/>
        </w:numPr>
      </w:pPr>
      <w:r w:rsidRPr="00AA159A">
        <w:t>f</w:t>
      </w:r>
      <w:r w:rsidR="00B53598" w:rsidRPr="00AA159A">
        <w:t>eedback from the engineering substantiation</w:t>
      </w:r>
      <w:r w:rsidR="007304DC">
        <w:t>/</w:t>
      </w:r>
      <w:r w:rsidR="00B53598" w:rsidRPr="00AA159A">
        <w:t>qualification</w:t>
      </w:r>
      <w:r w:rsidRPr="00AA159A">
        <w:t>;</w:t>
      </w:r>
    </w:p>
    <w:p w14:paraId="2EEFE31D" w14:textId="79AA50EC" w:rsidR="00B53598" w:rsidRPr="00AA159A" w:rsidRDefault="00B8023F" w:rsidP="00134698">
      <w:pPr>
        <w:pStyle w:val="NumList2"/>
        <w:numPr>
          <w:ilvl w:val="1"/>
          <w:numId w:val="23"/>
        </w:numPr>
      </w:pPr>
      <w:r w:rsidRPr="00AA159A">
        <w:t>u</w:t>
      </w:r>
      <w:r w:rsidR="00B53598" w:rsidRPr="00AA159A">
        <w:t>se of a managed adaptive approach to address climate change effects and ensure sufficient adaptive capacity in the design or arrangements</w:t>
      </w:r>
      <w:r w:rsidRPr="00AA159A">
        <w:t>;</w:t>
      </w:r>
    </w:p>
    <w:p w14:paraId="43E8AC85" w14:textId="52E4F378" w:rsidR="00B53598" w:rsidRPr="00AA159A" w:rsidRDefault="00B8023F" w:rsidP="00134698">
      <w:pPr>
        <w:pStyle w:val="NumList2"/>
        <w:numPr>
          <w:ilvl w:val="1"/>
          <w:numId w:val="23"/>
        </w:numPr>
      </w:pPr>
      <w:r w:rsidRPr="00AA159A">
        <w:t>s</w:t>
      </w:r>
      <w:r w:rsidR="00B53598" w:rsidRPr="00AA159A">
        <w:t>afety measures located both on and off the nuclear licensed site that support hazard management (</w:t>
      </w:r>
      <w:r w:rsidR="004214CB" w:rsidRPr="00AA159A">
        <w:t>for example</w:t>
      </w:r>
      <w:r w:rsidR="00B53598" w:rsidRPr="00AA159A">
        <w:t>, sea defences)</w:t>
      </w:r>
      <w:r w:rsidRPr="00AA159A">
        <w:t>;</w:t>
      </w:r>
    </w:p>
    <w:p w14:paraId="502F541D" w14:textId="71721E78" w:rsidR="00B53598" w:rsidRPr="00AA159A" w:rsidRDefault="00B8023F" w:rsidP="00134698">
      <w:pPr>
        <w:pStyle w:val="NumList2"/>
        <w:numPr>
          <w:ilvl w:val="1"/>
          <w:numId w:val="23"/>
        </w:numPr>
      </w:pPr>
      <w:r w:rsidRPr="00AA159A">
        <w:t>d</w:t>
      </w:r>
      <w:r w:rsidR="00B53598" w:rsidRPr="00AA159A">
        <w:t>efence in depth including consideration of beyond design basis hazards and severe accident management strategies</w:t>
      </w:r>
      <w:r w:rsidRPr="00AA159A">
        <w:t>; and</w:t>
      </w:r>
    </w:p>
    <w:p w14:paraId="42BAC8A8" w14:textId="4207D150" w:rsidR="00B53598" w:rsidRPr="00AA159A" w:rsidRDefault="00B8023F" w:rsidP="00134698">
      <w:pPr>
        <w:pStyle w:val="NumList2"/>
        <w:numPr>
          <w:ilvl w:val="1"/>
          <w:numId w:val="23"/>
        </w:numPr>
      </w:pPr>
      <w:r w:rsidRPr="00AA159A">
        <w:t>r</w:t>
      </w:r>
      <w:r w:rsidR="00B53598" w:rsidRPr="00AA159A">
        <w:t>ecovery post internal and/or external hazard</w:t>
      </w:r>
      <w:r w:rsidRPr="00AA159A">
        <w:t>s</w:t>
      </w:r>
      <w:r w:rsidR="00B53598" w:rsidRPr="00AA159A">
        <w:t>.</w:t>
      </w:r>
    </w:p>
    <w:p w14:paraId="12B0B2FF" w14:textId="186040DE" w:rsidR="00B53598" w:rsidRPr="00CF791A" w:rsidRDefault="00B53598" w:rsidP="00B53598">
      <w:pPr>
        <w:pStyle w:val="Paragraph"/>
      </w:pPr>
      <w:r w:rsidRPr="00CF791A">
        <w:t xml:space="preserve">The hazard protection and mitigation approach should be reviewed as appropriate especially if the hazard profile changes, for example </w:t>
      </w:r>
      <w:r w:rsidR="00C911AD">
        <w:t>due to</w:t>
      </w:r>
      <w:r w:rsidR="00C911AD" w:rsidRPr="00CF791A">
        <w:t xml:space="preserve"> </w:t>
      </w:r>
      <w:r w:rsidRPr="00CF791A">
        <w:t>plant modifications.</w:t>
      </w:r>
    </w:p>
    <w:p w14:paraId="1FCF8B93" w14:textId="77777777" w:rsidR="00B53598" w:rsidRPr="00AA159A" w:rsidRDefault="00B53598" w:rsidP="009B7D05">
      <w:pPr>
        <w:pStyle w:val="SAPHeading"/>
      </w:pPr>
      <w:r w:rsidRPr="00AA159A">
        <w:t>EHA.8 – Cliff-edge analysis</w:t>
      </w:r>
    </w:p>
    <w:p w14:paraId="782A3CF2" w14:textId="3FA53E0B" w:rsidR="00B53598" w:rsidRPr="00AA159A" w:rsidRDefault="00B53598" w:rsidP="006C4609">
      <w:pPr>
        <w:pStyle w:val="SAPBodyText"/>
      </w:pPr>
      <w:r w:rsidRPr="00AA159A">
        <w:t xml:space="preserve">A small change in design basis hazard definition or facility parameters and/or assumptions should not lead to a disproportionate increase in </w:t>
      </w:r>
      <w:r w:rsidR="00002B33">
        <w:t>nuclear safety risk</w:t>
      </w:r>
      <w:r w:rsidRPr="00AA159A">
        <w:t>.</w:t>
      </w:r>
    </w:p>
    <w:p w14:paraId="0771191D" w14:textId="77777777" w:rsidR="00B53598" w:rsidRPr="00CF791A" w:rsidRDefault="00B53598" w:rsidP="00B53598">
      <w:pPr>
        <w:pStyle w:val="Paragraph"/>
      </w:pPr>
      <w:r w:rsidRPr="00CF791A">
        <w:t xml:space="preserve">Dutyholders should demonstrate that cliff-edge effects are avoided through consideration of: </w:t>
      </w:r>
    </w:p>
    <w:p w14:paraId="18DD1121" w14:textId="77777777" w:rsidR="00B53598" w:rsidRPr="00AA159A" w:rsidRDefault="00B53598" w:rsidP="00134698">
      <w:pPr>
        <w:pStyle w:val="NumList2"/>
        <w:numPr>
          <w:ilvl w:val="1"/>
          <w:numId w:val="9"/>
        </w:numPr>
      </w:pPr>
      <w:r w:rsidRPr="00AA159A">
        <w:t>plant physical variables/parameters;</w:t>
      </w:r>
    </w:p>
    <w:p w14:paraId="73E6DD2D" w14:textId="77777777" w:rsidR="00B53598" w:rsidRPr="00AA159A" w:rsidRDefault="00B53598" w:rsidP="00134698">
      <w:pPr>
        <w:pStyle w:val="NumList2"/>
        <w:numPr>
          <w:ilvl w:val="1"/>
          <w:numId w:val="9"/>
        </w:numPr>
      </w:pPr>
      <w:r w:rsidRPr="00AA159A">
        <w:t>design features;</w:t>
      </w:r>
    </w:p>
    <w:p w14:paraId="7ABFFE68" w14:textId="77777777" w:rsidR="00B53598" w:rsidRPr="00AA159A" w:rsidRDefault="00B53598" w:rsidP="00134698">
      <w:pPr>
        <w:pStyle w:val="NumList2"/>
        <w:numPr>
          <w:ilvl w:val="1"/>
          <w:numId w:val="9"/>
        </w:numPr>
      </w:pPr>
      <w:r w:rsidRPr="00AA159A">
        <w:t>plant condition or state;</w:t>
      </w:r>
    </w:p>
    <w:p w14:paraId="328FCDC0" w14:textId="77777777" w:rsidR="00B53598" w:rsidRPr="00AA159A" w:rsidRDefault="00B53598" w:rsidP="00134698">
      <w:pPr>
        <w:pStyle w:val="NumList2"/>
        <w:numPr>
          <w:ilvl w:val="1"/>
          <w:numId w:val="9"/>
        </w:numPr>
      </w:pPr>
      <w:r w:rsidRPr="00AA159A">
        <w:t>uncertainties associated with the design basis hazard;</w:t>
      </w:r>
    </w:p>
    <w:p w14:paraId="51D4FCDD" w14:textId="77777777" w:rsidR="00B53598" w:rsidRPr="00AA159A" w:rsidRDefault="00B53598" w:rsidP="00134698">
      <w:pPr>
        <w:pStyle w:val="NumList2"/>
        <w:numPr>
          <w:ilvl w:val="1"/>
          <w:numId w:val="9"/>
        </w:numPr>
      </w:pPr>
      <w:r w:rsidRPr="00AA159A">
        <w:t>uncertainties in the predictions of plant response; and</w:t>
      </w:r>
    </w:p>
    <w:p w14:paraId="72F59A60" w14:textId="77777777" w:rsidR="00B53598" w:rsidRPr="00AA159A" w:rsidRDefault="00B53598" w:rsidP="00134698">
      <w:pPr>
        <w:pStyle w:val="NumList2"/>
        <w:numPr>
          <w:ilvl w:val="1"/>
          <w:numId w:val="9"/>
        </w:numPr>
      </w:pPr>
      <w:r w:rsidRPr="00AA159A">
        <w:t xml:space="preserve">plant safety margins. </w:t>
      </w:r>
    </w:p>
    <w:p w14:paraId="53304AE3" w14:textId="77777777" w:rsidR="00B53598" w:rsidRPr="00CF791A" w:rsidRDefault="00B53598" w:rsidP="00B53598">
      <w:pPr>
        <w:pStyle w:val="Paragraph"/>
      </w:pPr>
      <w:r w:rsidRPr="00CF791A">
        <w:t>The analysis should identify where safety functions would no longer be achieved. Timescales available for remedial actions and the conditions which would result in a radiological release should be considered.</w:t>
      </w:r>
    </w:p>
    <w:p w14:paraId="7EB5C399" w14:textId="77777777" w:rsidR="00B53598" w:rsidRPr="00CF791A" w:rsidRDefault="00B53598" w:rsidP="00B53598">
      <w:pPr>
        <w:pStyle w:val="Paragraph"/>
      </w:pPr>
      <w:r w:rsidRPr="00CF791A">
        <w:t>Cliff-edge analysis could be informed by probabilistic or risk-based approaches, where relevant.</w:t>
      </w:r>
    </w:p>
    <w:p w14:paraId="1E1DBC52" w14:textId="77777777" w:rsidR="00B53598" w:rsidRPr="00AA159A" w:rsidRDefault="00B53598" w:rsidP="009B7D05">
      <w:pPr>
        <w:pStyle w:val="SAPHeading"/>
        <w:rPr>
          <w:lang w:bidi="ar-SA"/>
        </w:rPr>
      </w:pPr>
      <w:r w:rsidRPr="00AA159A">
        <w:rPr>
          <w:lang w:bidi="ar-SA"/>
        </w:rPr>
        <w:lastRenderedPageBreak/>
        <w:t>EHA.9 – Beyond design basis</w:t>
      </w:r>
    </w:p>
    <w:p w14:paraId="75CE5374" w14:textId="77777777" w:rsidR="00B53598" w:rsidRPr="00AA159A" w:rsidRDefault="00B53598" w:rsidP="006C4609">
      <w:pPr>
        <w:pStyle w:val="SAPBodyText"/>
      </w:pPr>
      <w:r w:rsidRPr="00AA159A">
        <w:t>Hazards and hazard combinations beyond the design basis should be identified, screened, characterised, and analysed to demonstrate the facility’s tolerance to beyond design basis hazards.</w:t>
      </w:r>
    </w:p>
    <w:p w14:paraId="076475CA" w14:textId="414A0B15" w:rsidR="00B53598" w:rsidRPr="00CF791A" w:rsidRDefault="00B53598" w:rsidP="00B53598">
      <w:pPr>
        <w:pStyle w:val="Paragraph"/>
      </w:pPr>
      <w:r w:rsidRPr="00CF791A">
        <w:t>An appropriate combination of qualitative, deterministic and/or probabilistic methods should be used that is proportionate to the overall risk contribution. Beyond design basis analysis should follow a best estimate approach unless uncertainties are such that they merit the addition of a level of conservati</w:t>
      </w:r>
      <w:r w:rsidR="0033514A" w:rsidRPr="00CF791A">
        <w:t>sm</w:t>
      </w:r>
      <w:r w:rsidRPr="00CF791A">
        <w:t>. The analysis should:</w:t>
      </w:r>
    </w:p>
    <w:p w14:paraId="3407888C" w14:textId="77777777" w:rsidR="00B53598" w:rsidRPr="00AA159A" w:rsidRDefault="00B53598" w:rsidP="00134698">
      <w:pPr>
        <w:pStyle w:val="NumList2"/>
        <w:numPr>
          <w:ilvl w:val="1"/>
          <w:numId w:val="10"/>
        </w:numPr>
      </w:pPr>
      <w:r w:rsidRPr="00AA159A">
        <w:t>identify any reasonably practicable safety measures that would provide risk reduction;</w:t>
      </w:r>
    </w:p>
    <w:p w14:paraId="200E2540" w14:textId="6AD23A79" w:rsidR="00B53598" w:rsidRPr="00AA159A" w:rsidRDefault="00B53598" w:rsidP="00134698">
      <w:pPr>
        <w:pStyle w:val="NumList2"/>
        <w:numPr>
          <w:ilvl w:val="1"/>
          <w:numId w:val="10"/>
        </w:numPr>
      </w:pPr>
      <w:r w:rsidRPr="00AA159A">
        <w:t xml:space="preserve">confirm the absence of cliff-edge effects and identify the hazard level at which safety functions could be lost </w:t>
      </w:r>
      <w:r w:rsidR="007A50AA">
        <w:t>(refer to</w:t>
      </w:r>
      <w:r w:rsidR="000E4DB9" w:rsidRPr="00AA159A">
        <w:t xml:space="preserve"> </w:t>
      </w:r>
      <w:r w:rsidRPr="00AA159A">
        <w:t>EHA.8);</w:t>
      </w:r>
    </w:p>
    <w:p w14:paraId="59B7B92D" w14:textId="77777777" w:rsidR="00B53598" w:rsidRPr="00AA159A" w:rsidRDefault="00B53598" w:rsidP="00134698">
      <w:pPr>
        <w:pStyle w:val="NumList2"/>
        <w:numPr>
          <w:ilvl w:val="1"/>
          <w:numId w:val="10"/>
        </w:numPr>
      </w:pPr>
      <w:r w:rsidRPr="00AA159A">
        <w:t>determine plant performance given loss of safety functions and impact to defence in depth;</w:t>
      </w:r>
    </w:p>
    <w:p w14:paraId="7847E4A3" w14:textId="77777777" w:rsidR="00B53598" w:rsidRPr="00AA159A" w:rsidRDefault="00B53598" w:rsidP="00134698">
      <w:pPr>
        <w:pStyle w:val="NumList2"/>
        <w:numPr>
          <w:ilvl w:val="1"/>
          <w:numId w:val="10"/>
        </w:numPr>
      </w:pPr>
      <w:r w:rsidRPr="00AA159A">
        <w:t>identify trigger points for non-stationary hazards, when additional safety measures may be needed in the interests of nuclear safety;</w:t>
      </w:r>
    </w:p>
    <w:p w14:paraId="791B33A1" w14:textId="77777777" w:rsidR="00B53598" w:rsidRPr="00AA159A" w:rsidRDefault="00B53598" w:rsidP="00134698">
      <w:pPr>
        <w:pStyle w:val="NumList2"/>
        <w:numPr>
          <w:ilvl w:val="1"/>
          <w:numId w:val="10"/>
        </w:numPr>
      </w:pPr>
      <w:r w:rsidRPr="00AA159A">
        <w:t>demonstrate safety margins;</w:t>
      </w:r>
    </w:p>
    <w:p w14:paraId="23988F6A" w14:textId="79259DE5" w:rsidR="00B53598" w:rsidRPr="00AA159A" w:rsidRDefault="00B53598" w:rsidP="00134698">
      <w:pPr>
        <w:pStyle w:val="NumList2"/>
        <w:numPr>
          <w:ilvl w:val="1"/>
          <w:numId w:val="10"/>
        </w:numPr>
      </w:pPr>
      <w:r w:rsidRPr="00AA159A">
        <w:t>provide input to the facility PSA to determine key hazard contributors;</w:t>
      </w:r>
      <w:r w:rsidR="009F0EE7">
        <w:t xml:space="preserve"> and</w:t>
      </w:r>
    </w:p>
    <w:p w14:paraId="7E494A58" w14:textId="1F8D849C" w:rsidR="00E243D0" w:rsidRPr="00712CDF" w:rsidRDefault="00B53598" w:rsidP="00134698">
      <w:pPr>
        <w:pStyle w:val="NumList2"/>
        <w:numPr>
          <w:ilvl w:val="1"/>
          <w:numId w:val="10"/>
        </w:numPr>
      </w:pPr>
      <w:r w:rsidRPr="00712CDF">
        <w:t xml:space="preserve">Provide input into the determination of severe accident </w:t>
      </w:r>
      <w:r w:rsidR="00FB407A" w:rsidRPr="00712CDF">
        <w:t xml:space="preserve">analysis (SAA) </w:t>
      </w:r>
      <w:r w:rsidRPr="00712CDF">
        <w:t xml:space="preserve">states </w:t>
      </w:r>
      <w:r w:rsidR="007A50AA">
        <w:t>(refer to</w:t>
      </w:r>
      <w:r w:rsidR="003B6340" w:rsidRPr="00712CDF">
        <w:t xml:space="preserve"> SAA</w:t>
      </w:r>
      <w:r w:rsidRPr="00712CDF">
        <w:t xml:space="preserve">.1) and accident management and emergency arrangements </w:t>
      </w:r>
      <w:r w:rsidR="007A50AA">
        <w:t>(refer to</w:t>
      </w:r>
      <w:r w:rsidR="003B6340" w:rsidRPr="00712CDF">
        <w:t xml:space="preserve"> AM.1</w:t>
      </w:r>
      <w:r w:rsidRPr="00712CDF">
        <w:t>)</w:t>
      </w:r>
      <w:r w:rsidR="009F0EE7" w:rsidRPr="00712CDF">
        <w:t>.</w:t>
      </w:r>
      <w:bookmarkStart w:id="133" w:name="_Toc219206146"/>
      <w:r w:rsidR="00E243D0" w:rsidRPr="00712CDF">
        <w:br w:type="page"/>
      </w:r>
    </w:p>
    <w:p w14:paraId="5CB6147E" w14:textId="64145421" w:rsidR="00E243D0" w:rsidRPr="00AA159A" w:rsidRDefault="00E243D0" w:rsidP="005364DE">
      <w:pPr>
        <w:pStyle w:val="Heading1"/>
      </w:pPr>
      <w:bookmarkStart w:id="134" w:name="_Toc219206148"/>
      <w:bookmarkStart w:id="135" w:name="_Toc219748173"/>
      <w:bookmarkStart w:id="136" w:name="_Toc235711323"/>
      <w:r w:rsidRPr="00AA159A">
        <w:lastRenderedPageBreak/>
        <w:t>Fault analysis</w:t>
      </w:r>
      <w:bookmarkEnd w:id="134"/>
      <w:bookmarkEnd w:id="135"/>
      <w:bookmarkEnd w:id="136"/>
    </w:p>
    <w:p w14:paraId="503D0FCC" w14:textId="77777777" w:rsidR="00E243D0" w:rsidRPr="00CF791A" w:rsidRDefault="00E243D0" w:rsidP="00E243D0">
      <w:pPr>
        <w:pStyle w:val="Paragraph"/>
      </w:pPr>
      <w:r w:rsidRPr="00CF791A">
        <w:t>Nuclear facility safety cases should justify safety during normal operations and in the event of faults and accident conditions. This section presents ONR's expectations for fault analysis.</w:t>
      </w:r>
    </w:p>
    <w:p w14:paraId="5193DFC6" w14:textId="460EDAA2" w:rsidR="00E243D0" w:rsidRPr="00AA159A" w:rsidRDefault="00E243D0" w:rsidP="009B7D05">
      <w:pPr>
        <w:pStyle w:val="SAPHeading"/>
      </w:pPr>
      <w:r w:rsidRPr="00AA159A">
        <w:t xml:space="preserve">FA.1 </w:t>
      </w:r>
      <w:r w:rsidR="00E04553" w:rsidRPr="00AA159A">
        <w:t>–</w:t>
      </w:r>
      <w:r w:rsidRPr="00AA159A">
        <w:t xml:space="preserve"> </w:t>
      </w:r>
      <w:r w:rsidR="00E04553" w:rsidRPr="00AA159A">
        <w:t>Fault analysis</w:t>
      </w:r>
    </w:p>
    <w:p w14:paraId="30FC8087" w14:textId="4AB19AFC" w:rsidR="00E243D0" w:rsidRPr="000E4BE4" w:rsidRDefault="00E243D0" w:rsidP="006C4609">
      <w:pPr>
        <w:pStyle w:val="SAPBodyText"/>
      </w:pPr>
      <w:r w:rsidRPr="000E4BE4">
        <w:t xml:space="preserve">Fault analysis should be carried out comprising suitable and sufficient </w:t>
      </w:r>
      <w:r w:rsidRPr="000E4BE4" w:rsidDel="00FB407A">
        <w:t>design basis anal</w:t>
      </w:r>
      <w:r w:rsidDel="00FB407A">
        <w:t>ysis</w:t>
      </w:r>
      <w:r w:rsidR="00E04553" w:rsidDel="00FB407A">
        <w:t xml:space="preserve"> (</w:t>
      </w:r>
      <w:r w:rsidR="00E04553" w:rsidRPr="000E4BE4">
        <w:t>DBA</w:t>
      </w:r>
      <w:r w:rsidR="000E4BE4">
        <w:t>)</w:t>
      </w:r>
      <w:r w:rsidRPr="000E4BE4">
        <w:t xml:space="preserve">, </w:t>
      </w:r>
      <w:r w:rsidRPr="000E4BE4" w:rsidDel="00FB407A">
        <w:t xml:space="preserve">probabilistic safety analysis </w:t>
      </w:r>
      <w:r w:rsidR="00E04553" w:rsidRPr="000E4BE4" w:rsidDel="00FB407A">
        <w:t>(</w:t>
      </w:r>
      <w:r w:rsidR="00E04553" w:rsidRPr="000E4BE4">
        <w:t>PSA</w:t>
      </w:r>
      <w:r w:rsidR="00E04553" w:rsidRPr="000E4BE4" w:rsidDel="00FB407A">
        <w:t>)</w:t>
      </w:r>
      <w:r w:rsidR="00E04553" w:rsidRPr="000E4BE4">
        <w:t xml:space="preserve"> </w:t>
      </w:r>
      <w:r w:rsidRPr="000E4BE4">
        <w:t xml:space="preserve">and </w:t>
      </w:r>
      <w:r w:rsidRPr="000E4BE4" w:rsidDel="00FB407A">
        <w:t>severe accident analysis</w:t>
      </w:r>
      <w:r w:rsidR="00E04553" w:rsidRPr="000E4BE4" w:rsidDel="00FB407A">
        <w:t xml:space="preserve"> (</w:t>
      </w:r>
      <w:r w:rsidR="00E04553" w:rsidRPr="000E4BE4">
        <w:t>SAA</w:t>
      </w:r>
      <w:r w:rsidR="00E04553" w:rsidRPr="000E4BE4" w:rsidDel="00FB407A">
        <w:t>)</w:t>
      </w:r>
      <w:r w:rsidRPr="000E4BE4">
        <w:t>.</w:t>
      </w:r>
    </w:p>
    <w:p w14:paraId="61DB8D76" w14:textId="14BA0D41" w:rsidR="00E243D0" w:rsidRDefault="005F0BF6" w:rsidP="00E243D0">
      <w:pPr>
        <w:pStyle w:val="Paragraph"/>
      </w:pPr>
      <w:r w:rsidRPr="00CF791A">
        <w:t xml:space="preserve">Conservative </w:t>
      </w:r>
      <w:r w:rsidR="00A913E8" w:rsidRPr="00CF791A">
        <w:t>d</w:t>
      </w:r>
      <w:r w:rsidR="00E243D0" w:rsidRPr="00CF791A">
        <w:t>esign and sound operational practices aim to reduce the occurrence of faults, but facilities are still required to be fault tolerant. Their design should incorporate inherent safety features, or safety measures that allow them to handle a range of faults without resulting in unacceptable outcomes; this is referred to as the design basis. DBA demonstrates the fault tolerance of a facility and the effectiveness of its safety measures, informing engineering requirements and setting safe operating limits (operating rules). This approach supports the delivery of safety functions during all operational modes and foreseeable fault conditions, addressing uncertainties.</w:t>
      </w:r>
    </w:p>
    <w:p w14:paraId="218A5925" w14:textId="3669645F" w:rsidR="00E243D0" w:rsidRPr="00CF791A" w:rsidRDefault="00E243D0" w:rsidP="00E243D0">
      <w:pPr>
        <w:pStyle w:val="Paragraph"/>
      </w:pPr>
      <w:r w:rsidRPr="00CF791A">
        <w:t xml:space="preserve">PSA can assess facility risks, identify main risk contributors, and evaluate sensitivity to failures. PSA can also evaluate the effects of proposed operational changes or modifications, and enhance dutyholders' understanding of design weaknesses or dependencies. PSA enables comparison with </w:t>
      </w:r>
      <w:r w:rsidR="00612318" w:rsidRPr="00CF791A">
        <w:t xml:space="preserve">the </w:t>
      </w:r>
      <w:r w:rsidR="00822B03" w:rsidRPr="00CF791A">
        <w:t xml:space="preserve">ONR </w:t>
      </w:r>
      <w:r w:rsidRPr="00CF791A">
        <w:t xml:space="preserve">risk </w:t>
      </w:r>
      <w:r w:rsidR="00EA559A" w:rsidRPr="00CF791A">
        <w:t>framework</w:t>
      </w:r>
      <w:r w:rsidR="000235EF" w:rsidRPr="00CF791A">
        <w:t xml:space="preserve"> </w:t>
      </w:r>
      <w:r w:rsidRPr="00CF791A">
        <w:t xml:space="preserve">to help inform </w:t>
      </w:r>
      <w:r w:rsidR="007968C9">
        <w:t>regulatory decision making</w:t>
      </w:r>
      <w:r w:rsidRPr="00CF791A">
        <w:t>.</w:t>
      </w:r>
    </w:p>
    <w:p w14:paraId="538AAFF1" w14:textId="6F2E2433" w:rsidR="00E243D0" w:rsidRPr="00CF791A" w:rsidRDefault="00E243D0" w:rsidP="00E243D0">
      <w:pPr>
        <w:pStyle w:val="Paragraph"/>
      </w:pPr>
      <w:r w:rsidRPr="00CF791A">
        <w:t xml:space="preserve">Correct application of DBA and PSA should significantly reduce risks posed by a facility. However, for high hazard facilities, residual risks beyond the design basis should be further reduced. This includes rare events not covered by design basis safety measures and cases where those measures could fail or be overcome. </w:t>
      </w:r>
      <w:r w:rsidR="00C43F73">
        <w:br/>
      </w:r>
      <w:r w:rsidRPr="00CF791A">
        <w:t>SAA aims to analyse these sequences and identify further risk reducing measures and helps to guide mitigation strategies and emergency planning.</w:t>
      </w:r>
    </w:p>
    <w:p w14:paraId="0A8C7FAE" w14:textId="13250A66" w:rsidR="00E243D0" w:rsidRPr="00CF791A" w:rsidRDefault="00E243D0" w:rsidP="00E243D0">
      <w:pPr>
        <w:pStyle w:val="Paragraph"/>
      </w:pPr>
      <w:r w:rsidRPr="00CF791A">
        <w:t xml:space="preserve">The overall fault analysis (DBA, PSA and SAA as appropriate) should support the demonstration that sequences with the potential for large or early radioactive releases are 'practically eliminated' </w:t>
      </w:r>
      <w:r w:rsidR="007A50AA">
        <w:t>(refer to</w:t>
      </w:r>
      <w:r w:rsidRPr="00CF791A">
        <w:t xml:space="preserve"> </w:t>
      </w:r>
      <w:r w:rsidR="00A42A34" w:rsidRPr="00CF791A">
        <w:t>KP.</w:t>
      </w:r>
      <w:r w:rsidR="00EC0704">
        <w:t>3</w:t>
      </w:r>
      <w:r w:rsidRPr="00CF791A">
        <w:t>).</w:t>
      </w:r>
    </w:p>
    <w:p w14:paraId="4B0AE27E" w14:textId="50D36908" w:rsidR="00E243D0" w:rsidRPr="00CF791A" w:rsidRDefault="00E243D0" w:rsidP="00E243D0">
      <w:pPr>
        <w:pStyle w:val="Paragraph"/>
      </w:pPr>
      <w:r w:rsidRPr="00CF791A">
        <w:t xml:space="preserve">DBA, PSA, and SAA provisions all contribute to defence in depth. </w:t>
      </w:r>
      <w:r w:rsidR="00C43F73">
        <w:br/>
      </w:r>
      <w:r w:rsidRPr="00CF791A">
        <w:t xml:space="preserve">Safety assessment principles for fault analysis outline both general expectations and specific requirements for DBA, PSA, and SAA in nuclear safety cases. </w:t>
      </w:r>
      <w:r w:rsidR="00C43F73">
        <w:br/>
      </w:r>
      <w:r w:rsidRPr="00CF791A">
        <w:t>These principles also apply to criticality safety.</w:t>
      </w:r>
    </w:p>
    <w:p w14:paraId="7B9FE305" w14:textId="479125B8" w:rsidR="00E243D0" w:rsidRPr="00CF791A" w:rsidRDefault="00E243D0" w:rsidP="00E243D0">
      <w:pPr>
        <w:pStyle w:val="Paragraph"/>
      </w:pPr>
      <w:r w:rsidRPr="00CF791A">
        <w:t xml:space="preserve">The scope and depth of fault analysis will depend on the complexity of the facility and its hazard potential. </w:t>
      </w:r>
      <w:r w:rsidR="00403D9F" w:rsidRPr="00CF791A">
        <w:t>The</w:t>
      </w:r>
      <w:r w:rsidRPr="00CF791A">
        <w:t xml:space="preserve"> safety case should usually include some basic DBA, even if only to confirm the absence of qualifying design basis faults. The rigour and extent of the DBA should be proportionate and provided as part of a balanced safety </w:t>
      </w:r>
      <w:r w:rsidRPr="00CF791A">
        <w:lastRenderedPageBreak/>
        <w:t xml:space="preserve">case that also draws, if and as required, on other forms of analysis. PSA should be undertaken for power reactors, complex designs, or where </w:t>
      </w:r>
      <w:r w:rsidR="007450EA" w:rsidRPr="00CF791A">
        <w:t>the risk framework</w:t>
      </w:r>
      <w:r w:rsidRPr="00CF791A">
        <w:t xml:space="preserve"> may be challenged. SAA should be undertaken for facilities presenting high hazards. Where analysis supports a developing design, it should be based on a defined reference point, with all assumptions clearly stated to guide future design and construction.</w:t>
      </w:r>
    </w:p>
    <w:p w14:paraId="3FD5428F" w14:textId="77777777" w:rsidR="00E243D0" w:rsidRPr="00AA159A" w:rsidRDefault="00E243D0" w:rsidP="009B7D05">
      <w:pPr>
        <w:pStyle w:val="SAPHeading"/>
      </w:pPr>
      <w:r w:rsidRPr="00AA159A">
        <w:t>FA.2 – Identification of initiating faults</w:t>
      </w:r>
    </w:p>
    <w:p w14:paraId="736738A5" w14:textId="7D7A640D" w:rsidR="00E243D0" w:rsidRPr="00AA159A" w:rsidRDefault="00E243D0" w:rsidP="006C4609">
      <w:pPr>
        <w:pStyle w:val="SAPBodyText"/>
      </w:pPr>
      <w:r w:rsidRPr="00AA159A">
        <w:t xml:space="preserve">Fault identification should identify all initiating faults having the potential to lead to any person receiving a </w:t>
      </w:r>
      <w:r w:rsidR="00FD63B1" w:rsidRPr="00AA159A">
        <w:t xml:space="preserve">significant </w:t>
      </w:r>
      <w:r w:rsidR="00F17716" w:rsidRPr="00CB5C4A">
        <w:t>(for the purposes of fault identification)</w:t>
      </w:r>
      <w:r w:rsidR="00F17716">
        <w:t xml:space="preserve"> </w:t>
      </w:r>
      <w:r w:rsidRPr="00AA159A">
        <w:t xml:space="preserve">dose of radiation, or to a </w:t>
      </w:r>
      <w:r w:rsidR="00FE62E6" w:rsidRPr="00AA159A">
        <w:t xml:space="preserve">significant </w:t>
      </w:r>
      <w:r w:rsidRPr="00AA159A">
        <w:t>quantity of radioactive material escaping from its designated place of residence or confinement.</w:t>
      </w:r>
    </w:p>
    <w:p w14:paraId="28A8C374" w14:textId="7AFA8A01" w:rsidR="00F16191" w:rsidRPr="00CF791A" w:rsidRDefault="00D04CB5" w:rsidP="003B6DCA">
      <w:pPr>
        <w:pStyle w:val="Paragraph"/>
      </w:pPr>
      <w:r>
        <w:t>F</w:t>
      </w:r>
      <w:r w:rsidRPr="00D04CB5">
        <w:t>or the purposes of fault identification</w:t>
      </w:r>
      <w:r w:rsidR="003B6DCA" w:rsidRPr="003B6DCA">
        <w:t>, inspectors should not consider faults with the potential to result in doses below the RFL of Risk Indicator 4 to be ‘significant’. Radiological doses below these thresholds are usually considered part of normal operations. Similarly, inspectors should not consider a quantity of radioactive material to be significant if it does not have the potential to result in a significant dose.</w:t>
      </w:r>
    </w:p>
    <w:p w14:paraId="59F503D5" w14:textId="77A698D7" w:rsidR="00E243D0" w:rsidRPr="00CF791A" w:rsidRDefault="00E243D0" w:rsidP="00FE62E6">
      <w:pPr>
        <w:pStyle w:val="Paragraph"/>
      </w:pPr>
      <w:r w:rsidRPr="00CF791A">
        <w:t xml:space="preserve">Fault identification should be systematic, auditable, and comprehensive. This should cover significant radioactive inventories and sources, all operating states, any activities that could result in </w:t>
      </w:r>
      <w:r w:rsidR="00825C61">
        <w:t>nuclear safety</w:t>
      </w:r>
      <w:r w:rsidR="00825C61" w:rsidRPr="00CF791A">
        <w:t xml:space="preserve"> </w:t>
      </w:r>
      <w:r w:rsidRPr="00CF791A">
        <w:t>risk</w:t>
      </w:r>
      <w:r w:rsidR="00825C61">
        <w:t>s</w:t>
      </w:r>
      <w:r w:rsidRPr="00CF791A">
        <w:t xml:space="preserve">. The fault analysis should consider all internal faults, </w:t>
      </w:r>
      <w:r w:rsidR="00543294" w:rsidRPr="00CF791A">
        <w:t>internal and external hazards</w:t>
      </w:r>
      <w:r w:rsidR="00543294">
        <w:t>,</w:t>
      </w:r>
      <w:r w:rsidR="00543294" w:rsidRPr="00CF791A">
        <w:t xml:space="preserve"> </w:t>
      </w:r>
      <w:r w:rsidR="00505DDB">
        <w:t>and</w:t>
      </w:r>
      <w:r w:rsidR="00543294" w:rsidRPr="00CF791A">
        <w:t xml:space="preserve"> </w:t>
      </w:r>
      <w:r w:rsidRPr="00CF791A">
        <w:t>human errors.</w:t>
      </w:r>
    </w:p>
    <w:p w14:paraId="27A0DFD1" w14:textId="77777777" w:rsidR="00E243D0" w:rsidRPr="00AA159A" w:rsidRDefault="00E243D0" w:rsidP="009B7D05">
      <w:pPr>
        <w:pStyle w:val="SAPHeading"/>
      </w:pPr>
      <w:r w:rsidRPr="00AA159A">
        <w:t>FA.3 – Fault sequences</w:t>
      </w:r>
    </w:p>
    <w:p w14:paraId="61B71BCE" w14:textId="77777777" w:rsidR="00E243D0" w:rsidRPr="00AA159A" w:rsidRDefault="00E243D0" w:rsidP="006C4609">
      <w:pPr>
        <w:pStyle w:val="SAPBodyText"/>
      </w:pPr>
      <w:r w:rsidRPr="00AA159A">
        <w:t>Fault sequences should be developed from the initiating faults and their potential consequences analysed.</w:t>
      </w:r>
    </w:p>
    <w:p w14:paraId="48B2A798" w14:textId="77777777" w:rsidR="00E243D0" w:rsidRPr="00CF791A" w:rsidRDefault="00E243D0" w:rsidP="00E243D0">
      <w:pPr>
        <w:pStyle w:val="Paragraph"/>
      </w:pPr>
      <w:r w:rsidRPr="00CF791A">
        <w:t xml:space="preserve">There should be a clear relation between the fault sequences used in the DBA, accident states and scenarios used in the SAA, and the fault sequence development of the PSA. </w:t>
      </w:r>
    </w:p>
    <w:p w14:paraId="08D4526E" w14:textId="77777777" w:rsidR="00E243D0" w:rsidRPr="00CF791A" w:rsidRDefault="00E243D0" w:rsidP="00E243D0">
      <w:pPr>
        <w:pStyle w:val="Paragraph"/>
      </w:pPr>
      <w:r w:rsidRPr="00CF791A">
        <w:t xml:space="preserve">Transient analysis or other analyses should be carried out as appropriate to provide adequate understanding of the behaviour of the facility under fault conditions. </w:t>
      </w:r>
    </w:p>
    <w:p w14:paraId="546B0221" w14:textId="77777777" w:rsidR="00E243D0" w:rsidRPr="00CF791A" w:rsidRDefault="00E243D0" w:rsidP="00E243D0">
      <w:pPr>
        <w:pStyle w:val="Paragraph"/>
      </w:pPr>
      <w:r w:rsidRPr="00CF791A">
        <w:t xml:space="preserve">For fault sequences that lead to a release of radioactive material or to exposure to direct radiation, radiological consequence analysis should be performed to determine the maximum doses to a worker on the site, to a person outside the site, for example, directly downwind of an airborne release, and to the reference group for any other off-site release pathways. </w:t>
      </w:r>
    </w:p>
    <w:p w14:paraId="283D805C" w14:textId="08A4BAD5" w:rsidR="00E243D0" w:rsidRPr="00CF791A" w:rsidRDefault="00E243D0" w:rsidP="00E243D0">
      <w:pPr>
        <w:pStyle w:val="Paragraph"/>
      </w:pPr>
      <w:r w:rsidRPr="00CF791A">
        <w:t xml:space="preserve">The calculated doses should include those arising from the potential release of radioactive material, direct radiation and criticality incidents. The calculations should, where relevant, </w:t>
      </w:r>
      <w:r w:rsidR="0099730E" w:rsidRPr="00CF791A">
        <w:t>consider</w:t>
      </w:r>
      <w:r w:rsidRPr="00CF791A">
        <w:t xml:space="preserve"> local aspects relevant to the dispersion of released radioactivity and its potential effects on people. </w:t>
      </w:r>
    </w:p>
    <w:p w14:paraId="5A721121" w14:textId="77777777" w:rsidR="00E243D0" w:rsidRPr="00AA159A" w:rsidRDefault="00E243D0" w:rsidP="009B7D05">
      <w:pPr>
        <w:pStyle w:val="Heading2"/>
      </w:pPr>
      <w:r w:rsidRPr="00AA159A">
        <w:lastRenderedPageBreak/>
        <w:t>Design basis analysis</w:t>
      </w:r>
    </w:p>
    <w:p w14:paraId="6507F24E" w14:textId="77777777" w:rsidR="00E243D0" w:rsidRPr="00CF791A" w:rsidRDefault="00E243D0" w:rsidP="00E243D0">
      <w:pPr>
        <w:pStyle w:val="Paragraph"/>
      </w:pPr>
      <w:r w:rsidRPr="00CF791A">
        <w:t>This sub-section presents established practice for DBA. Safety cases that make use of other approaches should demonstrate that these achieve the purpose of DBA.</w:t>
      </w:r>
    </w:p>
    <w:p w14:paraId="7CE799EF" w14:textId="4EFC1276" w:rsidR="00E243D0" w:rsidRPr="00CF791A" w:rsidRDefault="00E243D0" w:rsidP="00E243D0">
      <w:pPr>
        <w:pStyle w:val="Paragraph"/>
      </w:pPr>
      <w:r w:rsidRPr="00CF791A">
        <w:t xml:space="preserve">ONR’s numerical </w:t>
      </w:r>
      <w:r w:rsidR="005A3C91" w:rsidRPr="00CF791A">
        <w:t xml:space="preserve">framework </w:t>
      </w:r>
      <w:r w:rsidRPr="00CF791A">
        <w:t xml:space="preserve">for DBA is given in </w:t>
      </w:r>
      <w:r w:rsidR="0083650A" w:rsidRPr="00CF791A">
        <w:t xml:space="preserve">Risk Indicator 4 </w:t>
      </w:r>
      <w:r w:rsidRPr="00CF791A">
        <w:t>below.</w:t>
      </w:r>
      <w:r w:rsidR="007304DC">
        <w:t xml:space="preserve"> </w:t>
      </w:r>
      <w:r w:rsidRPr="00CF791A">
        <w:t xml:space="preserve">There are two intended functions of </w:t>
      </w:r>
      <w:r w:rsidR="0083650A" w:rsidRPr="00CF791A">
        <w:t>Risk Indicator 4</w:t>
      </w:r>
      <w:r w:rsidRPr="00CF791A">
        <w:t>:</w:t>
      </w:r>
    </w:p>
    <w:p w14:paraId="48A29890" w14:textId="0F0CA79A" w:rsidR="00E243D0" w:rsidRPr="00AA159A" w:rsidRDefault="00E243D0" w:rsidP="00134698">
      <w:pPr>
        <w:pStyle w:val="NumList2"/>
        <w:numPr>
          <w:ilvl w:val="1"/>
          <w:numId w:val="24"/>
        </w:numPr>
      </w:pPr>
      <w:r w:rsidRPr="00AA159A">
        <w:t xml:space="preserve">It sets ONR’s expectations for when DBA should be undertaken. DBA should be employed for any qualifying fault sequence whose unmitigated consequences could exceed </w:t>
      </w:r>
      <w:r w:rsidR="0083650A" w:rsidRPr="00AA159A">
        <w:t xml:space="preserve">the </w:t>
      </w:r>
      <w:r w:rsidR="00416D8D" w:rsidRPr="00AA159A">
        <w:t>BSL of</w:t>
      </w:r>
      <w:r w:rsidRPr="00AA159A">
        <w:t xml:space="preserve"> </w:t>
      </w:r>
      <w:r w:rsidR="00CE7312" w:rsidRPr="00AA159A">
        <w:t>Risk Indicator</w:t>
      </w:r>
      <w:r w:rsidR="00416D8D" w:rsidRPr="00AA159A">
        <w:t xml:space="preserve"> 4</w:t>
      </w:r>
      <w:r w:rsidRPr="00AA159A">
        <w:t xml:space="preserve"> </w:t>
      </w:r>
      <w:r w:rsidR="007A50AA">
        <w:t>(refer to</w:t>
      </w:r>
      <w:r w:rsidRPr="00AA159A">
        <w:t xml:space="preserve"> </w:t>
      </w:r>
      <w:r w:rsidR="00FB49E9" w:rsidRPr="00AA159A">
        <w:t>DBA</w:t>
      </w:r>
      <w:r w:rsidRPr="00AA159A">
        <w:t>.</w:t>
      </w:r>
      <w:r w:rsidR="00FB49E9" w:rsidRPr="00AA159A">
        <w:t>2</w:t>
      </w:r>
      <w:r w:rsidRPr="00AA159A">
        <w:t>).</w:t>
      </w:r>
    </w:p>
    <w:p w14:paraId="7187763F" w14:textId="7386696D" w:rsidR="00E243D0" w:rsidRPr="00AA159A" w:rsidRDefault="00E243D0" w:rsidP="00134698">
      <w:pPr>
        <w:pStyle w:val="NumList2"/>
        <w:numPr>
          <w:ilvl w:val="1"/>
          <w:numId w:val="24"/>
        </w:numPr>
      </w:pPr>
      <w:r w:rsidRPr="00AA159A">
        <w:t xml:space="preserve">The results of the DBA, namely mitigated dose consequences as a function of initiating fault frequencies, should be compared with the relevant </w:t>
      </w:r>
      <w:r w:rsidR="00941C6F" w:rsidRPr="00AA159A">
        <w:t>BSLs</w:t>
      </w:r>
      <w:r w:rsidR="00941C6F" w:rsidRPr="00AA159A" w:rsidDel="007C4CC2">
        <w:t xml:space="preserve"> </w:t>
      </w:r>
      <w:r w:rsidR="00941C6F" w:rsidRPr="00AA159A">
        <w:t>and</w:t>
      </w:r>
      <w:r w:rsidR="00941C6F" w:rsidRPr="00AA159A" w:rsidDel="007C4CC2">
        <w:t xml:space="preserve"> </w:t>
      </w:r>
      <w:r w:rsidR="006F7D35" w:rsidRPr="00AA159A">
        <w:t>RFL</w:t>
      </w:r>
      <w:r w:rsidR="00BE3F86" w:rsidRPr="00AA159A">
        <w:t>s</w:t>
      </w:r>
      <w:r w:rsidRPr="00AA159A">
        <w:t xml:space="preserve">. This comparison should then be used to assist judgements </w:t>
      </w:r>
      <w:r w:rsidR="00515444" w:rsidRPr="00AA159A">
        <w:t>on the adequacy of the safety measures</w:t>
      </w:r>
      <w:r w:rsidR="00235BF4">
        <w:t xml:space="preserve"> and the acceptability of the residual risk</w:t>
      </w:r>
      <w:r w:rsidR="00515444" w:rsidRPr="00AA159A">
        <w:t xml:space="preserve"> </w:t>
      </w:r>
      <w:r w:rsidR="007A50AA">
        <w:t>(refer to</w:t>
      </w:r>
      <w:r w:rsidR="00515444" w:rsidRPr="00AA159A">
        <w:t xml:space="preserve"> </w:t>
      </w:r>
      <w:r w:rsidR="00FB49E9" w:rsidRPr="00AA159A">
        <w:t>DBA</w:t>
      </w:r>
      <w:r w:rsidR="00515444" w:rsidRPr="00AA159A">
        <w:t>.</w:t>
      </w:r>
      <w:r w:rsidR="00FB49E9" w:rsidRPr="00AA159A">
        <w:t>4</w:t>
      </w:r>
      <w:r w:rsidR="001B5C97" w:rsidRPr="00AA159A">
        <w:t>)</w:t>
      </w:r>
      <w:r w:rsidRPr="00AA159A">
        <w:t xml:space="preserve">. </w:t>
      </w:r>
    </w:p>
    <w:p w14:paraId="74D04E69" w14:textId="3896EDF7" w:rsidR="00E243D0" w:rsidRPr="00AA159A" w:rsidRDefault="00A5219A" w:rsidP="009B7D05">
      <w:pPr>
        <w:pStyle w:val="SAPHeading"/>
      </w:pPr>
      <w:r w:rsidRPr="00AA159A">
        <w:t>Risk Indicator 4</w:t>
      </w:r>
      <w:r w:rsidR="00E243D0" w:rsidRPr="00AA159A">
        <w:t xml:space="preserve">: </w:t>
      </w:r>
      <w:r w:rsidR="002B75A3" w:rsidRPr="00AA159A">
        <w:t xml:space="preserve">Design </w:t>
      </w:r>
      <w:r w:rsidR="00F96ED5" w:rsidRPr="00AA159A">
        <w:t>b</w:t>
      </w:r>
      <w:r w:rsidR="002B75A3" w:rsidRPr="00AA159A">
        <w:t xml:space="preserve">asis </w:t>
      </w:r>
      <w:r w:rsidR="00F96ED5" w:rsidRPr="00AA159A">
        <w:t>a</w:t>
      </w:r>
      <w:r w:rsidR="002B75A3" w:rsidRPr="00AA159A">
        <w:t>nalysis</w:t>
      </w:r>
    </w:p>
    <w:p w14:paraId="765D1857" w14:textId="77777777" w:rsidR="00E243D0" w:rsidRPr="00AA159A" w:rsidRDefault="00E243D0" w:rsidP="006C4609">
      <w:pPr>
        <w:pStyle w:val="SAPBodyText"/>
      </w:pPr>
      <w:r w:rsidRPr="00AA159A">
        <w:t>On site:</w:t>
      </w:r>
    </w:p>
    <w:p w14:paraId="6C7BA7BB" w14:textId="37299709" w:rsidR="00E243D0" w:rsidRPr="00AA159A" w:rsidRDefault="009340FB" w:rsidP="006C4609">
      <w:pPr>
        <w:pStyle w:val="SAPBodyText"/>
      </w:pPr>
      <w:r>
        <w:t xml:space="preserve">  </w:t>
      </w:r>
      <w:r w:rsidR="00E15ED8">
        <w:t xml:space="preserve">  </w:t>
      </w:r>
      <w:r w:rsidR="00E243D0" w:rsidRPr="00AA159A">
        <w:t>BSL:</w:t>
      </w:r>
    </w:p>
    <w:p w14:paraId="5EDEA0F3" w14:textId="48F0820B" w:rsidR="00E243D0" w:rsidRPr="00AA159A" w:rsidRDefault="009340FB" w:rsidP="006C4609">
      <w:pPr>
        <w:pStyle w:val="SAPBodyText"/>
      </w:pPr>
      <w:r>
        <w:t xml:space="preserve">    </w:t>
      </w:r>
      <w:r w:rsidR="00E15ED8">
        <w:t xml:space="preserve"> </w:t>
      </w:r>
      <w:r w:rsidR="00E243D0" w:rsidRPr="00AA159A">
        <w:t xml:space="preserve">  20 mSv for initiating fault frequencies exceeding 1 x 10</w:t>
      </w:r>
      <w:r w:rsidR="00E243D0" w:rsidRPr="00AA159A">
        <w:rPr>
          <w:vertAlign w:val="superscript"/>
        </w:rPr>
        <w:t>-3</w:t>
      </w:r>
      <w:r w:rsidR="00E243D0" w:rsidRPr="00AA159A">
        <w:t xml:space="preserve"> pa</w:t>
      </w:r>
    </w:p>
    <w:p w14:paraId="1DD17966" w14:textId="687CFF86" w:rsidR="00E243D0" w:rsidRPr="00AA159A" w:rsidRDefault="00E15ED8" w:rsidP="006C4609">
      <w:pPr>
        <w:pStyle w:val="SAPBodyText"/>
      </w:pPr>
      <w:r>
        <w:t xml:space="preserve">  </w:t>
      </w:r>
      <w:r w:rsidR="00E243D0" w:rsidRPr="00AA159A">
        <w:t xml:space="preserve">  </w:t>
      </w:r>
      <w:r w:rsidR="009340FB">
        <w:t xml:space="preserve">   </w:t>
      </w:r>
      <w:r w:rsidR="00E243D0" w:rsidRPr="00AA159A">
        <w:t>200 mSv for initiating fault frequencies between 1 x 10</w:t>
      </w:r>
      <w:r w:rsidR="00E243D0" w:rsidRPr="00AA159A">
        <w:rPr>
          <w:vertAlign w:val="superscript"/>
        </w:rPr>
        <w:t>-3</w:t>
      </w:r>
      <w:r w:rsidR="00E243D0" w:rsidRPr="00AA159A">
        <w:t xml:space="preserve"> and 1 x 10</w:t>
      </w:r>
      <w:r w:rsidR="00E243D0" w:rsidRPr="00AA159A">
        <w:rPr>
          <w:vertAlign w:val="superscript"/>
        </w:rPr>
        <w:t>-4</w:t>
      </w:r>
      <w:r w:rsidR="00E243D0" w:rsidRPr="00AA159A">
        <w:t xml:space="preserve"> pa</w:t>
      </w:r>
    </w:p>
    <w:p w14:paraId="082AFFD8" w14:textId="71F9D1A0" w:rsidR="00E243D0" w:rsidRPr="00AA159A" w:rsidRDefault="00E243D0" w:rsidP="006C4609">
      <w:pPr>
        <w:pStyle w:val="SAPBodyText"/>
      </w:pPr>
      <w:r w:rsidRPr="00AA159A">
        <w:t xml:space="preserve"> </w:t>
      </w:r>
      <w:r w:rsidR="00E15ED8">
        <w:t xml:space="preserve">  </w:t>
      </w:r>
      <w:r w:rsidRPr="00AA159A">
        <w:t xml:space="preserve"> </w:t>
      </w:r>
      <w:r w:rsidR="009340FB">
        <w:t xml:space="preserve">   </w:t>
      </w:r>
      <w:r w:rsidRPr="00AA159A">
        <w:t>500 mSv for initiating fault frequencies between 1 x 10</w:t>
      </w:r>
      <w:r w:rsidRPr="00AA159A">
        <w:rPr>
          <w:vertAlign w:val="superscript"/>
        </w:rPr>
        <w:t>-4</w:t>
      </w:r>
      <w:r w:rsidRPr="00AA159A">
        <w:t xml:space="preserve"> and 1 x 10</w:t>
      </w:r>
      <w:r w:rsidRPr="00AA159A">
        <w:rPr>
          <w:vertAlign w:val="superscript"/>
        </w:rPr>
        <w:t>-5</w:t>
      </w:r>
      <w:r w:rsidRPr="00AA159A">
        <w:t xml:space="preserve"> pa</w:t>
      </w:r>
    </w:p>
    <w:p w14:paraId="16DE99C6" w14:textId="4CACC5A6" w:rsidR="00E243D0" w:rsidRPr="00AA159A" w:rsidRDefault="009340FB" w:rsidP="006C4609">
      <w:pPr>
        <w:pStyle w:val="SAPBodyText"/>
      </w:pPr>
      <w:r>
        <w:t xml:space="preserve">  </w:t>
      </w:r>
      <w:r w:rsidR="00E15ED8">
        <w:t xml:space="preserve">  </w:t>
      </w:r>
      <w:r w:rsidR="006F7D35" w:rsidRPr="00AA159A">
        <w:t>RFL</w:t>
      </w:r>
      <w:r w:rsidR="00E243D0" w:rsidRPr="00AA159A">
        <w:t xml:space="preserve">: 0.5 mSv </w:t>
      </w:r>
    </w:p>
    <w:p w14:paraId="74BE09FB" w14:textId="77777777" w:rsidR="00E243D0" w:rsidRPr="00AA159A" w:rsidRDefault="00E243D0" w:rsidP="006C4609">
      <w:pPr>
        <w:pStyle w:val="SAPBodyText"/>
      </w:pPr>
      <w:r w:rsidRPr="00AA159A">
        <w:t xml:space="preserve">Off site: </w:t>
      </w:r>
    </w:p>
    <w:p w14:paraId="3991E635" w14:textId="729BC7FA" w:rsidR="00E243D0" w:rsidRPr="00AA159A" w:rsidRDefault="009340FB" w:rsidP="006C4609">
      <w:pPr>
        <w:pStyle w:val="SAPBodyText"/>
      </w:pPr>
      <w:r>
        <w:t xml:space="preserve">  </w:t>
      </w:r>
      <w:r w:rsidR="00E15ED8">
        <w:t xml:space="preserve">  </w:t>
      </w:r>
      <w:r w:rsidR="00E243D0" w:rsidRPr="00AA159A">
        <w:t>BSL:</w:t>
      </w:r>
    </w:p>
    <w:p w14:paraId="2D395B31" w14:textId="369E3405" w:rsidR="00E243D0" w:rsidRPr="00AA159A" w:rsidRDefault="009340FB" w:rsidP="006C4609">
      <w:pPr>
        <w:pStyle w:val="SAPBodyText"/>
      </w:pPr>
      <w:r>
        <w:t xml:space="preserve">    </w:t>
      </w:r>
      <w:r w:rsidR="00E15ED8">
        <w:t xml:space="preserve">  </w:t>
      </w:r>
      <w:r w:rsidR="00E243D0" w:rsidRPr="00AA159A">
        <w:t xml:space="preserve"> 1 mSv for initiating fault frequencies exceeding 1 x 10</w:t>
      </w:r>
      <w:r w:rsidR="00E243D0" w:rsidRPr="00AA159A">
        <w:rPr>
          <w:vertAlign w:val="superscript"/>
        </w:rPr>
        <w:t>-3</w:t>
      </w:r>
      <w:r w:rsidR="00E243D0" w:rsidRPr="00AA159A">
        <w:t xml:space="preserve"> pa</w:t>
      </w:r>
    </w:p>
    <w:p w14:paraId="0C6C3BC6" w14:textId="19A3CF49" w:rsidR="00E243D0" w:rsidRPr="00AA159A" w:rsidRDefault="00E15ED8" w:rsidP="006C4609">
      <w:pPr>
        <w:pStyle w:val="SAPBodyText"/>
      </w:pPr>
      <w:r>
        <w:t xml:space="preserve"> </w:t>
      </w:r>
      <w:r w:rsidR="009340FB">
        <w:t xml:space="preserve">    </w:t>
      </w:r>
      <w:r>
        <w:t xml:space="preserve"> </w:t>
      </w:r>
      <w:r w:rsidR="00E243D0" w:rsidRPr="00AA159A">
        <w:t xml:space="preserve"> 10 mSv for initiating fault frequencies between 1 x 10</w:t>
      </w:r>
      <w:r w:rsidR="00E243D0" w:rsidRPr="00AA159A">
        <w:rPr>
          <w:vertAlign w:val="superscript"/>
        </w:rPr>
        <w:t>-3</w:t>
      </w:r>
      <w:r w:rsidR="00E243D0" w:rsidRPr="00AA159A">
        <w:t xml:space="preserve"> and 1 x 10</w:t>
      </w:r>
      <w:r w:rsidR="00E243D0" w:rsidRPr="00AA159A">
        <w:rPr>
          <w:vertAlign w:val="superscript"/>
        </w:rPr>
        <w:t>-4</w:t>
      </w:r>
      <w:r w:rsidR="00E243D0" w:rsidRPr="00AA159A">
        <w:t xml:space="preserve"> pa</w:t>
      </w:r>
    </w:p>
    <w:p w14:paraId="2F3DCDA8" w14:textId="593071DE" w:rsidR="00E243D0" w:rsidRPr="00AA159A" w:rsidRDefault="00E15ED8" w:rsidP="006C4609">
      <w:pPr>
        <w:pStyle w:val="SAPBodyText"/>
      </w:pPr>
      <w:r>
        <w:t xml:space="preserve">  </w:t>
      </w:r>
      <w:r w:rsidR="009340FB">
        <w:t xml:space="preserve">    </w:t>
      </w:r>
      <w:r w:rsidR="00E243D0" w:rsidRPr="00AA159A">
        <w:t xml:space="preserve"> 100 mSv for initiating fault frequencies between 1 x 10</w:t>
      </w:r>
      <w:r w:rsidR="00E243D0" w:rsidRPr="00AA159A">
        <w:rPr>
          <w:vertAlign w:val="superscript"/>
        </w:rPr>
        <w:t>-4</w:t>
      </w:r>
      <w:r w:rsidR="00E243D0" w:rsidRPr="00AA159A">
        <w:t xml:space="preserve"> and 1 x 10</w:t>
      </w:r>
      <w:r w:rsidR="00E243D0" w:rsidRPr="00AA159A">
        <w:rPr>
          <w:vertAlign w:val="superscript"/>
        </w:rPr>
        <w:t>-5</w:t>
      </w:r>
      <w:r w:rsidR="00E243D0" w:rsidRPr="00AA159A">
        <w:t xml:space="preserve"> pa</w:t>
      </w:r>
    </w:p>
    <w:p w14:paraId="479641A0" w14:textId="284232C9" w:rsidR="00E243D0" w:rsidRPr="00AA159A" w:rsidRDefault="009340FB" w:rsidP="006C4609">
      <w:pPr>
        <w:pStyle w:val="SAPBodyText"/>
      </w:pPr>
      <w:r>
        <w:t xml:space="preserve">  </w:t>
      </w:r>
      <w:r w:rsidR="00E15ED8">
        <w:t xml:space="preserve">  </w:t>
      </w:r>
      <w:r w:rsidR="006F7D35" w:rsidRPr="00AA159A">
        <w:t>RFL</w:t>
      </w:r>
      <w:r w:rsidR="00E243D0" w:rsidRPr="00AA159A">
        <w:t>: 0.1 mSv</w:t>
      </w:r>
    </w:p>
    <w:p w14:paraId="6A6061AD" w14:textId="3238B8EC" w:rsidR="00E243D0" w:rsidRPr="00CF791A" w:rsidRDefault="00E243D0" w:rsidP="00E243D0">
      <w:pPr>
        <w:pStyle w:val="Paragraph"/>
      </w:pPr>
      <w:r w:rsidRPr="00CF791A">
        <w:t xml:space="preserve">The effective doses calculated for comparison with </w:t>
      </w:r>
      <w:r w:rsidR="004375BB" w:rsidRPr="00CF791A">
        <w:t>Risk Indicator 4</w:t>
      </w:r>
      <w:r w:rsidRPr="00CF791A">
        <w:t xml:space="preserve"> should be evaluated on an appropriately conservative basis. This should be justified and should include consideration of factor such as:</w:t>
      </w:r>
      <w:r w:rsidR="007304DC">
        <w:t xml:space="preserve"> </w:t>
      </w:r>
    </w:p>
    <w:p w14:paraId="0E901FCA" w14:textId="451B157E" w:rsidR="00E243D0" w:rsidRPr="00AA159A" w:rsidRDefault="00E243D0" w:rsidP="00134698">
      <w:pPr>
        <w:pStyle w:val="NumList2"/>
        <w:numPr>
          <w:ilvl w:val="1"/>
          <w:numId w:val="25"/>
        </w:numPr>
      </w:pPr>
      <w:r w:rsidRPr="00AA159A">
        <w:t>the location of the affected person(s) and period of time for which the exposure occurs</w:t>
      </w:r>
      <w:r w:rsidR="00E51AD8" w:rsidRPr="00AA159A">
        <w:t>;</w:t>
      </w:r>
      <w:r w:rsidR="007304DC">
        <w:t xml:space="preserve"> </w:t>
      </w:r>
    </w:p>
    <w:p w14:paraId="4A20381D" w14:textId="77777777" w:rsidR="00E243D0" w:rsidRPr="00AA159A" w:rsidRDefault="00E243D0" w:rsidP="00134698">
      <w:pPr>
        <w:pStyle w:val="NumList2"/>
        <w:numPr>
          <w:ilvl w:val="1"/>
          <w:numId w:val="25"/>
        </w:numPr>
      </w:pPr>
      <w:r w:rsidRPr="00AA159A">
        <w:t xml:space="preserve">the conditions under which the accident is analysed; and </w:t>
      </w:r>
    </w:p>
    <w:p w14:paraId="51157F0F" w14:textId="264D741B" w:rsidR="00E243D0" w:rsidRPr="00AA159A" w:rsidRDefault="00DF48DD" w:rsidP="00134698">
      <w:pPr>
        <w:pStyle w:val="NumList2"/>
        <w:numPr>
          <w:ilvl w:val="1"/>
          <w:numId w:val="25"/>
        </w:numPr>
      </w:pPr>
      <w:r w:rsidRPr="00AA159A">
        <w:t>the confidence</w:t>
      </w:r>
      <w:r w:rsidR="00E346AF" w:rsidRPr="00AA159A">
        <w:t xml:space="preserve"> </w:t>
      </w:r>
      <w:r w:rsidR="007C4C78" w:rsidRPr="00AA159A">
        <w:t>in</w:t>
      </w:r>
      <w:r w:rsidR="00E346AF" w:rsidRPr="00AA159A">
        <w:t xml:space="preserve"> </w:t>
      </w:r>
      <w:r w:rsidR="00A13E35" w:rsidRPr="00AA159A">
        <w:t xml:space="preserve">the implementation of </w:t>
      </w:r>
      <w:r w:rsidR="00E243D0" w:rsidRPr="00AA159A">
        <w:t xml:space="preserve">emergency </w:t>
      </w:r>
      <w:r w:rsidR="0003023A" w:rsidRPr="00AA159A">
        <w:t>protective actions</w:t>
      </w:r>
      <w:r w:rsidR="00E243D0" w:rsidRPr="00AA159A">
        <w:t>.</w:t>
      </w:r>
    </w:p>
    <w:p w14:paraId="40B84A13" w14:textId="3E46E3A8" w:rsidR="00E243D0" w:rsidRPr="00AA159A" w:rsidRDefault="0058682D" w:rsidP="009B7D05">
      <w:pPr>
        <w:pStyle w:val="SAPHeading"/>
      </w:pPr>
      <w:r w:rsidRPr="00AA159A">
        <w:lastRenderedPageBreak/>
        <w:t>DBA</w:t>
      </w:r>
      <w:r w:rsidR="00E243D0" w:rsidRPr="00AA159A">
        <w:t>.</w:t>
      </w:r>
      <w:r w:rsidRPr="00AA159A">
        <w:t>1</w:t>
      </w:r>
      <w:r w:rsidR="00E243D0" w:rsidRPr="00AA159A">
        <w:t xml:space="preserve"> – Demonstration of fault tolerance</w:t>
      </w:r>
    </w:p>
    <w:p w14:paraId="78FE9CC1" w14:textId="2102E8A0" w:rsidR="00E243D0" w:rsidRPr="00AA159A" w:rsidRDefault="00E243D0" w:rsidP="006C4609">
      <w:pPr>
        <w:pStyle w:val="SAPBodyText"/>
      </w:pPr>
      <w:r w:rsidRPr="00AA159A">
        <w:t>DBA should be carried out to provide a demonstration of the fault tolerance of the engineering design and the effectiveness of the safety measures.</w:t>
      </w:r>
    </w:p>
    <w:p w14:paraId="5AD0A0DB" w14:textId="66A05F3B" w:rsidR="00E243D0" w:rsidRPr="00CF791A" w:rsidRDefault="00E243D0" w:rsidP="00E243D0">
      <w:pPr>
        <w:pStyle w:val="Paragraph"/>
      </w:pPr>
      <w:r w:rsidRPr="00CF791A">
        <w:t xml:space="preserve">DBA should be carried out as part of the design. Where this is not possible </w:t>
      </w:r>
      <w:r w:rsidR="005364DE">
        <w:br/>
      </w:r>
      <w:r w:rsidRPr="00CF791A">
        <w:t xml:space="preserve">(for example for reviews of existing facilities), the analysis should be developed in line with the engineering and human factors analysis to demonstrate that safety functions are met with suitable levels of confidence. It is important that the analysis iterates with the design and its intended operation over the lifecycle of the facility. </w:t>
      </w:r>
    </w:p>
    <w:p w14:paraId="10B7DE6F" w14:textId="40987C26" w:rsidR="00E243D0" w:rsidRPr="00AA159A" w:rsidRDefault="0058682D" w:rsidP="009B7D05">
      <w:pPr>
        <w:pStyle w:val="SAPHeading"/>
      </w:pPr>
      <w:r w:rsidRPr="00AA159A">
        <w:t>DBA.2</w:t>
      </w:r>
      <w:r w:rsidR="00E243D0" w:rsidRPr="00AA159A">
        <w:t xml:space="preserve"> – Initiating faults</w:t>
      </w:r>
    </w:p>
    <w:p w14:paraId="78DCF8E0" w14:textId="77777777" w:rsidR="00E243D0" w:rsidRPr="00AA159A" w:rsidRDefault="00E243D0" w:rsidP="006C4609">
      <w:pPr>
        <w:pStyle w:val="SAPBodyText"/>
      </w:pPr>
      <w:r w:rsidRPr="00AA159A">
        <w:t>The safety case should list all initiating faults that are included within the design basis analysis of the facility.</w:t>
      </w:r>
    </w:p>
    <w:p w14:paraId="50449E30" w14:textId="2E78C800" w:rsidR="00E243D0" w:rsidRPr="00CF791A" w:rsidRDefault="00E243D0" w:rsidP="00E243D0">
      <w:pPr>
        <w:pStyle w:val="Paragraph"/>
      </w:pPr>
      <w:r w:rsidRPr="00CF791A">
        <w:t xml:space="preserve">Initiating faults identified in Principle FA.2 should be considered for inclusion in this list, but the following need not be included: </w:t>
      </w:r>
    </w:p>
    <w:p w14:paraId="7375782B" w14:textId="77777777" w:rsidR="00E243D0" w:rsidRPr="00AA159A" w:rsidRDefault="00E243D0" w:rsidP="00134698">
      <w:pPr>
        <w:pStyle w:val="NumList2"/>
        <w:numPr>
          <w:ilvl w:val="1"/>
          <w:numId w:val="26"/>
        </w:numPr>
      </w:pPr>
      <w:r w:rsidRPr="00AA159A">
        <w:t>faults in the facility that have a best estimate initiating frequency lower than about 1 x 10</w:t>
      </w:r>
      <w:r w:rsidRPr="00AA159A">
        <w:rPr>
          <w:vertAlign w:val="superscript"/>
        </w:rPr>
        <w:t>-5</w:t>
      </w:r>
      <w:r w:rsidRPr="00AA159A">
        <w:t xml:space="preserve"> pa;</w:t>
      </w:r>
    </w:p>
    <w:p w14:paraId="7C8FF690" w14:textId="16707CF2" w:rsidR="00E243D0" w:rsidRPr="00AA159A" w:rsidRDefault="00E243D0" w:rsidP="00134698">
      <w:pPr>
        <w:pStyle w:val="NumList2"/>
        <w:numPr>
          <w:ilvl w:val="1"/>
          <w:numId w:val="26"/>
        </w:numPr>
      </w:pPr>
      <w:r w:rsidRPr="00AA159A">
        <w:t>internal and man-made hazards that have a best estimate frequency of exceedance lower than about 1 x 10</w:t>
      </w:r>
      <w:r w:rsidRPr="00AA159A">
        <w:rPr>
          <w:vertAlign w:val="superscript"/>
        </w:rPr>
        <w:t>-5</w:t>
      </w:r>
      <w:r w:rsidRPr="00AA159A">
        <w:t xml:space="preserve"> pa </w:t>
      </w:r>
      <w:r w:rsidR="007A50AA">
        <w:t>(refer to</w:t>
      </w:r>
      <w:r w:rsidRPr="00AA159A">
        <w:t xml:space="preserve"> EHA.5);</w:t>
      </w:r>
    </w:p>
    <w:p w14:paraId="39F2F6B6" w14:textId="4FF91F83" w:rsidR="00E243D0" w:rsidRPr="00AA159A" w:rsidRDefault="0021023B" w:rsidP="00134698">
      <w:pPr>
        <w:pStyle w:val="NumList2"/>
        <w:numPr>
          <w:ilvl w:val="1"/>
          <w:numId w:val="26"/>
        </w:numPr>
      </w:pPr>
      <w:r w:rsidRPr="0021023B">
        <w:t>natural external hazards less frequent than the design basis hazards (that is, the hazards determined under EHA.5 using an annual frequency of exceedance within the range of 10</w:t>
      </w:r>
      <w:r w:rsidRPr="0021023B">
        <w:rPr>
          <w:vertAlign w:val="superscript"/>
        </w:rPr>
        <w:t>-4</w:t>
      </w:r>
      <w:r w:rsidRPr="0021023B">
        <w:t xml:space="preserve"> to 10</w:t>
      </w:r>
      <w:r w:rsidRPr="0021023B">
        <w:rPr>
          <w:vertAlign w:val="superscript"/>
        </w:rPr>
        <w:t>-5</w:t>
      </w:r>
      <w:r w:rsidR="00CB7C4F">
        <w:t xml:space="preserve"> </w:t>
      </w:r>
      <w:r w:rsidRPr="0021023B">
        <w:t>subject to inclusion of appropriate conservatism)</w:t>
      </w:r>
      <w:r w:rsidR="00E243D0" w:rsidRPr="00AA159A">
        <w:t>;</w:t>
      </w:r>
    </w:p>
    <w:p w14:paraId="38EF7C75" w14:textId="6DC90C5E" w:rsidR="00E243D0" w:rsidRPr="00AA159A" w:rsidRDefault="00E243D0" w:rsidP="00134698">
      <w:pPr>
        <w:pStyle w:val="NumList2"/>
        <w:numPr>
          <w:ilvl w:val="1"/>
          <w:numId w:val="26"/>
        </w:numPr>
      </w:pPr>
      <w:r w:rsidRPr="00AA159A">
        <w:t xml:space="preserve">failures of structures, systems or components for which appropriate specific arguments for preventing the initiating fault have been made </w:t>
      </w:r>
      <w:r w:rsidR="007A50AA">
        <w:t>(refer to</w:t>
      </w:r>
      <w:r w:rsidRPr="00AA159A">
        <w:t xml:space="preserve"> E</w:t>
      </w:r>
      <w:r w:rsidR="00396CD8">
        <w:t>C</w:t>
      </w:r>
      <w:r w:rsidR="00C40422" w:rsidRPr="00AA159A">
        <w:t>S</w:t>
      </w:r>
      <w:r w:rsidRPr="00AA159A">
        <w:t>.</w:t>
      </w:r>
      <w:r w:rsidR="00C40422" w:rsidRPr="00AA159A">
        <w:t>5</w:t>
      </w:r>
      <w:r w:rsidRPr="00AA159A">
        <w:t>); and</w:t>
      </w:r>
    </w:p>
    <w:p w14:paraId="56867443" w14:textId="6127FFF3" w:rsidR="00E243D0" w:rsidRPr="00AA159A" w:rsidRDefault="00E243D0" w:rsidP="00134698">
      <w:pPr>
        <w:pStyle w:val="NumList2"/>
        <w:numPr>
          <w:ilvl w:val="1"/>
          <w:numId w:val="26"/>
        </w:numPr>
      </w:pPr>
      <w:r w:rsidRPr="00AA159A">
        <w:t xml:space="preserve">those faults </w:t>
      </w:r>
      <w:r w:rsidR="00A13E39">
        <w:t xml:space="preserve">with </w:t>
      </w:r>
      <w:r w:rsidRPr="00AA159A">
        <w:t xml:space="preserve">unmitigated consequences </w:t>
      </w:r>
      <w:r w:rsidR="00A13E39">
        <w:t xml:space="preserve">that </w:t>
      </w:r>
      <w:r w:rsidR="00A13E39" w:rsidRPr="005774CA">
        <w:t xml:space="preserve">do not exceed </w:t>
      </w:r>
      <w:r w:rsidR="00A13E39">
        <w:t>the</w:t>
      </w:r>
      <w:r w:rsidR="00A13E39" w:rsidRPr="00A65160">
        <w:t xml:space="preserve"> </w:t>
      </w:r>
      <w:r w:rsidRPr="00AA159A">
        <w:t xml:space="preserve">BSL for the respective initiating fault </w:t>
      </w:r>
      <w:r w:rsidR="00FE4906" w:rsidRPr="00AA159A">
        <w:t>frequenc</w:t>
      </w:r>
      <w:r w:rsidR="00FE4906">
        <w:t>ies</w:t>
      </w:r>
      <w:r w:rsidR="00FE4906" w:rsidRPr="00AA159A">
        <w:t xml:space="preserve"> </w:t>
      </w:r>
      <w:r w:rsidRPr="00AA159A">
        <w:t xml:space="preserve">in </w:t>
      </w:r>
      <w:r w:rsidR="00FB7727" w:rsidRPr="00AA159A">
        <w:t>Risk Indicator 4</w:t>
      </w:r>
      <w:r w:rsidRPr="00AA159A">
        <w:t xml:space="preserve">. </w:t>
      </w:r>
    </w:p>
    <w:p w14:paraId="7F270D6C" w14:textId="49CC1689" w:rsidR="00E243D0" w:rsidRDefault="00E243D0" w:rsidP="00E243D0">
      <w:pPr>
        <w:pStyle w:val="Paragraph"/>
      </w:pPr>
      <w:r w:rsidRPr="00CF791A">
        <w:t>These criteria have been set to help to identify those fault sequences where application of DBA is likely to be proportionate to the hazard. Where the criteria lead to initiating faults being excluded from the DBA, the safety case should still demonstrate that the resultant risks are as low as reasonably practicable, but by applying other approaches</w:t>
      </w:r>
      <w:r w:rsidR="00A57184" w:rsidRPr="00CF791A">
        <w:t xml:space="preserve"> </w:t>
      </w:r>
      <w:r w:rsidRPr="00CF791A">
        <w:t>(</w:t>
      </w:r>
      <w:r w:rsidR="00A57184" w:rsidRPr="00CF791A">
        <w:t>for example,</w:t>
      </w:r>
      <w:r w:rsidRPr="00CF791A">
        <w:t xml:space="preserve"> application of relevant good engineering practice, PSA and other forms of deterministic analysis).</w:t>
      </w:r>
    </w:p>
    <w:p w14:paraId="010D88A1" w14:textId="77777777" w:rsidR="007A0826" w:rsidRDefault="007A0826" w:rsidP="009B7D05">
      <w:pPr>
        <w:pStyle w:val="SAPHeading"/>
        <w:sectPr w:rsidR="007A0826" w:rsidSect="00E243D0">
          <w:pgSz w:w="11906" w:h="16838" w:code="9"/>
          <w:pgMar w:top="1440" w:right="1440" w:bottom="1440" w:left="1440" w:header="397" w:footer="397" w:gutter="0"/>
          <w:cols w:space="312"/>
          <w:docGrid w:linePitch="360"/>
        </w:sectPr>
      </w:pPr>
    </w:p>
    <w:p w14:paraId="183AD555" w14:textId="35895951" w:rsidR="00E243D0" w:rsidRPr="00AA159A" w:rsidRDefault="0058682D" w:rsidP="009B7D05">
      <w:pPr>
        <w:pStyle w:val="SAPHeading"/>
      </w:pPr>
      <w:r w:rsidRPr="00AA159A">
        <w:lastRenderedPageBreak/>
        <w:t>DBA.3</w:t>
      </w:r>
      <w:r w:rsidR="00E243D0" w:rsidRPr="00AA159A">
        <w:t xml:space="preserve"> – Fault sequences</w:t>
      </w:r>
    </w:p>
    <w:p w14:paraId="2416E357" w14:textId="77777777" w:rsidR="00E243D0" w:rsidRPr="00AA159A" w:rsidRDefault="00E243D0" w:rsidP="006C4609">
      <w:pPr>
        <w:pStyle w:val="SAPBodyText"/>
      </w:pPr>
      <w:r w:rsidRPr="00AA159A">
        <w:t>For each initiating fault within the design basis, the relevant design basis fault sequences should be identified.</w:t>
      </w:r>
    </w:p>
    <w:p w14:paraId="1D1C42B2" w14:textId="77777777" w:rsidR="00E243D0" w:rsidRPr="00CF791A" w:rsidRDefault="00E243D0" w:rsidP="00E243D0">
      <w:pPr>
        <w:pStyle w:val="Paragraph"/>
      </w:pPr>
      <w:r w:rsidRPr="00CF791A">
        <w:t>Initiating events leading to fault sequences protected by the same safety measures may be grouped, and their frequencies summed, for the purposes of DBA. Conversely, initiating events leading to similar fault sequences should not be subdivided to evade requirements for design basis safety measures.</w:t>
      </w:r>
    </w:p>
    <w:p w14:paraId="47BA9B0B" w14:textId="1CBC9D1A" w:rsidR="00E243D0" w:rsidRPr="00CF791A" w:rsidRDefault="00760F10" w:rsidP="00E243D0">
      <w:pPr>
        <w:pStyle w:val="Paragraph"/>
      </w:pPr>
      <w:r w:rsidRPr="00CF791A">
        <w:t>Credible f</w:t>
      </w:r>
      <w:r w:rsidR="00763C29" w:rsidRPr="00CF791A">
        <w:t>ault sequences involving initiating faults and failures of safety measures to deliver their safety functions should be considered for inclusion within the design basis. Judgement should be exercised in this regard, but for high hazard facilities, a fault sequence frequency of 1 x 10</w:t>
      </w:r>
      <w:r w:rsidR="00763C29" w:rsidRPr="00CF791A">
        <w:rPr>
          <w:bCs w:val="0"/>
          <w:vertAlign w:val="superscript"/>
        </w:rPr>
        <w:t>-7</w:t>
      </w:r>
      <w:r w:rsidR="00763C29" w:rsidRPr="00CF791A">
        <w:t xml:space="preserve"> pa would be a typical cut-off when applying design basis techniques.</w:t>
      </w:r>
      <w:r w:rsidR="00531A97" w:rsidRPr="00CF791A">
        <w:t xml:space="preserve"> </w:t>
      </w:r>
      <w:r w:rsidR="00E243D0" w:rsidRPr="00CF791A">
        <w:t>The analysis of fault sequences should demonstrate that the design incorporates suitable and sufficient safety measures.</w:t>
      </w:r>
    </w:p>
    <w:p w14:paraId="5CDABF8C" w14:textId="77777777" w:rsidR="00E243D0" w:rsidRPr="00CF791A" w:rsidRDefault="00E243D0" w:rsidP="00E243D0">
      <w:pPr>
        <w:pStyle w:val="Paragraph"/>
      </w:pPr>
      <w:r w:rsidRPr="00CF791A">
        <w:t>Correct performance of safety-related and non-safety equipment should not be assumed where this would alleviate the consequences. Where failures or unintended operation of equipment not qualified for specific accident conditions could exacerbate the consequences, or otherwise make the fault more severe, this should be assumed within the DBA.</w:t>
      </w:r>
    </w:p>
    <w:p w14:paraId="4EF353CC" w14:textId="77777777" w:rsidR="00E243D0" w:rsidRPr="00CF791A" w:rsidRDefault="00E243D0" w:rsidP="00E243D0">
      <w:pPr>
        <w:pStyle w:val="Paragraph"/>
      </w:pPr>
      <w:r w:rsidRPr="00CF791A">
        <w:t xml:space="preserve">Each design basis fault sequence should include as appropriate: </w:t>
      </w:r>
    </w:p>
    <w:p w14:paraId="67E28F33" w14:textId="08A64467" w:rsidR="00E243D0" w:rsidRPr="00AA159A" w:rsidRDefault="00E243D0" w:rsidP="00134698">
      <w:pPr>
        <w:pStyle w:val="NumList2"/>
        <w:numPr>
          <w:ilvl w:val="1"/>
          <w:numId w:val="27"/>
        </w:numPr>
      </w:pPr>
      <w:r w:rsidRPr="00AA159A">
        <w:t xml:space="preserve">failures consequential upon the initiating fault, and failures expected to occur in combination with that initiating fault arising from a common cause; </w:t>
      </w:r>
    </w:p>
    <w:p w14:paraId="799C8C6A" w14:textId="7C900B8A" w:rsidR="00E243D0" w:rsidRPr="00AA159A" w:rsidRDefault="00E243D0" w:rsidP="00134698">
      <w:pPr>
        <w:pStyle w:val="NumList2"/>
        <w:numPr>
          <w:ilvl w:val="1"/>
          <w:numId w:val="27"/>
        </w:numPr>
      </w:pPr>
      <w:r w:rsidRPr="00AA159A">
        <w:t xml:space="preserve">the worst single failure anywhere in the claimed safety measures (including any </w:t>
      </w:r>
      <w:r w:rsidR="00266B2F" w:rsidRPr="00AA159A">
        <w:t xml:space="preserve">essential </w:t>
      </w:r>
      <w:r w:rsidR="007627B5" w:rsidRPr="00AA159A">
        <w:t>services</w:t>
      </w:r>
      <w:r w:rsidRPr="00AA159A">
        <w:t>)</w:t>
      </w:r>
      <w:r w:rsidR="00D94BC9" w:rsidRPr="00AA159A">
        <w:t>,</w:t>
      </w:r>
      <w:r w:rsidRPr="00AA159A">
        <w:t xml:space="preserve"> this is known as the single failure criterion; </w:t>
      </w:r>
    </w:p>
    <w:p w14:paraId="05C3A623" w14:textId="77777777" w:rsidR="00E243D0" w:rsidRPr="00AA159A" w:rsidRDefault="00E243D0" w:rsidP="00134698">
      <w:pPr>
        <w:pStyle w:val="NumList2"/>
        <w:numPr>
          <w:ilvl w:val="1"/>
          <w:numId w:val="27"/>
        </w:numPr>
      </w:pPr>
      <w:r w:rsidRPr="00AA159A">
        <w:t xml:space="preserve">the worst normally permitted configuration of equipment outages for maintenance, test or repair; and </w:t>
      </w:r>
    </w:p>
    <w:p w14:paraId="3DC94849" w14:textId="77777777" w:rsidR="00E243D0" w:rsidRPr="00AA159A" w:rsidRDefault="00E243D0" w:rsidP="00134698">
      <w:pPr>
        <w:pStyle w:val="NumList2"/>
        <w:numPr>
          <w:ilvl w:val="1"/>
          <w:numId w:val="27"/>
        </w:numPr>
      </w:pPr>
      <w:r w:rsidRPr="00AA159A">
        <w:t>the most onerous initial operating state permitted by the operating rules.</w:t>
      </w:r>
    </w:p>
    <w:p w14:paraId="4C7FCC8A" w14:textId="5C96BD1F" w:rsidR="00E243D0" w:rsidRPr="00CF791A" w:rsidRDefault="00BF3650" w:rsidP="00BF3650">
      <w:pPr>
        <w:pStyle w:val="Paragraph"/>
      </w:pPr>
      <w:r w:rsidRPr="00CF791A">
        <w:t>In order</w:t>
      </w:r>
      <w:r w:rsidR="000129C6" w:rsidRPr="00CF791A">
        <w:t xml:space="preserve"> to</w:t>
      </w:r>
      <w:r w:rsidRPr="00CF791A">
        <w:t xml:space="preserve"> implement the above, appropriate deterministic rules should be established in the safety case</w:t>
      </w:r>
      <w:r w:rsidR="00E243D0" w:rsidRPr="00CF791A">
        <w:t xml:space="preserve">. For low frequency sequences it may be disproportionate to expect the same level of conservatism </w:t>
      </w:r>
      <w:r w:rsidR="000E2434">
        <w:t xml:space="preserve">as </w:t>
      </w:r>
      <w:r w:rsidR="00443D01">
        <w:t>applied</w:t>
      </w:r>
      <w:r w:rsidR="00443D01" w:rsidRPr="00CF791A">
        <w:t xml:space="preserve"> </w:t>
      </w:r>
      <w:r w:rsidR="007E72AC">
        <w:t>to</w:t>
      </w:r>
      <w:r w:rsidR="007E72AC" w:rsidRPr="00CF791A">
        <w:t xml:space="preserve"> </w:t>
      </w:r>
      <w:r w:rsidR="00E243D0" w:rsidRPr="00CF791A">
        <w:t>high frequency initiating events. The overall approach should be justified to support a demonstration of fault tolerance and defence in depth.</w:t>
      </w:r>
    </w:p>
    <w:p w14:paraId="5DD69A88" w14:textId="77777777" w:rsidR="00E243D0" w:rsidRPr="00CF791A" w:rsidRDefault="00E243D0" w:rsidP="00E243D0">
      <w:pPr>
        <w:pStyle w:val="Paragraph"/>
      </w:pPr>
      <w:r w:rsidRPr="00CF791A">
        <w:t>The analysis should establish that adverse conditions that may arise as a consequence of the fault sequence will not jeopardise the claimed performance of the safety measures.</w:t>
      </w:r>
    </w:p>
    <w:p w14:paraId="0CF3296D" w14:textId="0E9270F2" w:rsidR="00E243D0" w:rsidRPr="00CF791A" w:rsidRDefault="00BE5505" w:rsidP="00E243D0">
      <w:pPr>
        <w:pStyle w:val="Paragraph"/>
      </w:pPr>
      <w:r w:rsidRPr="00CF791A">
        <w:t>Human</w:t>
      </w:r>
      <w:r w:rsidR="00E243D0" w:rsidRPr="00CF791A">
        <w:t xml:space="preserve"> actions can be claimed as part of safety measures only if sufficient time is available, adequate information for fault diagnosis is presented</w:t>
      </w:r>
      <w:r w:rsidR="00B41325" w:rsidRPr="00CF791A">
        <w:t>, and they are</w:t>
      </w:r>
      <w:r w:rsidR="00E243D0" w:rsidRPr="00CF791A">
        <w:t xml:space="preserve"> </w:t>
      </w:r>
      <w:r w:rsidR="00CD2D88" w:rsidRPr="00CF791A">
        <w:lastRenderedPageBreak/>
        <w:t xml:space="preserve">supported by </w:t>
      </w:r>
      <w:r w:rsidR="00E243D0" w:rsidRPr="00CF791A">
        <w:t xml:space="preserve">appropriate procedures, and training. Appropriate analysis should be carried out on any claimed actions </w:t>
      </w:r>
      <w:r w:rsidR="007A50AA">
        <w:t>(refer to</w:t>
      </w:r>
      <w:r w:rsidR="00E243D0" w:rsidRPr="00CF791A">
        <w:t xml:space="preserve"> EHF.5). </w:t>
      </w:r>
    </w:p>
    <w:p w14:paraId="67890227" w14:textId="4FAF5602" w:rsidR="00E243D0" w:rsidRPr="00AA159A" w:rsidRDefault="0058682D" w:rsidP="009B7D05">
      <w:pPr>
        <w:pStyle w:val="SAPHeading"/>
      </w:pPr>
      <w:r w:rsidRPr="00AA159A">
        <w:t>DBA.4</w:t>
      </w:r>
      <w:r w:rsidR="00E243D0" w:rsidRPr="00AA159A">
        <w:t xml:space="preserve"> – Consequences</w:t>
      </w:r>
    </w:p>
    <w:p w14:paraId="0E247DEB" w14:textId="77777777" w:rsidR="00E243D0" w:rsidRPr="00AA159A" w:rsidRDefault="00E243D0" w:rsidP="006C4609">
      <w:pPr>
        <w:pStyle w:val="SAPBodyText"/>
      </w:pPr>
      <w:r w:rsidRPr="00AA159A">
        <w:t>Analysis of design basis fault sequences should use suitable tools and techniques</w:t>
      </w:r>
      <w:r w:rsidRPr="00AA159A" w:rsidDel="00E57F48">
        <w:t>,</w:t>
      </w:r>
      <w:r w:rsidRPr="00AA159A">
        <w:t xml:space="preserve"> </w:t>
      </w:r>
      <w:r w:rsidRPr="00AA159A" w:rsidDel="00E605EC">
        <w:t xml:space="preserve">and be performed on </w:t>
      </w:r>
      <w:r w:rsidRPr="00AA159A">
        <w:t>an appropriately</w:t>
      </w:r>
      <w:r w:rsidRPr="00AA159A" w:rsidDel="00E605EC">
        <w:t xml:space="preserve"> conservative basis</w:t>
      </w:r>
      <w:r w:rsidRPr="00AA159A">
        <w:t>,</w:t>
      </w:r>
      <w:r w:rsidRPr="00AA159A" w:rsidDel="00E605EC">
        <w:t xml:space="preserve"> </w:t>
      </w:r>
      <w:r w:rsidRPr="00AA159A">
        <w:t>to demonstrate the performance of the safety measures.</w:t>
      </w:r>
    </w:p>
    <w:p w14:paraId="28FF5B7E" w14:textId="656BCDB0" w:rsidR="00E243D0" w:rsidRPr="00CF791A" w:rsidRDefault="005179BA" w:rsidP="00E243D0">
      <w:pPr>
        <w:pStyle w:val="Paragraph"/>
      </w:pPr>
      <w:r w:rsidRPr="00CF791A">
        <w:t xml:space="preserve">The fault sequence analysis should </w:t>
      </w:r>
      <w:r w:rsidR="001B1A40">
        <w:t xml:space="preserve">aim to </w:t>
      </w:r>
      <w:r w:rsidRPr="00CF791A">
        <w:t>demonstrate that the correct performance of the safety measures claimed in the DBA ensures that:</w:t>
      </w:r>
    </w:p>
    <w:p w14:paraId="6765B050" w14:textId="77777777" w:rsidR="00E243D0" w:rsidRPr="00AA159A" w:rsidRDefault="00E243D0" w:rsidP="00134698">
      <w:pPr>
        <w:pStyle w:val="NumList2"/>
        <w:numPr>
          <w:ilvl w:val="1"/>
          <w:numId w:val="28"/>
        </w:numPr>
      </w:pPr>
      <w:r w:rsidRPr="00AA159A">
        <w:t xml:space="preserve">none of the physical barriers to prevent the escape or relocation of a significant quantity of radioactive material is breached or, if any are, then at least one barrier remains intact with sufficient margin to accommodate any threat to its integrity; </w:t>
      </w:r>
    </w:p>
    <w:p w14:paraId="4329C81A" w14:textId="77777777" w:rsidR="00E243D0" w:rsidRPr="00AA159A" w:rsidRDefault="00E243D0" w:rsidP="00134698">
      <w:pPr>
        <w:pStyle w:val="NumList2"/>
        <w:numPr>
          <w:ilvl w:val="1"/>
          <w:numId w:val="28"/>
        </w:numPr>
      </w:pPr>
      <w:r w:rsidRPr="00AA159A">
        <w:t xml:space="preserve">there is no significant release of radioactivity; and </w:t>
      </w:r>
    </w:p>
    <w:p w14:paraId="34EE5B86" w14:textId="77777777" w:rsidR="00E243D0" w:rsidRPr="00AA159A" w:rsidRDefault="00E243D0" w:rsidP="00134698">
      <w:pPr>
        <w:pStyle w:val="NumList2"/>
        <w:numPr>
          <w:ilvl w:val="1"/>
          <w:numId w:val="28"/>
        </w:numPr>
      </w:pPr>
      <w:r w:rsidRPr="00AA159A">
        <w:t xml:space="preserve">no person receives a significant dose of radiation. </w:t>
      </w:r>
    </w:p>
    <w:p w14:paraId="3739E17F" w14:textId="659331D3" w:rsidR="00E243D0" w:rsidRPr="00CF791A" w:rsidRDefault="009476AD" w:rsidP="00E24003">
      <w:pPr>
        <w:pStyle w:val="Paragraph"/>
        <w:ind w:left="720"/>
      </w:pPr>
      <w:r>
        <w:t>F</w:t>
      </w:r>
      <w:r w:rsidRPr="00D04CB5">
        <w:t xml:space="preserve">or the purpose of </w:t>
      </w:r>
      <w:r w:rsidR="00C71B3E">
        <w:t>DBA</w:t>
      </w:r>
      <w:r w:rsidRPr="003B6DCA">
        <w:t xml:space="preserve">, inspectors should not consider </w:t>
      </w:r>
      <w:r w:rsidR="00DE2D8C" w:rsidRPr="00AA159A">
        <w:t>dose</w:t>
      </w:r>
      <w:r w:rsidR="007E7435">
        <w:t>s</w:t>
      </w:r>
      <w:r w:rsidR="00DE2D8C" w:rsidRPr="00AA159A">
        <w:t xml:space="preserve"> </w:t>
      </w:r>
      <w:r w:rsidRPr="003B6DCA">
        <w:t xml:space="preserve">below the RFL of Risk Indicator 4 to be ‘significant’. </w:t>
      </w:r>
      <w:r w:rsidR="00271F4E" w:rsidRPr="003B6DCA">
        <w:t xml:space="preserve">Similarly, inspectors should not consider a quantity of radioactive material </w:t>
      </w:r>
      <w:r w:rsidR="00271F4E">
        <w:t xml:space="preserve">or release </w:t>
      </w:r>
      <w:r w:rsidR="00271F4E" w:rsidRPr="003B6DCA">
        <w:t>to be significant if it does not have the potential to result in a significant dose</w:t>
      </w:r>
      <w:r w:rsidR="00A568C7">
        <w:t xml:space="preserve">. </w:t>
      </w:r>
      <w:r w:rsidR="00E243D0" w:rsidRPr="00CF791A">
        <w:t>Relocation means the material is no longer in its designated place of residence or confinement.</w:t>
      </w:r>
    </w:p>
    <w:p w14:paraId="428C995B" w14:textId="65A55D0A" w:rsidR="00E243D0" w:rsidRPr="00CF791A" w:rsidRDefault="00E243D0" w:rsidP="00E243D0">
      <w:pPr>
        <w:pStyle w:val="Paragraph"/>
      </w:pPr>
      <w:r w:rsidRPr="00CF791A">
        <w:t xml:space="preserve">Where the criteria in (a)–(c) above cannot be met, this should be identified and justified within the safety case. </w:t>
      </w:r>
      <w:r w:rsidR="00070AF9" w:rsidRPr="00CF791A">
        <w:t>Risk Indicator 4</w:t>
      </w:r>
      <w:r w:rsidRPr="00CF791A">
        <w:t xml:space="preserve"> provides BSLs and </w:t>
      </w:r>
      <w:r w:rsidR="002E184F" w:rsidRPr="00CF791A">
        <w:t xml:space="preserve">RFLs </w:t>
      </w:r>
      <w:r w:rsidRPr="00CF791A">
        <w:t>for judging the adequacy of design basis safety measure performance.</w:t>
      </w:r>
    </w:p>
    <w:p w14:paraId="26E41832" w14:textId="0BC479D8" w:rsidR="00E243D0" w:rsidRDefault="00E243D0" w:rsidP="00E243D0">
      <w:pPr>
        <w:pStyle w:val="Paragraph"/>
      </w:pPr>
      <w:r w:rsidRPr="00CF791A">
        <w:t xml:space="preserve">In addition to the inclusion of design basis assumptions, it should be demonstrated that a small change in a DBA parameter will not lead to a disproportionate increase in radiological consequences, that is there should be no cliff edge effect. </w:t>
      </w:r>
      <w:r w:rsidR="005364DE">
        <w:br/>
      </w:r>
      <w:r w:rsidRPr="00CF791A">
        <w:t xml:space="preserve">The severity and frequency of the initiating event should be amongst the parameters considered. </w:t>
      </w:r>
      <w:r w:rsidRPr="00CF791A" w:rsidDel="0082703B">
        <w:t>The aim is to be conservative without being overly pessimistic</w:t>
      </w:r>
      <w:r w:rsidR="008B5129" w:rsidRPr="00CF791A">
        <w:t>. Dutyholder</w:t>
      </w:r>
      <w:r w:rsidR="00AF51A3" w:rsidRPr="00CF791A">
        <w:t>s</w:t>
      </w:r>
      <w:r w:rsidR="008B5129" w:rsidRPr="00CF791A">
        <w:t xml:space="preserve"> </w:t>
      </w:r>
      <w:r w:rsidR="00BD27D4" w:rsidRPr="00CF791A">
        <w:t xml:space="preserve">can </w:t>
      </w:r>
      <w:r w:rsidR="00E87BCB" w:rsidRPr="00CF791A">
        <w:t>include quantification of uncertainty ma</w:t>
      </w:r>
      <w:r w:rsidR="00B6710E" w:rsidRPr="00CF791A">
        <w:t>rgin to manage conservati</w:t>
      </w:r>
      <w:r w:rsidR="00682835" w:rsidRPr="00CF791A">
        <w:t>s</w:t>
      </w:r>
      <w:r w:rsidR="00B6710E" w:rsidRPr="00CF791A">
        <w:t>ms</w:t>
      </w:r>
      <w:r w:rsidRPr="00CF791A" w:rsidDel="0082703B">
        <w:t>.</w:t>
      </w:r>
    </w:p>
    <w:p w14:paraId="0FD8E902" w14:textId="07A2FDB2" w:rsidR="00455BEA" w:rsidRPr="00CF791A" w:rsidRDefault="00530B12" w:rsidP="00E243D0">
      <w:pPr>
        <w:pStyle w:val="Paragraph"/>
      </w:pPr>
      <w:r w:rsidRPr="00530B12">
        <w:t>In line with international expectation for design extension conditions, for high consequence faults, DBA should include hazard</w:t>
      </w:r>
      <w:r w:rsidR="007C37A8">
        <w:t xml:space="preserve"> combination</w:t>
      </w:r>
      <w:r w:rsidRPr="00530B12">
        <w:t>s, common cause failures and sequences involving multiple failures if the initiating fault frequency lies within the DBA region (as per DBA.2) or the sequence frequency is greater than the typical cut off frequency (as per DBA.3). The degree of conservatisms within the analysis can be relaxed as the initiating event or fault sequence frequency or consequences reduces at the upper DBA boundary (as per DBA.2). For initiating events or sequence frequencies approaching and falling below 10</w:t>
      </w:r>
      <w:r w:rsidRPr="007C33EF">
        <w:rPr>
          <w:vertAlign w:val="superscript"/>
        </w:rPr>
        <w:t>-5</w:t>
      </w:r>
      <w:r w:rsidRPr="00530B12">
        <w:t xml:space="preserve"> pa, the conservatisms within the analysis and acceptance criteria can be relaxed as the </w:t>
      </w:r>
      <w:r w:rsidRPr="00530B12">
        <w:lastRenderedPageBreak/>
        <w:t>design basis sequence cut-off frequency of 10</w:t>
      </w:r>
      <w:r w:rsidRPr="007C33EF">
        <w:rPr>
          <w:vertAlign w:val="superscript"/>
        </w:rPr>
        <w:t>-7</w:t>
      </w:r>
      <w:r w:rsidRPr="00530B12">
        <w:t xml:space="preserve"> pa is approached</w:t>
      </w:r>
      <w:r w:rsidR="0018446D">
        <w:t xml:space="preserve">, </w:t>
      </w:r>
      <w:r w:rsidR="0018446D" w:rsidRPr="0018446D">
        <w:t>down to best estimate if appropriate</w:t>
      </w:r>
      <w:r w:rsidRPr="00530B12">
        <w:t>.</w:t>
      </w:r>
    </w:p>
    <w:p w14:paraId="1780EB5E" w14:textId="13EF47DD" w:rsidR="00E243D0" w:rsidRPr="00AA159A" w:rsidRDefault="00FE7D63" w:rsidP="009B7D05">
      <w:pPr>
        <w:pStyle w:val="SAPHeading"/>
      </w:pPr>
      <w:r w:rsidRPr="00AA159A">
        <w:t>DBA.5</w:t>
      </w:r>
      <w:r w:rsidR="00E243D0" w:rsidRPr="00AA159A">
        <w:t xml:space="preserve"> – Linking of initiating faults, fault sequences and safety measures</w:t>
      </w:r>
    </w:p>
    <w:p w14:paraId="47D22746" w14:textId="77777777" w:rsidR="00E243D0" w:rsidRPr="00AA159A" w:rsidRDefault="00E243D0" w:rsidP="006C4609">
      <w:pPr>
        <w:pStyle w:val="SAPBodyText"/>
      </w:pPr>
      <w:r w:rsidRPr="00AA159A">
        <w:t>DBA should provide a clear and auditable linking of initiating faults, fault sequences and safety measures.</w:t>
      </w:r>
    </w:p>
    <w:p w14:paraId="6439961F" w14:textId="77777777" w:rsidR="00E243D0" w:rsidRPr="00CF791A" w:rsidRDefault="00E243D0" w:rsidP="00E243D0">
      <w:pPr>
        <w:pStyle w:val="Paragraph"/>
      </w:pPr>
      <w:r w:rsidRPr="00CF791A">
        <w:t xml:space="preserve">The analysis should demonstrate that: </w:t>
      </w:r>
    </w:p>
    <w:p w14:paraId="10412078" w14:textId="77777777" w:rsidR="00E243D0" w:rsidRPr="00AA159A" w:rsidRDefault="00E243D0" w:rsidP="00134698">
      <w:pPr>
        <w:pStyle w:val="NumList2"/>
        <w:numPr>
          <w:ilvl w:val="1"/>
          <w:numId w:val="29"/>
        </w:numPr>
      </w:pPr>
      <w:r w:rsidRPr="00AA159A">
        <w:t xml:space="preserve">all design basis initiating faults are addressed; </w:t>
      </w:r>
    </w:p>
    <w:p w14:paraId="2D876314" w14:textId="77777777" w:rsidR="00E243D0" w:rsidRPr="00AA159A" w:rsidRDefault="00E243D0" w:rsidP="00134698">
      <w:pPr>
        <w:pStyle w:val="NumList2"/>
        <w:numPr>
          <w:ilvl w:val="1"/>
          <w:numId w:val="29"/>
        </w:numPr>
      </w:pPr>
      <w:r w:rsidRPr="00AA159A">
        <w:t xml:space="preserve">appropriate safety functions have been identified for the design; </w:t>
      </w:r>
    </w:p>
    <w:p w14:paraId="3DF0B4AE" w14:textId="77777777" w:rsidR="00E243D0" w:rsidRPr="00AA159A" w:rsidRDefault="00E243D0" w:rsidP="00134698">
      <w:pPr>
        <w:pStyle w:val="NumList2"/>
        <w:numPr>
          <w:ilvl w:val="1"/>
          <w:numId w:val="29"/>
        </w:numPr>
      </w:pPr>
      <w:r w:rsidRPr="00AA159A">
        <w:t xml:space="preserve">the performance requirements for the safety measures have been identified; </w:t>
      </w:r>
    </w:p>
    <w:p w14:paraId="56505CD0" w14:textId="3FF09867" w:rsidR="00E243D0" w:rsidRPr="00AA159A" w:rsidRDefault="00E243D0" w:rsidP="00134698">
      <w:pPr>
        <w:pStyle w:val="NumList2"/>
        <w:numPr>
          <w:ilvl w:val="1"/>
          <w:numId w:val="29"/>
        </w:numPr>
      </w:pPr>
      <w:r w:rsidRPr="00AA159A">
        <w:t xml:space="preserve">suitable and sufficient safety measures are provided; </w:t>
      </w:r>
      <w:r w:rsidR="00AF5D69" w:rsidRPr="00AA159A">
        <w:t>and</w:t>
      </w:r>
    </w:p>
    <w:p w14:paraId="64057D17" w14:textId="12EB58A7" w:rsidR="00E243D0" w:rsidRPr="00AA159A" w:rsidRDefault="00E243D0" w:rsidP="00134698">
      <w:pPr>
        <w:pStyle w:val="NumList2"/>
        <w:numPr>
          <w:ilvl w:val="1"/>
          <w:numId w:val="29"/>
        </w:numPr>
      </w:pPr>
      <w:r w:rsidRPr="00AA159A">
        <w:t>there is sufficient balance across the levels of defence in depth (in support of KP.</w:t>
      </w:r>
      <w:r w:rsidR="00EC0704">
        <w:t>4</w:t>
      </w:r>
      <w:r w:rsidRPr="00AA159A">
        <w:t>).</w:t>
      </w:r>
    </w:p>
    <w:p w14:paraId="419CB9EA" w14:textId="1042C526" w:rsidR="00E243D0" w:rsidRPr="00CF791A" w:rsidRDefault="00E243D0" w:rsidP="00E243D0">
      <w:pPr>
        <w:pStyle w:val="Paragraph"/>
      </w:pPr>
      <w:r w:rsidRPr="00CF791A">
        <w:t xml:space="preserve">This demonstration should be summarised on a </w:t>
      </w:r>
      <w:r w:rsidR="00AF5D69" w:rsidRPr="00CF791A">
        <w:t>fault schedule</w:t>
      </w:r>
      <w:r w:rsidRPr="00CF791A">
        <w:t>. For each initiating fault or event, the schedule should identify the relevant initiating fault frequencies, the potential fault consequences, the safety measures (including passive measures) providing prevention, protection, and mitigation, the mitigated fault sequence frequency and the overall protection claim.</w:t>
      </w:r>
    </w:p>
    <w:p w14:paraId="349528B0" w14:textId="2A82A8B8" w:rsidR="00E243D0" w:rsidRPr="00CF791A" w:rsidRDefault="00E243D0" w:rsidP="00E243D0">
      <w:pPr>
        <w:pStyle w:val="Paragraph"/>
      </w:pPr>
      <w:r w:rsidRPr="00CF791A">
        <w:t xml:space="preserve">The DBA should demonstrate that the safety measures </w:t>
      </w:r>
      <w:r w:rsidR="0024448D" w:rsidRPr="00CF791A">
        <w:t>can bring</w:t>
      </w:r>
      <w:r w:rsidRPr="00CF791A">
        <w:t xml:space="preserve"> the facility to a stable, safe state following any design basis fault. Consideration should therefore be given to the mission times required of safety measures when defining the performance requirements for delivering their safety functions. This should include consideration of the time it would take to introduce alternative equipment to take over the long-term provision of safety functions.</w:t>
      </w:r>
    </w:p>
    <w:p w14:paraId="5946CA3E" w14:textId="6C91EF9C" w:rsidR="00E243D0" w:rsidRPr="00AA159A" w:rsidRDefault="00FE7D63" w:rsidP="009B7D05">
      <w:pPr>
        <w:pStyle w:val="SAPHeading"/>
      </w:pPr>
      <w:r w:rsidRPr="00AA159A">
        <w:t>DBA.6</w:t>
      </w:r>
      <w:r w:rsidR="00E243D0" w:rsidRPr="00AA159A">
        <w:t xml:space="preserve"> – Further use of DBA</w:t>
      </w:r>
    </w:p>
    <w:p w14:paraId="0BC9925B" w14:textId="636C6712" w:rsidR="00E243D0" w:rsidRPr="00AA159A" w:rsidRDefault="00450089" w:rsidP="006C4609">
      <w:pPr>
        <w:pStyle w:val="SAPBodyText"/>
      </w:pPr>
      <w:r w:rsidRPr="00AA159A">
        <w:t>DBA should provide an input into safety function identification</w:t>
      </w:r>
      <w:r w:rsidR="0069149D" w:rsidRPr="00AA159A">
        <w:t xml:space="preserve"> and categorisation</w:t>
      </w:r>
      <w:r w:rsidRPr="00AA159A">
        <w:t>; safety measure classification; the limits and conditions for safe operation and the requirements for human action.</w:t>
      </w:r>
    </w:p>
    <w:p w14:paraId="4F005AC4" w14:textId="482151E9" w:rsidR="00E243D0" w:rsidRPr="00CF791A" w:rsidRDefault="00E243D0" w:rsidP="00E243D0">
      <w:pPr>
        <w:pStyle w:val="Paragraph"/>
      </w:pPr>
      <w:r w:rsidRPr="00CF791A">
        <w:t>DBA</w:t>
      </w:r>
      <w:r w:rsidRPr="00CF791A" w:rsidDel="00E601FF">
        <w:t xml:space="preserve"> </w:t>
      </w:r>
      <w:r w:rsidRPr="00CF791A">
        <w:t xml:space="preserve">should be consistent with and linked explicitly to its safety function categorisation </w:t>
      </w:r>
      <w:r w:rsidR="007A50AA">
        <w:t>(refer to</w:t>
      </w:r>
      <w:r w:rsidR="00F90FA8">
        <w:t xml:space="preserve"> ECS.2) </w:t>
      </w:r>
      <w:r w:rsidRPr="00CF791A">
        <w:t xml:space="preserve">and safety measure classification methodologies </w:t>
      </w:r>
      <w:r w:rsidR="00F90FA8">
        <w:t>(</w:t>
      </w:r>
      <w:r w:rsidR="00D6455E">
        <w:t>refer to</w:t>
      </w:r>
      <w:r w:rsidR="00E91457">
        <w:t xml:space="preserve"> </w:t>
      </w:r>
      <w:r w:rsidR="00F90FA8">
        <w:t xml:space="preserve">ECS.4) </w:t>
      </w:r>
      <w:r w:rsidRPr="00CF791A">
        <w:t xml:space="preserve">so that safety measures claimed in the DBA are designed and operated to appropriately high standards. </w:t>
      </w:r>
    </w:p>
    <w:p w14:paraId="5BA6E366" w14:textId="15D7E2AB" w:rsidR="00E243D0" w:rsidRPr="00CF791A" w:rsidRDefault="00493377" w:rsidP="00E243D0">
      <w:pPr>
        <w:pStyle w:val="Paragraph"/>
      </w:pPr>
      <w:r w:rsidRPr="00CF791A">
        <w:t>DBA should provide the main basis, through the setting of explicit limits and conditions (operating rules), for:</w:t>
      </w:r>
      <w:r w:rsidR="00E243D0" w:rsidRPr="00CF791A">
        <w:t xml:space="preserve"> </w:t>
      </w:r>
    </w:p>
    <w:p w14:paraId="2C6EA3DC" w14:textId="77777777" w:rsidR="00E243D0" w:rsidRPr="00AA159A" w:rsidRDefault="00E243D0" w:rsidP="00134698">
      <w:pPr>
        <w:pStyle w:val="NumList2"/>
        <w:numPr>
          <w:ilvl w:val="1"/>
          <w:numId w:val="30"/>
        </w:numPr>
      </w:pPr>
      <w:r w:rsidRPr="00AA159A">
        <w:lastRenderedPageBreak/>
        <w:t xml:space="preserve">performance requirements and safety settings (for example, actuator trip settings) for safety systems and safety-related equipment; </w:t>
      </w:r>
    </w:p>
    <w:p w14:paraId="2B9106AA" w14:textId="77777777" w:rsidR="00E243D0" w:rsidRPr="00AA159A" w:rsidRDefault="00E243D0" w:rsidP="00134698">
      <w:pPr>
        <w:pStyle w:val="NumList2"/>
        <w:numPr>
          <w:ilvl w:val="1"/>
          <w:numId w:val="30"/>
        </w:numPr>
      </w:pPr>
      <w:r w:rsidRPr="00AA159A">
        <w:t>conditions governing permitted plant configurations and the availability of safety systems and safety-related equipment; and</w:t>
      </w:r>
    </w:p>
    <w:p w14:paraId="75B97621" w14:textId="77777777" w:rsidR="00E243D0" w:rsidRPr="00AA159A" w:rsidRDefault="00E243D0" w:rsidP="00134698">
      <w:pPr>
        <w:pStyle w:val="NumList2"/>
        <w:numPr>
          <w:ilvl w:val="1"/>
          <w:numId w:val="30"/>
        </w:numPr>
      </w:pPr>
      <w:r w:rsidRPr="00AA159A">
        <w:t>the safe operating envelope for the facility.</w:t>
      </w:r>
    </w:p>
    <w:p w14:paraId="66F5D00A" w14:textId="77777777" w:rsidR="00E243D0" w:rsidRPr="00AA159A" w:rsidRDefault="00E243D0" w:rsidP="009B7D05">
      <w:pPr>
        <w:pStyle w:val="Heading2"/>
      </w:pPr>
      <w:r w:rsidRPr="00AA159A">
        <w:t>Probabilistic safety analysis</w:t>
      </w:r>
    </w:p>
    <w:p w14:paraId="7F3AF9CD" w14:textId="30281E17" w:rsidR="00E243D0" w:rsidRPr="00CF791A" w:rsidRDefault="00E243D0" w:rsidP="00493377">
      <w:pPr>
        <w:pStyle w:val="Paragraph"/>
      </w:pPr>
      <w:r w:rsidRPr="00CF791A">
        <w:t xml:space="preserve">PSA provides an integrated, structured safety analysis that combines engineering and operational features in a consistent overall framework. This in turn enables complex interactions to be identified and examined, and provides a logical basis for identifying any relative weaknesses. </w:t>
      </w:r>
      <w:r w:rsidR="00493377" w:rsidRPr="00CF791A">
        <w:t>For high hazard installations, it should be an integral part</w:t>
      </w:r>
      <w:r w:rsidRPr="00CF791A">
        <w:t xml:space="preserve"> of design development and analysis. PSA also provides an input into risk-informed judgements both at the design stage and in operation.</w:t>
      </w:r>
    </w:p>
    <w:p w14:paraId="148E3C70" w14:textId="77777777" w:rsidR="00E243D0" w:rsidRPr="00CF791A" w:rsidRDefault="00E243D0" w:rsidP="00E243D0">
      <w:pPr>
        <w:pStyle w:val="Paragraph"/>
      </w:pPr>
      <w:r w:rsidRPr="00CF791A">
        <w:t>The scope and depth of PSA should be well defined and take into account the magnitude of the radiological hazard and risks, the novelty of the design, the complexity of the facility, and the intended applications of the PSA. Where there are limitations in the scope of the PSA these should be identified and justified.</w:t>
      </w:r>
    </w:p>
    <w:p w14:paraId="2FB15E0B" w14:textId="35A22557" w:rsidR="00E243D0" w:rsidRPr="00AA159A" w:rsidRDefault="00FE7D63" w:rsidP="009B7D05">
      <w:pPr>
        <w:pStyle w:val="SAPHeading"/>
      </w:pPr>
      <w:r w:rsidRPr="00AA159A">
        <w:t>PSA.1</w:t>
      </w:r>
      <w:r w:rsidR="00E243D0" w:rsidRPr="00AA159A">
        <w:t xml:space="preserve"> – Need for PSA</w:t>
      </w:r>
    </w:p>
    <w:p w14:paraId="42719F2B" w14:textId="77777777" w:rsidR="00E243D0" w:rsidRPr="00AA159A" w:rsidRDefault="00E243D0" w:rsidP="006C4609">
      <w:pPr>
        <w:pStyle w:val="SAPBodyText"/>
      </w:pPr>
      <w:r w:rsidRPr="00AA159A">
        <w:t>Suitable and sufficient PSA should be performed as part of the fault analysis and design development and analysis.</w:t>
      </w:r>
    </w:p>
    <w:p w14:paraId="1BF3FFED" w14:textId="1608E331" w:rsidR="00E243D0" w:rsidRPr="00CF791A" w:rsidRDefault="00E243D0" w:rsidP="00E243D0">
      <w:pPr>
        <w:pStyle w:val="Paragraph"/>
      </w:pPr>
      <w:r w:rsidRPr="00CF791A">
        <w:t xml:space="preserve">PSA should assist the designers in achieving a balanced and optimised design. Where a particular class of accident or feature of the facility makes a disproportionate contribution to the overall risk, of the order of one tenth or greater, this should be identified, understood and justified. PSA should enable a judgement to be made of the acceptability or otherwise of the overall risks, including supporting inspectors making comparisons against </w:t>
      </w:r>
      <w:r w:rsidR="00B9125D" w:rsidRPr="00CF791A">
        <w:t>Risk Indicators 5-9</w:t>
      </w:r>
      <w:r w:rsidRPr="00CF791A">
        <w:t xml:space="preserve"> as appropriate.</w:t>
      </w:r>
    </w:p>
    <w:p w14:paraId="7AADEFA0" w14:textId="5DE05D02" w:rsidR="00E243D0" w:rsidRPr="00CF791A" w:rsidRDefault="00E243D0" w:rsidP="00E243D0">
      <w:pPr>
        <w:pStyle w:val="Paragraph"/>
      </w:pPr>
      <w:r w:rsidRPr="00CF791A">
        <w:t>Where</w:t>
      </w:r>
      <w:r w:rsidRPr="00CF791A" w:rsidDel="005545A6">
        <w:t xml:space="preserve"> </w:t>
      </w:r>
      <w:r w:rsidRPr="00CF791A">
        <w:t xml:space="preserve">off site accident consequences are potentially significant, such as for an operating power reactor, the PSA should provide information on the frequencies and characteristics of different fission product releases to the environment (via </w:t>
      </w:r>
      <w:r w:rsidR="009277FF" w:rsidRPr="00CF791A">
        <w:t xml:space="preserve">level </w:t>
      </w:r>
      <w:r w:rsidRPr="00CF791A">
        <w:t xml:space="preserve">2 PSA). The PSA should include analysis of all external events (including </w:t>
      </w:r>
      <w:r w:rsidR="00837FD6">
        <w:t>‘</w:t>
      </w:r>
      <w:r w:rsidRPr="00CF791A">
        <w:t>beyond</w:t>
      </w:r>
      <w:r w:rsidR="00837FD6">
        <w:t xml:space="preserve"> </w:t>
      </w:r>
      <w:r w:rsidRPr="00CF791A">
        <w:t>design basis</w:t>
      </w:r>
      <w:r w:rsidR="00837FD6">
        <w:t>’</w:t>
      </w:r>
      <w:r w:rsidRPr="00CF791A">
        <w:t xml:space="preserve"> events) that could realistically lead to a significant off-site release. Where there is the potential for an accident to have societal consequences </w:t>
      </w:r>
      <w:r w:rsidR="007A50AA">
        <w:t>(refer to</w:t>
      </w:r>
      <w:r w:rsidRPr="00CF791A">
        <w:t xml:space="preserve"> </w:t>
      </w:r>
      <w:r w:rsidR="00B9125D" w:rsidRPr="00CF791A">
        <w:t>Risk Indicator 9</w:t>
      </w:r>
      <w:r w:rsidRPr="00CF791A">
        <w:t xml:space="preserve">) then </w:t>
      </w:r>
      <w:r w:rsidR="009277FF" w:rsidRPr="00CF791A">
        <w:t>l</w:t>
      </w:r>
      <w:r w:rsidRPr="00CF791A">
        <w:t>evel 3 PSA should be conducted.</w:t>
      </w:r>
    </w:p>
    <w:p w14:paraId="7DCEC6BB" w14:textId="3F93432F" w:rsidR="00E243D0" w:rsidRPr="00AA159A" w:rsidRDefault="00FE7D63" w:rsidP="009B7D05">
      <w:pPr>
        <w:pStyle w:val="SAPHeading"/>
      </w:pPr>
      <w:r w:rsidRPr="00AA159A">
        <w:t>PSA.2</w:t>
      </w:r>
      <w:r w:rsidR="00E243D0" w:rsidRPr="00AA159A">
        <w:t xml:space="preserve"> – Validity</w:t>
      </w:r>
    </w:p>
    <w:p w14:paraId="00AAECA6" w14:textId="77777777" w:rsidR="00E243D0" w:rsidRPr="00AA159A" w:rsidRDefault="00E243D0" w:rsidP="006C4609">
      <w:pPr>
        <w:pStyle w:val="SAPBodyText"/>
      </w:pPr>
      <w:r w:rsidRPr="00AA159A">
        <w:t>PSA should reflect the current design and operation of the facility or site.</w:t>
      </w:r>
    </w:p>
    <w:p w14:paraId="38454165" w14:textId="108042C5" w:rsidR="00E243D0" w:rsidRPr="00CF791A" w:rsidRDefault="00E243D0" w:rsidP="00E243D0">
      <w:pPr>
        <w:pStyle w:val="Paragraph"/>
      </w:pPr>
      <w:r w:rsidRPr="00CF791A">
        <w:t xml:space="preserve">PSA should be directly related to </w:t>
      </w:r>
      <w:r w:rsidR="002202BC">
        <w:t xml:space="preserve">the </w:t>
      </w:r>
      <w:r w:rsidR="00213E6D">
        <w:t>installation</w:t>
      </w:r>
      <w:r w:rsidRPr="00CF791A">
        <w:t xml:space="preserve"> and site information, data and documentation. Assumptions used in the absence of such information should be justified and consideration taken of their impact on the analysis. The PSA should be </w:t>
      </w:r>
      <w:r w:rsidRPr="00CF791A">
        <w:lastRenderedPageBreak/>
        <w:t xml:space="preserve">updated as needed to maintain an adequate representation of the </w:t>
      </w:r>
      <w:r w:rsidR="003254F9">
        <w:t>installation</w:t>
      </w:r>
      <w:r w:rsidRPr="00CF791A">
        <w:t xml:space="preserve">. </w:t>
      </w:r>
      <w:r w:rsidR="005364DE">
        <w:br/>
      </w:r>
      <w:r w:rsidRPr="00CF791A">
        <w:t xml:space="preserve">Where the PSA is in support of a design under development then the analysis should be against a well-defined reference point in the design process and updated as needed to support design development and modification. Where PSA is used to support operation of an existing facility, the PSA should be updated to reflect any physical, operational, or organisational changes as well as reflecting changes in understanding of the facility and operating experience. </w:t>
      </w:r>
    </w:p>
    <w:p w14:paraId="53EA9629" w14:textId="07077E49" w:rsidR="00E243D0" w:rsidRPr="00AA159A" w:rsidRDefault="00FE7D63" w:rsidP="009B7D05">
      <w:pPr>
        <w:pStyle w:val="SAPHeading"/>
      </w:pPr>
      <w:r w:rsidRPr="00AA159A">
        <w:t>PSA.3</w:t>
      </w:r>
      <w:r w:rsidR="00E243D0" w:rsidRPr="00AA159A">
        <w:t xml:space="preserve"> – Scope and extent</w:t>
      </w:r>
    </w:p>
    <w:p w14:paraId="698F795C" w14:textId="77777777" w:rsidR="00E243D0" w:rsidRPr="00AA159A" w:rsidRDefault="00E243D0" w:rsidP="006C4609">
      <w:pPr>
        <w:pStyle w:val="SAPBodyText"/>
      </w:pPr>
      <w:r w:rsidRPr="00AA159A">
        <w:t>PSA should cover all significant sources of radioactivity, all permitted operating states and all relevant initiating faults.</w:t>
      </w:r>
    </w:p>
    <w:p w14:paraId="402FAFCA" w14:textId="77777777" w:rsidR="00E243D0" w:rsidRPr="00CF791A" w:rsidRDefault="00E243D0" w:rsidP="00E243D0">
      <w:pPr>
        <w:pStyle w:val="Paragraph"/>
      </w:pPr>
      <w:r w:rsidRPr="00CF791A">
        <w:t>The scope of the PSA should be well defined, taking into account the complexity of the facility, the level of risk and the intended applications of the PSA. Where there are limitations in the scope of the PSA these should be identified and justified.</w:t>
      </w:r>
    </w:p>
    <w:p w14:paraId="0077AB68" w14:textId="03257BB6" w:rsidR="00E243D0" w:rsidRPr="00CF791A" w:rsidRDefault="00E243D0" w:rsidP="00E243D0">
      <w:pPr>
        <w:pStyle w:val="Paragraph"/>
      </w:pPr>
      <w:r w:rsidRPr="00CF791A">
        <w:t xml:space="preserve">Faults with low initiating frequencies need </w:t>
      </w:r>
      <w:r w:rsidR="00BA0989">
        <w:t xml:space="preserve">only </w:t>
      </w:r>
      <w:r w:rsidRPr="00CF791A">
        <w:t xml:space="preserve">be included </w:t>
      </w:r>
      <w:r w:rsidR="00C75BCC">
        <w:t>if</w:t>
      </w:r>
      <w:r w:rsidRPr="00CF791A">
        <w:t xml:space="preserve"> the PSA results might affect the design or operation of the facility. Screening criteria used to exclude low frequency faults should be justified.</w:t>
      </w:r>
    </w:p>
    <w:p w14:paraId="09F77227" w14:textId="5FAF1EE6" w:rsidR="00E243D0" w:rsidRPr="00CF791A" w:rsidRDefault="00E243D0" w:rsidP="00E243D0">
      <w:pPr>
        <w:pStyle w:val="Paragraph"/>
      </w:pPr>
      <w:r w:rsidRPr="00CF791A">
        <w:t xml:space="preserve">The identification of initiating faults should consider the potential for </w:t>
      </w:r>
      <w:r w:rsidR="000541DF">
        <w:t xml:space="preserve">hazard </w:t>
      </w:r>
      <w:r w:rsidRPr="00CF791A">
        <w:t>combinations. At multi-facility sites, the analysis should also consider the potential for specific initiating faults giving rise to simultaneous impacts on several facilities or for faults in one facility to impact another facility</w:t>
      </w:r>
      <w:r w:rsidR="009F6927">
        <w:t xml:space="preserve"> </w:t>
      </w:r>
      <w:r w:rsidR="007A50AA">
        <w:t>(refer to</w:t>
      </w:r>
      <w:r w:rsidR="009F6927">
        <w:t xml:space="preserve"> ST.3)</w:t>
      </w:r>
      <w:r w:rsidRPr="00CF791A">
        <w:t>.</w:t>
      </w:r>
    </w:p>
    <w:p w14:paraId="74E2EC93" w14:textId="45846533" w:rsidR="00E243D0" w:rsidRPr="00AA159A" w:rsidRDefault="00FE7D63" w:rsidP="009B7D05">
      <w:pPr>
        <w:pStyle w:val="SAPHeading"/>
      </w:pPr>
      <w:r w:rsidRPr="00AA159A">
        <w:t>PSA.4</w:t>
      </w:r>
      <w:r w:rsidR="00E243D0" w:rsidRPr="00AA159A">
        <w:t xml:space="preserve"> – Adequate representation</w:t>
      </w:r>
    </w:p>
    <w:p w14:paraId="409AC7C3" w14:textId="77777777" w:rsidR="00E243D0" w:rsidRPr="00AA159A" w:rsidRDefault="00E243D0" w:rsidP="006C4609">
      <w:pPr>
        <w:pStyle w:val="SAPBodyText"/>
      </w:pPr>
      <w:r w:rsidRPr="00AA159A">
        <w:t>The PSA model should provide an adequate representation of the facility and/or site.</w:t>
      </w:r>
    </w:p>
    <w:p w14:paraId="4973FE41" w14:textId="77777777" w:rsidR="00F04511" w:rsidRDefault="00F04511" w:rsidP="00542EA8">
      <w:pPr>
        <w:pStyle w:val="Paragraph"/>
      </w:pPr>
      <w:r>
        <w:t xml:space="preserve">The PSA should be sufficiently detailed to ensure a realistic model suitable for the intended application. </w:t>
      </w:r>
      <w:r w:rsidRPr="00C51F09">
        <w:t>Model simplifications</w:t>
      </w:r>
      <w:r>
        <w:t>, omissions or optimisms</w:t>
      </w:r>
      <w:r w:rsidRPr="00C51F09">
        <w:t xml:space="preserve"> should be clearly described and justified.</w:t>
      </w:r>
      <w:r w:rsidRPr="005D34D3">
        <w:t xml:space="preserve"> </w:t>
      </w:r>
      <w:r w:rsidRPr="00C51F09">
        <w:t>A</w:t>
      </w:r>
      <w:r>
        <w:t>ny a</w:t>
      </w:r>
      <w:r w:rsidRPr="00C51F09">
        <w:t xml:space="preserve">ssumptions made should be </w:t>
      </w:r>
      <w:r>
        <w:t xml:space="preserve">identified and </w:t>
      </w:r>
      <w:r w:rsidRPr="00C51F09">
        <w:t>justified, and the sensitivity to those assumptions should be analysed.</w:t>
      </w:r>
      <w:r>
        <w:t xml:space="preserve"> The impact of uncertainties in PSA modelling and data should be identified and understood. Uncertainties should be minimised when risk significant.</w:t>
      </w:r>
    </w:p>
    <w:p w14:paraId="01EDDA9C" w14:textId="00AEDEA9" w:rsidR="00F04511" w:rsidRPr="00C51F09" w:rsidRDefault="00F04511" w:rsidP="00F04511">
      <w:pPr>
        <w:pStyle w:val="Paragraph"/>
      </w:pPr>
      <w:r w:rsidRPr="00C51F09">
        <w:t>Best-estimate methods and data should be used as far as possible</w:t>
      </w:r>
      <w:r>
        <w:t>, including</w:t>
      </w:r>
      <w:r w:rsidRPr="00C51F09">
        <w:t xml:space="preserve"> for</w:t>
      </w:r>
      <w:r w:rsidR="00134CA6">
        <w:t>:</w:t>
      </w:r>
      <w:r w:rsidRPr="00C51F09">
        <w:t xml:space="preserve"> determining initiating event frequencies</w:t>
      </w:r>
      <w:r>
        <w:t xml:space="preserve">, </w:t>
      </w:r>
      <w:r w:rsidRPr="00C51F09">
        <w:t>supporting transient</w:t>
      </w:r>
      <w:r w:rsidR="00F779A7">
        <w:t xml:space="preserve"> analysis</w:t>
      </w:r>
      <w:r w:rsidRPr="00C51F09">
        <w:t>, accident progression, source term</w:t>
      </w:r>
      <w:r w:rsidR="00B93B92">
        <w:t>s</w:t>
      </w:r>
      <w:r w:rsidRPr="00C51F09">
        <w:t xml:space="preserve"> and radiological analyses. </w:t>
      </w:r>
      <w:r w:rsidRPr="00C51F09" w:rsidDel="00E55171">
        <w:t xml:space="preserve">Where this is not practicable, conservative assumptions </w:t>
      </w:r>
      <w:r>
        <w:t>can</w:t>
      </w:r>
      <w:r w:rsidRPr="00C51F09" w:rsidDel="00E55171">
        <w:t xml:space="preserve"> be made and the sensitivity of the results to these assumptions should be established. </w:t>
      </w:r>
    </w:p>
    <w:p w14:paraId="1CE841BB" w14:textId="78FED3FD" w:rsidR="00F04511" w:rsidRDefault="00F04511" w:rsidP="00F04511">
      <w:pPr>
        <w:pStyle w:val="Paragraph"/>
      </w:pPr>
      <w:r>
        <w:t>Event sequences</w:t>
      </w:r>
      <w:r w:rsidRPr="00C51F09">
        <w:t xml:space="preserve"> should be modelled either individually or as part of a bounding sequence until a stable, safe state is reached</w:t>
      </w:r>
      <w:r>
        <w:t>. All contributors to risk should be considered, including: random component failures, consequential failures due to the initiating event, common cause failures, equipment unavailability (</w:t>
      </w:r>
      <w:r w:rsidR="005364DE">
        <w:t>for example,</w:t>
      </w:r>
      <w:r>
        <w:t xml:space="preserve"> due to maintenance), human errors, latent or unrevealed errors, repair or recovery </w:t>
      </w:r>
      <w:r>
        <w:lastRenderedPageBreak/>
        <w:t>actions, dependencies (plant and operator), failure of passive systems and components, and failure of software or digital C&amp;I components</w:t>
      </w:r>
      <w:r w:rsidRPr="00C51F09">
        <w:t xml:space="preserve">. </w:t>
      </w:r>
    </w:p>
    <w:p w14:paraId="152E591D" w14:textId="63179695" w:rsidR="00F04511" w:rsidRPr="00C51F09" w:rsidRDefault="00F04511" w:rsidP="00F04511">
      <w:pPr>
        <w:pStyle w:val="Paragraph"/>
      </w:pPr>
      <w:r w:rsidRPr="00C51F09">
        <w:t xml:space="preserve">When models are used for the calculations of input probabilities, for example </w:t>
      </w:r>
      <w:r>
        <w:t>for</w:t>
      </w:r>
      <w:r w:rsidRPr="00C51F09">
        <w:t xml:space="preserve"> human errors</w:t>
      </w:r>
      <w:r>
        <w:t xml:space="preserve">, </w:t>
      </w:r>
      <w:r w:rsidRPr="00C51F09">
        <w:t xml:space="preserve">failures of computer-based systems (including software errors), common cause failures, or the failures of structures, then the methodologies used should be justified </w:t>
      </w:r>
      <w:r w:rsidR="007A50AA">
        <w:t>(refer to</w:t>
      </w:r>
      <w:r>
        <w:t xml:space="preserve"> AV SAPs) </w:t>
      </w:r>
      <w:r w:rsidRPr="00C51F09">
        <w:t>and should account for all key influencing factors.</w:t>
      </w:r>
    </w:p>
    <w:p w14:paraId="2E1D5E2A" w14:textId="77777777" w:rsidR="00F04511" w:rsidRPr="00C51F09" w:rsidRDefault="00F04511" w:rsidP="00F04511">
      <w:pPr>
        <w:pStyle w:val="Paragraph"/>
      </w:pPr>
      <w:r w:rsidRPr="00C51F09">
        <w:t xml:space="preserve">Where groups are used to represent several initiating faults or fault sequences, the group should be assigned a frequency equal to the summed frequency of the contributors to the group and </w:t>
      </w:r>
      <w:r>
        <w:t>the accident sequence modelling should bound all faults included in the group</w:t>
      </w:r>
      <w:r w:rsidRPr="00C51F09">
        <w:t>. A sufficient number of groups should be defined to ensure an adequate representation of the facility, while keeping the scope of the analysis manageable.</w:t>
      </w:r>
    </w:p>
    <w:p w14:paraId="27B40D0C" w14:textId="2AC57A6B" w:rsidR="00E243D0" w:rsidRPr="00CF791A" w:rsidRDefault="00F04511" w:rsidP="00E243D0">
      <w:pPr>
        <w:pStyle w:val="Paragraph"/>
      </w:pPr>
      <w:r>
        <w:t xml:space="preserve">Plant </w:t>
      </w:r>
      <w:r w:rsidRPr="00C51F09">
        <w:t xml:space="preserve">specific data should be used </w:t>
      </w:r>
      <w:r>
        <w:t>in the</w:t>
      </w:r>
      <w:r w:rsidRPr="00C51F09">
        <w:t xml:space="preserve"> PSA. </w:t>
      </w:r>
      <w:r>
        <w:t>If plant specific data is unavailable or is insufficient, relevant g</w:t>
      </w:r>
      <w:r w:rsidRPr="00F86173">
        <w:t xml:space="preserve">eneric data </w:t>
      </w:r>
      <w:r>
        <w:t xml:space="preserve">or expert judgement </w:t>
      </w:r>
      <w:r w:rsidRPr="00F86173">
        <w:t xml:space="preserve">may be used </w:t>
      </w:r>
      <w:r>
        <w:t>if</w:t>
      </w:r>
      <w:r w:rsidRPr="00F86173">
        <w:t xml:space="preserve"> justified</w:t>
      </w:r>
      <w:r>
        <w:t xml:space="preserve"> and</w:t>
      </w:r>
      <w:r w:rsidRPr="00F86173">
        <w:t xml:space="preserve"> </w:t>
      </w:r>
      <w:r>
        <w:t>the</w:t>
      </w:r>
      <w:r w:rsidRPr="00F86173">
        <w:t xml:space="preserve"> impact carefully considered.</w:t>
      </w:r>
    </w:p>
    <w:p w14:paraId="41655CCD" w14:textId="719B837E" w:rsidR="00E243D0" w:rsidRPr="00AA159A" w:rsidRDefault="00FE7D63" w:rsidP="009B7D05">
      <w:pPr>
        <w:pStyle w:val="SAPHeading"/>
      </w:pPr>
      <w:r w:rsidRPr="00AA159A">
        <w:t>PSA.5</w:t>
      </w:r>
      <w:r w:rsidR="00E243D0" w:rsidRPr="00AA159A">
        <w:t xml:space="preserve"> – Use of PSA</w:t>
      </w:r>
    </w:p>
    <w:p w14:paraId="68A5FD56" w14:textId="77777777" w:rsidR="00E243D0" w:rsidRPr="00AA159A" w:rsidRDefault="00E243D0" w:rsidP="006C4609">
      <w:pPr>
        <w:pStyle w:val="SAPBodyText"/>
      </w:pPr>
      <w:r w:rsidRPr="00AA159A">
        <w:t>PSA should be used to inform the design process and help ensure the safe operation of the site and its facilities.</w:t>
      </w:r>
    </w:p>
    <w:p w14:paraId="42F4B66A" w14:textId="77777777" w:rsidR="00E243D0" w:rsidRPr="00CF791A" w:rsidRDefault="00E243D0" w:rsidP="00E243D0">
      <w:pPr>
        <w:pStyle w:val="Paragraph"/>
      </w:pPr>
      <w:r w:rsidRPr="00CF791A">
        <w:t xml:space="preserve">Appropriate use of PSA should be made in activities such as: </w:t>
      </w:r>
    </w:p>
    <w:p w14:paraId="4106E91C" w14:textId="77777777" w:rsidR="00E243D0" w:rsidRPr="00AA159A" w:rsidRDefault="00E243D0" w:rsidP="00134698">
      <w:pPr>
        <w:pStyle w:val="NumList2"/>
        <w:numPr>
          <w:ilvl w:val="1"/>
          <w:numId w:val="31"/>
        </w:numPr>
      </w:pPr>
      <w:r w:rsidRPr="00AA159A">
        <w:t xml:space="preserve">designing the facility; </w:t>
      </w:r>
    </w:p>
    <w:p w14:paraId="4129A087" w14:textId="77777777" w:rsidR="00E243D0" w:rsidRPr="00AA159A" w:rsidRDefault="00E243D0" w:rsidP="00134698">
      <w:pPr>
        <w:pStyle w:val="NumList2"/>
        <w:numPr>
          <w:ilvl w:val="1"/>
          <w:numId w:val="31"/>
        </w:numPr>
      </w:pPr>
      <w:r w:rsidRPr="00AA159A">
        <w:t xml:space="preserve">supporting modifications to design or operation; </w:t>
      </w:r>
    </w:p>
    <w:p w14:paraId="75002E36" w14:textId="77777777" w:rsidR="00E243D0" w:rsidRPr="00AA159A" w:rsidRDefault="00E243D0" w:rsidP="00134698">
      <w:pPr>
        <w:pStyle w:val="NumList2"/>
        <w:numPr>
          <w:ilvl w:val="1"/>
          <w:numId w:val="31"/>
        </w:numPr>
      </w:pPr>
      <w:r w:rsidRPr="00AA159A">
        <w:t>supporting the demonstration that risks are tolerable and ALARP;</w:t>
      </w:r>
    </w:p>
    <w:p w14:paraId="22F9BF49" w14:textId="694BE2A0" w:rsidR="00E243D0" w:rsidRPr="00AA159A" w:rsidRDefault="00E243D0" w:rsidP="00134698">
      <w:pPr>
        <w:pStyle w:val="NumList2"/>
        <w:numPr>
          <w:ilvl w:val="1"/>
          <w:numId w:val="31"/>
        </w:numPr>
      </w:pPr>
      <w:r w:rsidRPr="00AA159A">
        <w:t xml:space="preserve">informing the selection of safety function categories or the safety class of </w:t>
      </w:r>
      <w:r w:rsidR="00230D0C">
        <w:t>SSCs</w:t>
      </w:r>
      <w:r w:rsidRPr="00AA159A">
        <w:t>;</w:t>
      </w:r>
    </w:p>
    <w:p w14:paraId="622C1C20" w14:textId="77777777" w:rsidR="00E243D0" w:rsidRPr="00AA159A" w:rsidRDefault="00E243D0" w:rsidP="00134698">
      <w:pPr>
        <w:pStyle w:val="NumList2"/>
        <w:numPr>
          <w:ilvl w:val="1"/>
          <w:numId w:val="31"/>
        </w:numPr>
      </w:pPr>
      <w:r w:rsidRPr="00AA159A">
        <w:t>setting operating rules;</w:t>
      </w:r>
    </w:p>
    <w:p w14:paraId="513FD1D7" w14:textId="1F42008C" w:rsidR="00E243D0" w:rsidRPr="00AA159A" w:rsidRDefault="00E243D0" w:rsidP="00134698">
      <w:pPr>
        <w:pStyle w:val="NumList2"/>
        <w:numPr>
          <w:ilvl w:val="1"/>
          <w:numId w:val="31"/>
        </w:numPr>
      </w:pPr>
      <w:r w:rsidRPr="00AA159A">
        <w:t xml:space="preserve">informing arrangements for </w:t>
      </w:r>
      <w:r w:rsidR="004A0014">
        <w:t>EMIT</w:t>
      </w:r>
      <w:r w:rsidRPr="00AA159A">
        <w:t xml:space="preserve"> (for example the frequencies of these activities);</w:t>
      </w:r>
    </w:p>
    <w:p w14:paraId="1861F342" w14:textId="77777777" w:rsidR="00E243D0" w:rsidRPr="00AA159A" w:rsidRDefault="00E243D0" w:rsidP="00134698">
      <w:pPr>
        <w:pStyle w:val="NumList2"/>
        <w:numPr>
          <w:ilvl w:val="1"/>
          <w:numId w:val="31"/>
        </w:numPr>
      </w:pPr>
      <w:r w:rsidRPr="00AA159A">
        <w:t>plant configuration control (including maintenance planning), which for power reactors is normally through the use of risk monitors;</w:t>
      </w:r>
    </w:p>
    <w:p w14:paraId="00BDEFC4" w14:textId="77777777" w:rsidR="00E243D0" w:rsidRPr="00AA159A" w:rsidRDefault="00E243D0" w:rsidP="00134698">
      <w:pPr>
        <w:pStyle w:val="NumList2"/>
        <w:numPr>
          <w:ilvl w:val="1"/>
          <w:numId w:val="31"/>
        </w:numPr>
      </w:pPr>
      <w:r w:rsidRPr="00AA159A">
        <w:t xml:space="preserve">event analysis and investigating significant incidents and events; </w:t>
      </w:r>
    </w:p>
    <w:p w14:paraId="11A3DBF1" w14:textId="77777777" w:rsidR="00E243D0" w:rsidRPr="00AA159A" w:rsidRDefault="00E243D0" w:rsidP="00134698">
      <w:pPr>
        <w:pStyle w:val="NumList2"/>
        <w:numPr>
          <w:ilvl w:val="1"/>
          <w:numId w:val="31"/>
        </w:numPr>
      </w:pPr>
      <w:r w:rsidRPr="00AA159A">
        <w:t xml:space="preserve">developing and changing operating procedures and associated training programmes for managing faults and accidents </w:t>
      </w:r>
      <w:r w:rsidRPr="00AA159A">
        <w:br/>
        <w:t>(including severe accidents);</w:t>
      </w:r>
    </w:p>
    <w:p w14:paraId="563966B2" w14:textId="77777777" w:rsidR="00E243D0" w:rsidRPr="00AA159A" w:rsidRDefault="00E243D0" w:rsidP="00134698">
      <w:pPr>
        <w:pStyle w:val="NumList2"/>
        <w:numPr>
          <w:ilvl w:val="1"/>
          <w:numId w:val="31"/>
        </w:numPr>
      </w:pPr>
      <w:r w:rsidRPr="00AA159A">
        <w:lastRenderedPageBreak/>
        <w:t>helping to determine initiating event frequencies for DBA; and</w:t>
      </w:r>
    </w:p>
    <w:p w14:paraId="73259E34" w14:textId="6E999C30" w:rsidR="00E243D0" w:rsidRPr="00AA159A" w:rsidRDefault="00E243D0" w:rsidP="00134698">
      <w:pPr>
        <w:pStyle w:val="NumList2"/>
        <w:numPr>
          <w:ilvl w:val="1"/>
          <w:numId w:val="31"/>
        </w:numPr>
      </w:pPr>
      <w:r w:rsidRPr="00AA159A">
        <w:t>providing an input to SAA and to analys</w:t>
      </w:r>
      <w:r w:rsidR="000E09B2" w:rsidRPr="00AA159A">
        <w:t>i</w:t>
      </w:r>
      <w:r w:rsidRPr="00AA159A">
        <w:t xml:space="preserve">s </w:t>
      </w:r>
      <w:r w:rsidR="00B1042B" w:rsidRPr="00AA159A">
        <w:t>supporting emergency arrangements</w:t>
      </w:r>
      <w:r w:rsidRPr="00AA159A">
        <w:t>.</w:t>
      </w:r>
    </w:p>
    <w:p w14:paraId="053329D4" w14:textId="77777777" w:rsidR="00E243D0" w:rsidRPr="00CF791A" w:rsidRDefault="00E243D0" w:rsidP="00E243D0">
      <w:pPr>
        <w:pStyle w:val="Paragraph"/>
      </w:pPr>
      <w:r w:rsidRPr="00CF791A">
        <w:t>In cases where the PSA is not full scope, due account should be taken of the potential impact of aspects not covered.</w:t>
      </w:r>
    </w:p>
    <w:p w14:paraId="16D86417" w14:textId="77777777" w:rsidR="00E243D0" w:rsidRPr="00AA159A" w:rsidRDefault="00E243D0" w:rsidP="009B7D05">
      <w:pPr>
        <w:pStyle w:val="Heading2"/>
      </w:pPr>
      <w:r w:rsidRPr="00AA159A">
        <w:t>Severe accident analysis</w:t>
      </w:r>
    </w:p>
    <w:p w14:paraId="06847112" w14:textId="77777777" w:rsidR="00E243D0" w:rsidRPr="00CF791A" w:rsidRDefault="00E243D0" w:rsidP="00E243D0">
      <w:pPr>
        <w:pStyle w:val="Paragraph"/>
      </w:pPr>
      <w:r w:rsidRPr="00CF791A">
        <w:t>Rigorous application of DBA and PSA should ensure that the predicted risks from fault sequences leading to significant radiological consequences are very low. Nevertheless, it is important that operators of facilities with large radiological</w:t>
      </w:r>
      <w:r w:rsidRPr="00CF791A" w:rsidDel="00E07055">
        <w:t xml:space="preserve"> </w:t>
      </w:r>
      <w:r w:rsidRPr="00CF791A">
        <w:t>release potential consider possibilities such as:</w:t>
      </w:r>
    </w:p>
    <w:p w14:paraId="21F2612F" w14:textId="77777777" w:rsidR="00E243D0" w:rsidRPr="00CF791A" w:rsidRDefault="00E243D0" w:rsidP="00A31B0A">
      <w:pPr>
        <w:pStyle w:val="Bulletlist1"/>
      </w:pPr>
      <w:r w:rsidRPr="00CF791A">
        <w:t>the DBA or PSA may be incorrect or incomplete;</w:t>
      </w:r>
    </w:p>
    <w:p w14:paraId="6A8710E7" w14:textId="77777777" w:rsidR="00E243D0" w:rsidRPr="00CF791A" w:rsidRDefault="00E243D0" w:rsidP="00A31B0A">
      <w:pPr>
        <w:pStyle w:val="Bulletlist1"/>
      </w:pPr>
      <w:r w:rsidRPr="00CF791A">
        <w:t>the true severity of an initiating event may exceed that considered in the analysis; or</w:t>
      </w:r>
    </w:p>
    <w:p w14:paraId="5AA05D09" w14:textId="3FC753B1" w:rsidR="00E243D0" w:rsidRPr="00CF791A" w:rsidRDefault="00E243D0" w:rsidP="00A31B0A">
      <w:pPr>
        <w:pStyle w:val="Bulletlist1"/>
      </w:pPr>
      <w:r w:rsidRPr="00CF791A">
        <w:t xml:space="preserve">a safety measure could be circumvented or fail in </w:t>
      </w:r>
      <w:r w:rsidR="005178FC">
        <w:t>an</w:t>
      </w:r>
      <w:r w:rsidR="005178FC" w:rsidRPr="00CF791A">
        <w:t xml:space="preserve"> </w:t>
      </w:r>
      <w:r w:rsidRPr="00CF791A">
        <w:t>unpredicted way.</w:t>
      </w:r>
    </w:p>
    <w:p w14:paraId="551E0A6B" w14:textId="77777777" w:rsidR="00E243D0" w:rsidRPr="00CF791A" w:rsidRDefault="00E243D0" w:rsidP="00E243D0">
      <w:pPr>
        <w:pStyle w:val="Paragraph"/>
      </w:pPr>
      <w:r w:rsidRPr="00CF791A">
        <w:t xml:space="preserve">In considering these matters further improvements may then be identified for either preventing severe accidents, or mitigating their consequences, for example, by preventing further escalation. The insights gained from SAA are also important for planning for the possibility of severe accidents and are used to inform the response activities that would be needed were such an accident to occur. </w:t>
      </w:r>
    </w:p>
    <w:p w14:paraId="7C829724" w14:textId="5CE28BB6" w:rsidR="00E243D0" w:rsidRPr="00CF791A" w:rsidRDefault="00E243D0" w:rsidP="00E243D0">
      <w:pPr>
        <w:pStyle w:val="Paragraph"/>
      </w:pPr>
      <w:r w:rsidRPr="00CF791A">
        <w:t xml:space="preserve">Undertaking SAA is not proportionate for all types of facilities, as not all present hazards of sufficient magnitude. However, SAA is beneficial for facilities presenting the highest hazards, such as operating reactors, spent fuel storage facilities and facilities storing significant quantities of nuclear matter. In these principles, severe accidents are defined as those fault sequences that could lead either to consequences exceeding the highest off-site radiological dose given in the BSLs of </w:t>
      </w:r>
      <w:r w:rsidR="00A133FA" w:rsidRPr="00CF791A">
        <w:t xml:space="preserve">Risk Indicator 4 </w:t>
      </w:r>
      <w:r w:rsidRPr="00CF791A">
        <w:t xml:space="preserve">or to an unintended relocation of a substantial quantity of radioactive material within the facility which places a demand on the integrity of the remaining physical barriers. A substantial quantity of radioactive material is one which if released has the potential to lead to consequences </w:t>
      </w:r>
      <w:r w:rsidR="00293E78" w:rsidRPr="00CF791A">
        <w:t>that could result in s</w:t>
      </w:r>
      <w:r w:rsidR="00267065" w:rsidRPr="00CF791A">
        <w:t>ocietal risk (</w:t>
      </w:r>
      <w:r w:rsidR="00F05587" w:rsidRPr="00CF791A">
        <w:t>Risk Indicator 9</w:t>
      </w:r>
      <w:r w:rsidR="00267065" w:rsidRPr="00CF791A">
        <w:t>)</w:t>
      </w:r>
      <w:r w:rsidRPr="00CF791A">
        <w:t>.</w:t>
      </w:r>
    </w:p>
    <w:p w14:paraId="38ED2BFA" w14:textId="77777777" w:rsidR="00E243D0" w:rsidRPr="00CF791A" w:rsidRDefault="00E243D0" w:rsidP="00E243D0">
      <w:pPr>
        <w:pStyle w:val="Paragraph"/>
      </w:pPr>
      <w:r w:rsidRPr="00CF791A">
        <w:t>Typically, a wide range of initiating events and accident sequences in a nuclear facility tend to converge into a limited set of severe accident states. Severe accident safety measures and mitigation strategies are designed to address the key phenomena and symptoms associated with these states, rather than the specific initiating events or sequences.</w:t>
      </w:r>
    </w:p>
    <w:p w14:paraId="7DBCDEDF" w14:textId="4FF1DC4F" w:rsidR="00E243D0" w:rsidRPr="00CF791A" w:rsidRDefault="004060CD" w:rsidP="004060CD">
      <w:pPr>
        <w:pStyle w:val="Paragraph"/>
      </w:pPr>
      <w:r w:rsidRPr="00CF791A">
        <w:t xml:space="preserve">Aligned with the need to demonstrate practical elimination </w:t>
      </w:r>
      <w:r w:rsidR="007A50AA">
        <w:t>(refer to</w:t>
      </w:r>
      <w:r w:rsidR="00F43FF6" w:rsidRPr="00CF791A">
        <w:t xml:space="preserve"> </w:t>
      </w:r>
      <w:r w:rsidRPr="00CF791A">
        <w:t>KP.</w:t>
      </w:r>
      <w:r w:rsidR="00EC0704">
        <w:t>3</w:t>
      </w:r>
      <w:r w:rsidRPr="00CF791A">
        <w:t xml:space="preserve">), severe accident safety measures are typically designed to prevent or mitigate key phenomena that have the potential to lead to large or early radioactive releases </w:t>
      </w:r>
      <w:r w:rsidRPr="00CF791A">
        <w:lastRenderedPageBreak/>
        <w:t>(such as hydrogen detonation</w:t>
      </w:r>
      <w:r w:rsidR="000D2263" w:rsidRPr="00CF791A">
        <w:t xml:space="preserve"> within containment</w:t>
      </w:r>
      <w:r w:rsidRPr="00CF791A">
        <w:t>). The objective of practical elimination tends to result in permanent equipment that can be implemented on short timescales. Sequences and states which form the basis of the design of severe accident measures with an objective of 'practical elimination' are often referred to internationally as design extension conditions.</w:t>
      </w:r>
      <w:r w:rsidR="00A434D0">
        <w:t xml:space="preserve"> </w:t>
      </w:r>
    </w:p>
    <w:p w14:paraId="51BF1509" w14:textId="5A11C525" w:rsidR="00E243D0" w:rsidRPr="00AA159A" w:rsidRDefault="00FE7D63" w:rsidP="009B7D05">
      <w:pPr>
        <w:pStyle w:val="SAPHeading"/>
      </w:pPr>
      <w:r w:rsidRPr="00AA159A">
        <w:t>SAA.1</w:t>
      </w:r>
      <w:r w:rsidR="00E243D0" w:rsidRPr="00AA159A">
        <w:t xml:space="preserve"> – Scope of severe accident analysis</w:t>
      </w:r>
    </w:p>
    <w:p w14:paraId="2A96D635" w14:textId="1FEC6569" w:rsidR="00E243D0" w:rsidRPr="00AA159A" w:rsidRDefault="00E243D0" w:rsidP="006C4609">
      <w:pPr>
        <w:pStyle w:val="SAPBodyText"/>
      </w:pPr>
      <w:r w:rsidRPr="00AA159A">
        <w:t>Sequences that have the potential to lead to severe accident states should be identified and their progression analysed.</w:t>
      </w:r>
    </w:p>
    <w:p w14:paraId="77A48438" w14:textId="77777777" w:rsidR="00E243D0" w:rsidRPr="00CF791A" w:rsidRDefault="00E243D0" w:rsidP="00E243D0">
      <w:pPr>
        <w:pStyle w:val="Paragraph"/>
      </w:pPr>
      <w:r w:rsidRPr="00CF791A">
        <w:t>Deterministic and probabilistic methodologies and engineering judgement should be employed in a systematic manner to determine severe accident sequences and states. Sequences and states should not be dismissed from the analysis on frequency grounds alone.</w:t>
      </w:r>
    </w:p>
    <w:p w14:paraId="7D7157CB" w14:textId="77777777" w:rsidR="00E243D0" w:rsidRPr="00CF791A" w:rsidRDefault="00E243D0" w:rsidP="00E243D0">
      <w:pPr>
        <w:pStyle w:val="Paragraph"/>
      </w:pPr>
      <w:r w:rsidRPr="00CF791A">
        <w:t>The SAA should be based on an adequate understanding of the severe accident phenomena and accident progression. Where severe accident uncertainties are judged to have a significant effect on the assessed risk, research aimed at reducing these uncertainties should be performed.</w:t>
      </w:r>
    </w:p>
    <w:p w14:paraId="004205E7" w14:textId="76C4F9E0" w:rsidR="00E243D0" w:rsidRPr="00AA159A" w:rsidRDefault="00FE7D63" w:rsidP="009B7D05">
      <w:pPr>
        <w:pStyle w:val="SAPHeading"/>
      </w:pPr>
      <w:r w:rsidRPr="00AA159A">
        <w:t>SAA.2</w:t>
      </w:r>
      <w:r w:rsidR="00E243D0" w:rsidRPr="00AA159A">
        <w:t xml:space="preserve"> – </w:t>
      </w:r>
      <w:r w:rsidR="00453F16" w:rsidRPr="00AA159A">
        <w:t>Identification of severe accident safety measures</w:t>
      </w:r>
    </w:p>
    <w:p w14:paraId="7FE92BD5" w14:textId="77777777" w:rsidR="00E243D0" w:rsidRPr="00AA159A" w:rsidRDefault="00E243D0" w:rsidP="006C4609">
      <w:pPr>
        <w:pStyle w:val="SAPBodyText"/>
      </w:pPr>
      <w:r w:rsidRPr="00AA159A">
        <w:t>Safety measures to prevent and/or mitigate severe accident sequences and states should be identified.</w:t>
      </w:r>
    </w:p>
    <w:p w14:paraId="25D4F382" w14:textId="71D20E05" w:rsidR="00C33E04" w:rsidRPr="00CF791A" w:rsidRDefault="00C33E04" w:rsidP="00C33E04">
      <w:pPr>
        <w:pStyle w:val="Paragraph"/>
      </w:pPr>
      <w:r w:rsidRPr="00CF791A">
        <w:t xml:space="preserve">A sub-set of accident sequences should be determined to form the basis for the design and implementation of any reasonably practicable safety measures. </w:t>
      </w:r>
      <w:r w:rsidR="00E011F6">
        <w:br/>
      </w:r>
      <w:r w:rsidRPr="00CF791A">
        <w:t>The performance of such safety measures should be underpinned by appropriate analysis.</w:t>
      </w:r>
    </w:p>
    <w:p w14:paraId="2F437E12" w14:textId="51B4468E" w:rsidR="00E243D0" w:rsidRPr="00CF791A" w:rsidRDefault="00E243D0" w:rsidP="00E243D0">
      <w:pPr>
        <w:pStyle w:val="Paragraph"/>
      </w:pPr>
      <w:r w:rsidRPr="00CF791A">
        <w:t>Where appropriate, deterministic analyses should be performed to demonstrate, through the use of appropriate methodologies and criteria, that sequences involving severe accident phenomena that could lead to a large or early radioactive release are prevented.</w:t>
      </w:r>
    </w:p>
    <w:p w14:paraId="4B484BC9" w14:textId="77777777" w:rsidR="00E243D0" w:rsidRPr="00CF791A" w:rsidRDefault="00E243D0" w:rsidP="00E243D0">
      <w:pPr>
        <w:pStyle w:val="Paragraph"/>
      </w:pPr>
      <w:r w:rsidRPr="00CF791A">
        <w:t>Measures identified should be based upon realistic or best estimate assumptions, methods and analytical criteria. However, where large uncertainties exist, it may be necessary to account for those uncertainties through conservative design.</w:t>
      </w:r>
    </w:p>
    <w:p w14:paraId="2F90304B" w14:textId="7D83F31F" w:rsidR="00E243D0" w:rsidRPr="00CF791A" w:rsidRDefault="00E243D0" w:rsidP="00E243D0">
      <w:pPr>
        <w:pStyle w:val="Paragraph"/>
      </w:pPr>
      <w:r w:rsidRPr="00CF791A">
        <w:t xml:space="preserve">The employment of permanent and/or non-permanent equipment should be considered on a </w:t>
      </w:r>
      <w:r w:rsidR="00D236F0" w:rsidRPr="00CF791A">
        <w:t>case-by-case</w:t>
      </w:r>
      <w:r w:rsidRPr="00CF791A">
        <w:t xml:space="preserve"> basis. Where permanent equipment is included in the design, the provision of additional non-permanent equipment and other means of severe accident management should also be considered.</w:t>
      </w:r>
      <w:r w:rsidR="00F86D7D" w:rsidRPr="00CF791A">
        <w:t xml:space="preserve"> </w:t>
      </w:r>
    </w:p>
    <w:p w14:paraId="15E39B90" w14:textId="77777777" w:rsidR="00252E1F" w:rsidRDefault="00252E1F" w:rsidP="009B7D05">
      <w:pPr>
        <w:pStyle w:val="SAPHeading"/>
        <w:sectPr w:rsidR="00252E1F" w:rsidSect="00E243D0">
          <w:pgSz w:w="11906" w:h="16838" w:code="9"/>
          <w:pgMar w:top="1440" w:right="1440" w:bottom="1440" w:left="1440" w:header="397" w:footer="397" w:gutter="0"/>
          <w:cols w:space="312"/>
          <w:docGrid w:linePitch="360"/>
        </w:sectPr>
      </w:pPr>
    </w:p>
    <w:p w14:paraId="499971A8" w14:textId="7DB2F39E" w:rsidR="00E243D0" w:rsidRPr="00AA159A" w:rsidRDefault="00FE7D63" w:rsidP="009B7D05">
      <w:pPr>
        <w:pStyle w:val="SAPHeading"/>
      </w:pPr>
      <w:r w:rsidRPr="00AA159A">
        <w:lastRenderedPageBreak/>
        <w:t>SAA.3</w:t>
      </w:r>
      <w:r w:rsidR="00E243D0" w:rsidRPr="00AA159A">
        <w:t xml:space="preserve"> – Further use of SAA</w:t>
      </w:r>
    </w:p>
    <w:p w14:paraId="1EAA0DA7" w14:textId="77777777" w:rsidR="00E243D0" w:rsidRPr="00AA159A" w:rsidRDefault="00E243D0" w:rsidP="006C4609">
      <w:pPr>
        <w:pStyle w:val="SAPBodyText"/>
      </w:pPr>
      <w:r w:rsidRPr="00AA159A">
        <w:t>The severe accident analysis should form the basis of accident management and inform the PSA.</w:t>
      </w:r>
    </w:p>
    <w:p w14:paraId="7CDA8E6A" w14:textId="77777777" w:rsidR="00E243D0" w:rsidRPr="00CF791A" w:rsidRDefault="00E243D0" w:rsidP="00AA159A">
      <w:pPr>
        <w:pStyle w:val="Paragraph"/>
      </w:pPr>
      <w:r w:rsidRPr="00CF791A">
        <w:t xml:space="preserve">The SAA should: </w:t>
      </w:r>
    </w:p>
    <w:p w14:paraId="67967509" w14:textId="0C9DAD07" w:rsidR="00E243D0" w:rsidRPr="00AA159A" w:rsidRDefault="00E243D0" w:rsidP="00134698">
      <w:pPr>
        <w:pStyle w:val="NumList2"/>
        <w:numPr>
          <w:ilvl w:val="1"/>
          <w:numId w:val="32"/>
        </w:numPr>
      </w:pPr>
      <w:r w:rsidRPr="00AA159A">
        <w:t xml:space="preserve">form a suitable basis for accident management strategies and procedures </w:t>
      </w:r>
      <w:r w:rsidR="007A50AA">
        <w:t>(refer to</w:t>
      </w:r>
      <w:r w:rsidRPr="00AA159A">
        <w:t xml:space="preserve"> AM.1); </w:t>
      </w:r>
    </w:p>
    <w:p w14:paraId="1214D647" w14:textId="18038F5B" w:rsidR="00E243D0" w:rsidRPr="00AA159A" w:rsidRDefault="00E243D0" w:rsidP="00134698">
      <w:pPr>
        <w:pStyle w:val="NumList2"/>
        <w:numPr>
          <w:ilvl w:val="1"/>
          <w:numId w:val="32"/>
        </w:numPr>
      </w:pPr>
      <w:r w:rsidRPr="00AA159A">
        <w:t xml:space="preserve">support the plans for emergency preparedness </w:t>
      </w:r>
      <w:r w:rsidR="007A50AA">
        <w:t>(refer to</w:t>
      </w:r>
      <w:r w:rsidRPr="00AA159A">
        <w:t xml:space="preserve"> AM.1);</w:t>
      </w:r>
    </w:p>
    <w:p w14:paraId="446D2CDF" w14:textId="77777777" w:rsidR="00E243D0" w:rsidRPr="00AA159A" w:rsidRDefault="00E243D0" w:rsidP="00134698">
      <w:pPr>
        <w:pStyle w:val="NumList2"/>
        <w:numPr>
          <w:ilvl w:val="1"/>
          <w:numId w:val="32"/>
        </w:numPr>
      </w:pPr>
      <w:r w:rsidRPr="00AA159A">
        <w:t xml:space="preserve">support the development of Level 2 PSA and radiological consequence analysis; and </w:t>
      </w:r>
    </w:p>
    <w:p w14:paraId="2B5F4101" w14:textId="5B9F572C" w:rsidR="00E243D0" w:rsidRPr="00AA159A" w:rsidRDefault="00E243D0" w:rsidP="00134698">
      <w:pPr>
        <w:pStyle w:val="NumList2"/>
        <w:numPr>
          <w:ilvl w:val="1"/>
          <w:numId w:val="32"/>
        </w:numPr>
      </w:pPr>
      <w:r w:rsidRPr="00AA159A">
        <w:t xml:space="preserve">support the development of environmental conditions in which the equipment is claimed to operate </w:t>
      </w:r>
      <w:r w:rsidR="007A50AA">
        <w:t>(refer to</w:t>
      </w:r>
      <w:r w:rsidRPr="00AA159A">
        <w:t xml:space="preserve"> EQU.1)</w:t>
      </w:r>
      <w:r w:rsidR="005241BC" w:rsidRPr="00AA159A">
        <w:t>.</w:t>
      </w:r>
    </w:p>
    <w:p w14:paraId="004D7C9D" w14:textId="77777777" w:rsidR="00E243D0" w:rsidRPr="00CF791A" w:rsidRDefault="00E243D0" w:rsidP="00E243D0">
      <w:pPr>
        <w:spacing w:after="0" w:line="240" w:lineRule="auto"/>
        <w:rPr>
          <w:rFonts w:asciiTheme="minorHAnsi" w:eastAsiaTheme="minorHAnsi" w:hAnsiTheme="minorHAnsi" w:cstheme="minorBidi"/>
          <w:bCs/>
          <w:lang w:bidi="ar-SA"/>
        </w:rPr>
      </w:pPr>
      <w:r w:rsidRPr="00CF791A">
        <w:br w:type="page"/>
      </w:r>
    </w:p>
    <w:p w14:paraId="36C43F1A" w14:textId="77777777" w:rsidR="0074120C" w:rsidRPr="00AA159A" w:rsidRDefault="0074120C" w:rsidP="005364DE">
      <w:pPr>
        <w:pStyle w:val="Heading1"/>
      </w:pPr>
      <w:bookmarkStart w:id="137" w:name="_Toc235711324"/>
      <w:bookmarkStart w:id="138" w:name="_Toc219818755"/>
      <w:bookmarkStart w:id="139" w:name="_Toc219206149"/>
      <w:bookmarkStart w:id="140" w:name="_Toc219748174"/>
      <w:r w:rsidRPr="00AA159A">
        <w:lastRenderedPageBreak/>
        <w:t>Calculation methods and models</w:t>
      </w:r>
      <w:bookmarkEnd w:id="137"/>
    </w:p>
    <w:bookmarkEnd w:id="138"/>
    <w:p w14:paraId="21B5952D" w14:textId="77777777" w:rsidR="0074120C" w:rsidRPr="00CF791A" w:rsidRDefault="0074120C" w:rsidP="0074120C">
      <w:pPr>
        <w:pStyle w:val="Paragraph"/>
      </w:pPr>
      <w:r w:rsidRPr="00CF791A">
        <w:t xml:space="preserve">This section contains principles that should be applied in the assessment of calculation methods and data used to underpin safety case claims. </w:t>
      </w:r>
    </w:p>
    <w:p w14:paraId="4E289E49" w14:textId="066161D5" w:rsidR="0074120C" w:rsidRPr="00AA159A" w:rsidRDefault="0074120C" w:rsidP="009B7D05">
      <w:pPr>
        <w:pStyle w:val="SAPHeading"/>
      </w:pPr>
      <w:r w:rsidRPr="00AA159A">
        <w:t>AV.</w:t>
      </w:r>
      <w:r w:rsidR="00CE1C36" w:rsidRPr="00AA159A">
        <w:t>1</w:t>
      </w:r>
      <w:r w:rsidRPr="00AA159A">
        <w:t xml:space="preserve"> – Validation of calculation methods and models</w:t>
      </w:r>
    </w:p>
    <w:p w14:paraId="074D468B" w14:textId="77777777" w:rsidR="0074120C" w:rsidRPr="00AA159A" w:rsidRDefault="0074120C" w:rsidP="006C4609">
      <w:pPr>
        <w:pStyle w:val="SAPBodyText"/>
      </w:pPr>
      <w:r w:rsidRPr="00AA159A">
        <w:t>Calculation methods and models used for the analyses should adequately represent the aspects of the plant under consideration and the physical and chemical processes taking place.</w:t>
      </w:r>
    </w:p>
    <w:p w14:paraId="3A97E4D0" w14:textId="77777777" w:rsidR="0074120C" w:rsidRPr="00CF791A" w:rsidRDefault="0074120C" w:rsidP="0074120C">
      <w:pPr>
        <w:pStyle w:val="Paragraph"/>
      </w:pPr>
      <w:r w:rsidRPr="00CF791A">
        <w:t xml:space="preserve">Calculation methods and models should be adequately validated for each application made in the safety analysis. Where possible, the calculation methods and models should be validated by comparison with actual experience, appropriate experiments or tests. Where this is not possible other methods, such as comparison with other models should be considered. </w:t>
      </w:r>
    </w:p>
    <w:p w14:paraId="7031E0BE" w14:textId="77777777" w:rsidR="0074120C" w:rsidRPr="00CF791A" w:rsidRDefault="0074120C" w:rsidP="0074120C">
      <w:pPr>
        <w:pStyle w:val="Paragraph"/>
        <w:rPr>
          <w:lang w:eastAsia="en-GB"/>
        </w:rPr>
      </w:pPr>
      <w:r w:rsidRPr="00CF791A">
        <w:rPr>
          <w:lang w:eastAsia="en-GB"/>
        </w:rPr>
        <w:t>In cases where complex problems are decomposed and addressed using multiple calculation methods and/or models, each component method should be validated for its specific role and use within the overall analysis.</w:t>
      </w:r>
    </w:p>
    <w:p w14:paraId="4487C96A" w14:textId="77777777" w:rsidR="0074120C" w:rsidRPr="00CF791A" w:rsidRDefault="0074120C" w:rsidP="0074120C">
      <w:pPr>
        <w:pStyle w:val="Paragraph"/>
      </w:pPr>
      <w:r w:rsidRPr="00CF791A">
        <w:t>The limits of applicability of calculation methods should be identified and accounted for in their application.</w:t>
      </w:r>
    </w:p>
    <w:p w14:paraId="2846D308" w14:textId="0AE006E8" w:rsidR="0074120C" w:rsidRPr="00CF791A" w:rsidRDefault="0074120C" w:rsidP="0074120C">
      <w:pPr>
        <w:pStyle w:val="Paragraph"/>
      </w:pPr>
      <w:r w:rsidRPr="00CF791A">
        <w:t xml:space="preserve">Documentation should be provided to facilitate review of the adequacy of the calculation methods, models and data used within </w:t>
      </w:r>
      <w:r w:rsidR="007A50AA">
        <w:t>(refer to</w:t>
      </w:r>
      <w:r w:rsidRPr="00CF791A">
        <w:t xml:space="preserve"> MS.3).</w:t>
      </w:r>
    </w:p>
    <w:p w14:paraId="401AA67C" w14:textId="61A6C9AE" w:rsidR="0074120C" w:rsidRPr="00AA159A" w:rsidRDefault="0074120C" w:rsidP="009B7D05">
      <w:pPr>
        <w:pStyle w:val="SAPHeading"/>
      </w:pPr>
      <w:r w:rsidRPr="00AA159A">
        <w:t>AV.</w:t>
      </w:r>
      <w:r w:rsidR="00CE1C36" w:rsidRPr="00AA159A">
        <w:t>2</w:t>
      </w:r>
      <w:r w:rsidRPr="00AA159A">
        <w:t xml:space="preserve"> – </w:t>
      </w:r>
      <w:r w:rsidR="00637EA2" w:rsidRPr="00AA159A">
        <w:t>Data supporting analysis</w:t>
      </w:r>
    </w:p>
    <w:p w14:paraId="5971AEF3" w14:textId="77777777" w:rsidR="0074120C" w:rsidRPr="00AA159A" w:rsidRDefault="0074120C" w:rsidP="006C4609">
      <w:pPr>
        <w:pStyle w:val="SAPBodyText"/>
      </w:pPr>
      <w:r w:rsidRPr="00AA159A">
        <w:t>The data used in the analysis</w:t>
      </w:r>
      <w:r w:rsidRPr="00AA159A" w:rsidDel="00495423">
        <w:t xml:space="preserve"> </w:t>
      </w:r>
      <w:r w:rsidRPr="00AA159A">
        <w:t>should be shown to be valid for the circumstances by reference to established physical data, experiment or other appropriate means.</w:t>
      </w:r>
    </w:p>
    <w:p w14:paraId="79517A30" w14:textId="77777777" w:rsidR="0074120C" w:rsidRPr="00CF791A" w:rsidRDefault="0074120C" w:rsidP="0074120C">
      <w:pPr>
        <w:pStyle w:val="Paragraph"/>
      </w:pPr>
      <w:r w:rsidRPr="00CF791A">
        <w:t>The limits of applicability of the available data should be identified and extrapolation beyond these limits should not be used unless justified.</w:t>
      </w:r>
    </w:p>
    <w:p w14:paraId="45C98271" w14:textId="07B92BDE" w:rsidR="0074120C" w:rsidRPr="00AA159A" w:rsidRDefault="0074120C" w:rsidP="009B7D05">
      <w:pPr>
        <w:pStyle w:val="SAPHeading"/>
      </w:pPr>
      <w:r w:rsidRPr="00AA159A">
        <w:t>AV.</w:t>
      </w:r>
      <w:r w:rsidR="00CE1C36" w:rsidRPr="00AA159A">
        <w:t>3</w:t>
      </w:r>
      <w:r w:rsidRPr="00AA159A">
        <w:t xml:space="preserve"> – Quality assurance of calculation methods and models</w:t>
      </w:r>
    </w:p>
    <w:p w14:paraId="5E9DFE64" w14:textId="517D801F" w:rsidR="0074120C" w:rsidRPr="00AA159A" w:rsidRDefault="0074120C" w:rsidP="006C4609">
      <w:pPr>
        <w:pStyle w:val="SAPBodyText"/>
      </w:pPr>
      <w:r w:rsidRPr="00AA159A">
        <w:t xml:space="preserve">Calculation methods, models and datasets used in support of the safety analysis should be developed, maintained and applied in accordance with quality management </w:t>
      </w:r>
      <w:r w:rsidR="00E7123C" w:rsidRPr="00AA159A">
        <w:t>systems</w:t>
      </w:r>
      <w:r w:rsidRPr="00AA159A">
        <w:t>.</w:t>
      </w:r>
    </w:p>
    <w:p w14:paraId="6E353E42" w14:textId="4F75B68A" w:rsidR="0074120C" w:rsidRPr="00CF791A" w:rsidRDefault="0074120C" w:rsidP="0074120C">
      <w:pPr>
        <w:pStyle w:val="Paragraph"/>
      </w:pPr>
      <w:r w:rsidRPr="00CF791A">
        <w:t xml:space="preserve">The dutyholder’s quality management </w:t>
      </w:r>
      <w:r w:rsidR="00E7123C" w:rsidRPr="00CF791A">
        <w:t>systems</w:t>
      </w:r>
      <w:r w:rsidRPr="00CF791A">
        <w:t xml:space="preserve"> </w:t>
      </w:r>
      <w:r w:rsidR="007A50AA">
        <w:t>(refer to</w:t>
      </w:r>
      <w:r w:rsidRPr="00CF791A">
        <w:t xml:space="preserve"> MS.2) should identify measures and controls to provide confidence that calculations are undertaken without error, to a level commensurate with the importance to safety of the analysis being performed.</w:t>
      </w:r>
    </w:p>
    <w:p w14:paraId="0BA25474" w14:textId="02C41631" w:rsidR="0074120C" w:rsidRPr="00CF791A" w:rsidRDefault="0074120C" w:rsidP="0074120C">
      <w:pPr>
        <w:pStyle w:val="Paragraph"/>
      </w:pPr>
      <w:r w:rsidRPr="00CF791A">
        <w:t>The arrangements should ensure adequate verification and validation of the calculation methods.</w:t>
      </w:r>
    </w:p>
    <w:p w14:paraId="6D8E9DF6" w14:textId="2979C3FF" w:rsidR="0074120C" w:rsidRPr="00AA159A" w:rsidRDefault="0074120C" w:rsidP="009B7D05">
      <w:pPr>
        <w:pStyle w:val="SAPHeading"/>
      </w:pPr>
      <w:r w:rsidRPr="00AA159A">
        <w:lastRenderedPageBreak/>
        <w:t>AV.</w:t>
      </w:r>
      <w:r w:rsidR="00CE1C36" w:rsidRPr="00AA159A">
        <w:t>4</w:t>
      </w:r>
      <w:r w:rsidRPr="00AA159A">
        <w:t xml:space="preserve"> – Sensitivity studies</w:t>
      </w:r>
    </w:p>
    <w:p w14:paraId="134ECC93" w14:textId="77777777" w:rsidR="0074120C" w:rsidRPr="00AA159A" w:rsidRDefault="0074120C" w:rsidP="006C4609">
      <w:pPr>
        <w:pStyle w:val="SAPBodyText"/>
      </w:pPr>
      <w:r w:rsidRPr="00AA159A">
        <w:t>Studies should be carried out to determine the sensitivity of the analysis (and the conclusions drawn from it) to the assumptions made, the data used and the methods of calculation.</w:t>
      </w:r>
    </w:p>
    <w:p w14:paraId="510ACD96" w14:textId="426E894C" w:rsidR="0074120C" w:rsidRPr="00CF791A" w:rsidRDefault="0074120C" w:rsidP="0074120C">
      <w:pPr>
        <w:pStyle w:val="Paragraph"/>
      </w:pPr>
      <w:r w:rsidRPr="00CF791A">
        <w:t xml:space="preserve">Sensitivity analysis should be </w:t>
      </w:r>
      <w:r w:rsidR="007A603D" w:rsidRPr="00CF791A">
        <w:t xml:space="preserve">used to manage </w:t>
      </w:r>
      <w:r w:rsidRPr="00CF791A">
        <w:t>uncertainties</w:t>
      </w:r>
      <w:r w:rsidR="007A603D" w:rsidRPr="00CF791A">
        <w:t xml:space="preserve"> that</w:t>
      </w:r>
      <w:r w:rsidRPr="00CF791A">
        <w:t xml:space="preserve"> exist in the data, calculation methods and models, or analysis. </w:t>
      </w:r>
    </w:p>
    <w:p w14:paraId="267DD773" w14:textId="7E925F0E" w:rsidR="0074120C" w:rsidRPr="00AA159A" w:rsidRDefault="0074120C" w:rsidP="009B7D05">
      <w:pPr>
        <w:pStyle w:val="SAPHeading"/>
      </w:pPr>
      <w:r w:rsidRPr="00AA159A">
        <w:t>AV.</w:t>
      </w:r>
      <w:r w:rsidR="00CE1C36" w:rsidRPr="00AA159A">
        <w:t>5</w:t>
      </w:r>
      <w:r w:rsidRPr="00AA159A">
        <w:t xml:space="preserve"> – Update and review</w:t>
      </w:r>
    </w:p>
    <w:p w14:paraId="44BF1617" w14:textId="77777777" w:rsidR="0074120C" w:rsidRPr="00AA159A" w:rsidRDefault="0074120C" w:rsidP="006C4609">
      <w:pPr>
        <w:pStyle w:val="SAPBodyText"/>
      </w:pPr>
      <w:r w:rsidRPr="00AA159A">
        <w:t>Data and analysis methods should be reviewed and updated where necessary.</w:t>
      </w:r>
    </w:p>
    <w:p w14:paraId="71BF5CD9" w14:textId="77777777" w:rsidR="0074120C" w:rsidRPr="00CF791A" w:rsidRDefault="0074120C" w:rsidP="0074120C">
      <w:pPr>
        <w:pStyle w:val="Paragraph"/>
      </w:pPr>
      <w:r w:rsidRPr="00CF791A">
        <w:t xml:space="preserve">Data should be collected and reviewed throughout the lifecycle of the facility to ensure the validity of the analysis used to underpin safety claims. </w:t>
      </w:r>
    </w:p>
    <w:p w14:paraId="5559F1A2" w14:textId="669C76BF" w:rsidR="0074120C" w:rsidRPr="00CF791A" w:rsidRDefault="0074120C" w:rsidP="0074120C">
      <w:pPr>
        <w:pStyle w:val="Paragraph"/>
      </w:pPr>
      <w:r w:rsidRPr="00CF791A">
        <w:t xml:space="preserve">Review should </w:t>
      </w:r>
      <w:r w:rsidR="00852CEF" w:rsidRPr="00CF791A">
        <w:t xml:space="preserve">also </w:t>
      </w:r>
      <w:r w:rsidRPr="00CF791A">
        <w:t xml:space="preserve">consider advances in analysis and modelling techniques. </w:t>
      </w:r>
    </w:p>
    <w:bookmarkEnd w:id="139"/>
    <w:bookmarkEnd w:id="140"/>
    <w:p w14:paraId="4215E6EA" w14:textId="77777777" w:rsidR="00E243D0" w:rsidRPr="00CF791A" w:rsidRDefault="00E243D0" w:rsidP="00E243D0">
      <w:pPr>
        <w:spacing w:after="0" w:line="240" w:lineRule="auto"/>
      </w:pPr>
      <w:r w:rsidRPr="00CF791A">
        <w:br w:type="page"/>
      </w:r>
    </w:p>
    <w:p w14:paraId="406DAD36" w14:textId="78A6CAD8" w:rsidR="00E243D0" w:rsidRPr="005364DE" w:rsidRDefault="00C7693B" w:rsidP="005364DE">
      <w:pPr>
        <w:pStyle w:val="Heading1"/>
      </w:pPr>
      <w:bookmarkStart w:id="141" w:name="_Toc221892796"/>
      <w:bookmarkStart w:id="142" w:name="_Toc221893417"/>
      <w:bookmarkStart w:id="143" w:name="_Toc221893459"/>
      <w:bookmarkStart w:id="144" w:name="_Toc221893508"/>
      <w:bookmarkStart w:id="145" w:name="_Toc221893541"/>
      <w:bookmarkStart w:id="146" w:name="_Toc221893737"/>
      <w:bookmarkStart w:id="147" w:name="_Toc221893770"/>
      <w:bookmarkStart w:id="148" w:name="_Toc221893806"/>
      <w:bookmarkStart w:id="149" w:name="_Toc221893840"/>
      <w:bookmarkStart w:id="150" w:name="_Toc221893942"/>
      <w:bookmarkStart w:id="151" w:name="_Toc235711325"/>
      <w:bookmarkStart w:id="152" w:name="_Toc219748175"/>
      <w:bookmarkEnd w:id="141"/>
      <w:bookmarkEnd w:id="142"/>
      <w:bookmarkEnd w:id="143"/>
      <w:bookmarkEnd w:id="144"/>
      <w:bookmarkEnd w:id="145"/>
      <w:bookmarkEnd w:id="146"/>
      <w:bookmarkEnd w:id="147"/>
      <w:bookmarkEnd w:id="148"/>
      <w:bookmarkEnd w:id="149"/>
      <w:bookmarkEnd w:id="150"/>
      <w:r w:rsidRPr="005364DE">
        <w:lastRenderedPageBreak/>
        <w:t>A</w:t>
      </w:r>
      <w:r w:rsidR="00163BCD" w:rsidRPr="005364DE">
        <w:t>nalysis informed design</w:t>
      </w:r>
      <w:bookmarkEnd w:id="151"/>
      <w:r w:rsidR="00163BCD" w:rsidRPr="005364DE">
        <w:t xml:space="preserve"> </w:t>
      </w:r>
      <w:bookmarkEnd w:id="133"/>
      <w:bookmarkEnd w:id="152"/>
    </w:p>
    <w:p w14:paraId="7A49CF70" w14:textId="11AA1627" w:rsidR="00E243D0" w:rsidRPr="00CF791A" w:rsidRDefault="00E243D0" w:rsidP="003861BC">
      <w:pPr>
        <w:pStyle w:val="Paragraph"/>
      </w:pPr>
      <w:r w:rsidRPr="00CF791A">
        <w:t xml:space="preserve">High engineering standards are essential for nuclear safety, including under fault </w:t>
      </w:r>
      <w:r w:rsidR="00D84BEE" w:rsidRPr="00CF791A">
        <w:t xml:space="preserve">and accident </w:t>
      </w:r>
      <w:r w:rsidRPr="00CF791A">
        <w:t xml:space="preserve">conditions. </w:t>
      </w:r>
      <w:r w:rsidR="009A3497" w:rsidRPr="00CF791A">
        <w:t>T</w:t>
      </w:r>
      <w:r w:rsidRPr="00CF791A">
        <w:t xml:space="preserve">hese principles </w:t>
      </w:r>
      <w:r w:rsidR="00246F65" w:rsidRPr="00CF791A">
        <w:t xml:space="preserve">link the analysis </w:t>
      </w:r>
      <w:r w:rsidR="00550388">
        <w:t>to</w:t>
      </w:r>
      <w:r w:rsidR="00893105" w:rsidRPr="00CF791A">
        <w:t xml:space="preserve"> design and engineering</w:t>
      </w:r>
      <w:r w:rsidR="00F37ECE" w:rsidRPr="00CF791A">
        <w:t xml:space="preserve">, </w:t>
      </w:r>
      <w:r w:rsidR="00550388">
        <w:t>noting</w:t>
      </w:r>
      <w:r w:rsidR="00550388" w:rsidRPr="00CF791A">
        <w:t xml:space="preserve"> </w:t>
      </w:r>
      <w:r w:rsidRPr="00CF791A">
        <w:t xml:space="preserve">the iterative nature </w:t>
      </w:r>
      <w:r w:rsidR="00080B3D" w:rsidRPr="00CF791A">
        <w:t xml:space="preserve">of </w:t>
      </w:r>
      <w:r w:rsidR="00527658" w:rsidRPr="00CF791A">
        <w:t>analysis</w:t>
      </w:r>
      <w:r w:rsidR="00205F27" w:rsidRPr="00CF791A">
        <w:t>,</w:t>
      </w:r>
      <w:r w:rsidR="008A5318" w:rsidRPr="00CF791A">
        <w:t xml:space="preserve"> </w:t>
      </w:r>
      <w:r w:rsidR="00205F27" w:rsidRPr="00CF791A">
        <w:t xml:space="preserve">design </w:t>
      </w:r>
      <w:r w:rsidRPr="00CF791A">
        <w:t xml:space="preserve">and </w:t>
      </w:r>
      <w:r w:rsidR="00527658" w:rsidRPr="00CF791A">
        <w:t>engineering</w:t>
      </w:r>
      <w:r w:rsidR="00527658" w:rsidRPr="00CF791A" w:rsidDel="00527658">
        <w:t xml:space="preserve"> </w:t>
      </w:r>
      <w:r w:rsidRPr="00CF791A">
        <w:t>processes.</w:t>
      </w:r>
    </w:p>
    <w:p w14:paraId="7CA7EDE0" w14:textId="1ADF9AAB" w:rsidR="00E243D0" w:rsidRPr="00AA159A" w:rsidRDefault="00231395" w:rsidP="009B7D05">
      <w:pPr>
        <w:pStyle w:val="SAPHeading"/>
      </w:pPr>
      <w:r w:rsidRPr="00AA159A">
        <w:t>ECS</w:t>
      </w:r>
      <w:r w:rsidR="00E243D0" w:rsidRPr="00AA159A">
        <w:t>.</w:t>
      </w:r>
      <w:r w:rsidR="002509B8" w:rsidRPr="00AA159A">
        <w:t>1</w:t>
      </w:r>
      <w:r w:rsidR="00E243D0" w:rsidRPr="00AA159A">
        <w:t xml:space="preserve"> – Safety function</w:t>
      </w:r>
    </w:p>
    <w:p w14:paraId="515DA3AF" w14:textId="77777777" w:rsidR="00E243D0" w:rsidRPr="00AA159A" w:rsidRDefault="00E243D0" w:rsidP="006C4609">
      <w:pPr>
        <w:pStyle w:val="SAPBodyText"/>
      </w:pPr>
      <w:r w:rsidRPr="00AA159A">
        <w:t>The safety function(s) to be delivered, both during normal operation and in the event of a fault or accident, should be identified by a structured analysis.</w:t>
      </w:r>
    </w:p>
    <w:p w14:paraId="105D4D6A" w14:textId="061EE7B2" w:rsidR="00E243D0" w:rsidRPr="00CF791A" w:rsidRDefault="00E243D0" w:rsidP="00E243D0">
      <w:pPr>
        <w:pStyle w:val="Paragraph"/>
      </w:pPr>
      <w:r w:rsidRPr="00CF791A">
        <w:t>The identification of safety functions should follow a systematic approach based on an analysis of normal operation and all significant fault sequences arising from</w:t>
      </w:r>
      <w:r w:rsidR="000C2919" w:rsidRPr="00CF791A">
        <w:t>:</w:t>
      </w:r>
      <w:r w:rsidRPr="00CF791A">
        <w:t xml:space="preserve"> normal operation, internal faults, internal and external hazards.</w:t>
      </w:r>
    </w:p>
    <w:p w14:paraId="666F9101" w14:textId="66A535E2" w:rsidR="00E243D0" w:rsidRPr="00CF791A" w:rsidRDefault="00F1181C" w:rsidP="00F1181C">
      <w:pPr>
        <w:pStyle w:val="Paragraph"/>
      </w:pPr>
      <w:r w:rsidRPr="00CF791A">
        <w:t xml:space="preserve">For power reactors, the set of safety functions should address the fundamental safety functions (control of reactivity, heat removal and confinement; </w:t>
      </w:r>
      <w:r w:rsidR="00E011F6">
        <w:t>refer to</w:t>
      </w:r>
      <w:r w:rsidR="00E011F6" w:rsidRPr="00CF791A">
        <w:t xml:space="preserve"> </w:t>
      </w:r>
      <w:r w:rsidRPr="00CF791A">
        <w:t>ERC.1). For other facilities, an analogous list of fundamental safety functions should be derived appropriate to the nature of the installation and its hazards. The safety functions identified should</w:t>
      </w:r>
      <w:r w:rsidR="00E243D0" w:rsidRPr="00CF791A">
        <w:t xml:space="preserve"> be sufficiently detailed to support safety classification activities </w:t>
      </w:r>
      <w:r w:rsidR="007A50AA">
        <w:t>(refer to</w:t>
      </w:r>
      <w:r w:rsidR="00E243D0" w:rsidRPr="00CF791A">
        <w:t xml:space="preserve"> </w:t>
      </w:r>
      <w:r w:rsidR="00373EB8" w:rsidRPr="00CF791A">
        <w:t>ECS</w:t>
      </w:r>
      <w:r w:rsidR="008D0BA7" w:rsidRPr="00CF791A">
        <w:t xml:space="preserve">.4 </w:t>
      </w:r>
      <w:r w:rsidR="00E011F6">
        <w:t>and</w:t>
      </w:r>
      <w:r w:rsidR="008D0BA7" w:rsidRPr="00CF791A">
        <w:t xml:space="preserve"> 5)</w:t>
      </w:r>
      <w:r w:rsidR="00E243D0" w:rsidRPr="00CF791A">
        <w:t xml:space="preserve"> and to facilitate a clear demonstration in the safety case of their effective delivery.</w:t>
      </w:r>
    </w:p>
    <w:p w14:paraId="6DB572C6" w14:textId="3CF72C81" w:rsidR="00E243D0" w:rsidRPr="00AA159A" w:rsidRDefault="00E243D0" w:rsidP="009B7D05">
      <w:pPr>
        <w:pStyle w:val="SAPHeading"/>
      </w:pPr>
      <w:r w:rsidRPr="00AA159A">
        <w:t>ECS.</w:t>
      </w:r>
      <w:r w:rsidR="00231395" w:rsidRPr="00AA159A">
        <w:t>2</w:t>
      </w:r>
      <w:r w:rsidRPr="00AA159A">
        <w:t xml:space="preserve"> – Safety function categorisation</w:t>
      </w:r>
    </w:p>
    <w:p w14:paraId="65010E7D" w14:textId="77777777" w:rsidR="00E243D0" w:rsidRPr="00AA159A" w:rsidRDefault="00E243D0" w:rsidP="006C4609">
      <w:pPr>
        <w:pStyle w:val="SAPBodyText"/>
      </w:pPr>
      <w:r w:rsidRPr="00AA159A">
        <w:t xml:space="preserve"> The safety functions to be delivered within the facility, should be categorised based on their significance with regard to safety.</w:t>
      </w:r>
    </w:p>
    <w:p w14:paraId="7495B549" w14:textId="77777777" w:rsidR="00E243D0" w:rsidRPr="00CF791A" w:rsidRDefault="00E243D0" w:rsidP="00E243D0">
      <w:pPr>
        <w:pStyle w:val="Paragraph"/>
      </w:pPr>
      <w:r w:rsidRPr="00CF791A">
        <w:t>The method for categorising safety functions should take into account:</w:t>
      </w:r>
    </w:p>
    <w:p w14:paraId="2E58B698" w14:textId="4520A01F" w:rsidR="00E243D0" w:rsidRPr="00AA159A" w:rsidRDefault="00E243D0" w:rsidP="00134698">
      <w:pPr>
        <w:pStyle w:val="NumList2"/>
        <w:numPr>
          <w:ilvl w:val="1"/>
          <w:numId w:val="33"/>
        </w:numPr>
      </w:pPr>
      <w:r w:rsidRPr="00AA159A">
        <w:t>the consequence of failing to deliver the safety function</w:t>
      </w:r>
      <w:r w:rsidR="00C82833">
        <w:t>;</w:t>
      </w:r>
      <w:r w:rsidRPr="00AA159A">
        <w:t xml:space="preserve"> and </w:t>
      </w:r>
    </w:p>
    <w:p w14:paraId="1C61AF7A" w14:textId="77777777" w:rsidR="00E243D0" w:rsidRPr="00AA159A" w:rsidRDefault="00E243D0" w:rsidP="00134698">
      <w:pPr>
        <w:pStyle w:val="NumList2"/>
        <w:numPr>
          <w:ilvl w:val="1"/>
          <w:numId w:val="33"/>
        </w:numPr>
      </w:pPr>
      <w:r w:rsidRPr="00AA159A">
        <w:t xml:space="preserve">the likelihood that the function will be called upon. </w:t>
      </w:r>
    </w:p>
    <w:p w14:paraId="6A958F05" w14:textId="222E64C9" w:rsidR="00E243D0" w:rsidRPr="00CF791A" w:rsidRDefault="00E243D0" w:rsidP="00E243D0">
      <w:pPr>
        <w:pStyle w:val="Paragraph"/>
      </w:pPr>
      <w:r w:rsidRPr="00CF791A">
        <w:t>The method for categorising safety functions may also take into account the significance of the function in termination of a fault sequence or achieving a stable, safe state</w:t>
      </w:r>
      <w:r w:rsidR="00501FB2">
        <w:t>;</w:t>
      </w:r>
      <w:r w:rsidRPr="00CF791A">
        <w:t xml:space="preserve"> and the relative importance of the function in relation to associated functions at other levels of the defence in depth hierarchy.</w:t>
      </w:r>
    </w:p>
    <w:p w14:paraId="069C9966" w14:textId="77777777" w:rsidR="00E243D0" w:rsidRPr="00CF791A" w:rsidRDefault="00E243D0" w:rsidP="00E243D0">
      <w:pPr>
        <w:pStyle w:val="Paragraph"/>
      </w:pPr>
      <w:r w:rsidRPr="00CF791A">
        <w:t>The categorisation of safety functions should generally take no account of any redundancy, diversity or independence within the design, because these aspects are features</w:t>
      </w:r>
      <w:r w:rsidRPr="00CF791A" w:rsidDel="002636AF">
        <w:t xml:space="preserve"> </w:t>
      </w:r>
      <w:r w:rsidRPr="00CF791A">
        <w:t>of the safety measures that deliver the safety functions.</w:t>
      </w:r>
    </w:p>
    <w:p w14:paraId="40B584B8" w14:textId="3496A6DB" w:rsidR="00E243D0" w:rsidRPr="00CF791A" w:rsidRDefault="005F308F" w:rsidP="00E243D0">
      <w:pPr>
        <w:pStyle w:val="Paragraph"/>
      </w:pPr>
      <w:r>
        <w:t>D</w:t>
      </w:r>
      <w:r w:rsidR="00E243D0" w:rsidRPr="00CF791A">
        <w:t>ifferent safety function categorisation schemes are use</w:t>
      </w:r>
      <w:r w:rsidR="00741670">
        <w:t>d</w:t>
      </w:r>
      <w:r w:rsidR="00E243D0" w:rsidRPr="00CF791A">
        <w:t xml:space="preserve"> </w:t>
      </w:r>
      <w:r w:rsidR="00815D35">
        <w:t>by different dutyholders</w:t>
      </w:r>
      <w:r w:rsidR="00E243D0" w:rsidRPr="00CF791A">
        <w:t xml:space="preserve"> and there is no prescribed scheme, although three categories </w:t>
      </w:r>
      <w:r w:rsidR="00467F5F" w:rsidRPr="00CF791A">
        <w:t xml:space="preserve">are </w:t>
      </w:r>
      <w:r w:rsidR="00E243D0" w:rsidRPr="00CF791A">
        <w:t>recommended by IAEA guidance</w:t>
      </w:r>
      <w:r w:rsidR="00241649">
        <w:t xml:space="preserve"> </w:t>
      </w:r>
      <w:sdt>
        <w:sdtPr>
          <w:id w:val="-1818183454"/>
          <w:citation/>
        </w:sdtPr>
        <w:sdtEndPr/>
        <w:sdtContent>
          <w:r w:rsidR="009B7D05">
            <w:fldChar w:fldCharType="begin"/>
          </w:r>
          <w:r w:rsidR="009B7D05">
            <w:instrText xml:space="preserve"> CITATION IAE61 \l 2057 </w:instrText>
          </w:r>
          <w:r w:rsidR="009B7D05">
            <w:fldChar w:fldCharType="separate"/>
          </w:r>
          <w:r w:rsidR="00875BCE" w:rsidRPr="00875BCE">
            <w:rPr>
              <w:noProof/>
            </w:rPr>
            <w:t>[3]</w:t>
          </w:r>
          <w:r w:rsidR="009B7D05">
            <w:fldChar w:fldCharType="end"/>
          </w:r>
        </w:sdtContent>
      </w:sdt>
      <w:r w:rsidR="00E243D0" w:rsidRPr="00CF791A">
        <w:t xml:space="preserve">. </w:t>
      </w:r>
      <w:r w:rsidR="003019CB">
        <w:t>T</w:t>
      </w:r>
      <w:r w:rsidR="00E243D0" w:rsidRPr="00CF791A">
        <w:t xml:space="preserve">he following high-level categorisation scheme has been assumed throughout the SAPs: </w:t>
      </w:r>
    </w:p>
    <w:p w14:paraId="0EB15632" w14:textId="77777777" w:rsidR="00E243D0" w:rsidRPr="00CF791A" w:rsidRDefault="00E243D0" w:rsidP="00A31B0A">
      <w:pPr>
        <w:pStyle w:val="Bulletlist1"/>
      </w:pPr>
      <w:r w:rsidRPr="00CF791A">
        <w:lastRenderedPageBreak/>
        <w:t xml:space="preserve">Category A – any function that plays a principal role in ensuring nuclear safety. </w:t>
      </w:r>
    </w:p>
    <w:p w14:paraId="44447D5A" w14:textId="77777777" w:rsidR="00E243D0" w:rsidRPr="00CF791A" w:rsidRDefault="00E243D0" w:rsidP="00A31B0A">
      <w:pPr>
        <w:pStyle w:val="Bulletlist1"/>
      </w:pPr>
      <w:r w:rsidRPr="00CF791A">
        <w:t xml:space="preserve">Category B – any function that makes a significant contribution to nuclear safety. </w:t>
      </w:r>
    </w:p>
    <w:p w14:paraId="1289C096" w14:textId="77777777" w:rsidR="00E243D0" w:rsidRPr="00CF791A" w:rsidRDefault="00E243D0" w:rsidP="00A31B0A">
      <w:pPr>
        <w:pStyle w:val="Bulletlist1"/>
      </w:pPr>
      <w:r w:rsidRPr="00CF791A">
        <w:t>Category C – any other safety function contributing to nuclear safety.</w:t>
      </w:r>
    </w:p>
    <w:p w14:paraId="49ADFAA1" w14:textId="77777777" w:rsidR="00E243D0" w:rsidRPr="00CF791A" w:rsidRDefault="00E243D0" w:rsidP="00E243D0">
      <w:pPr>
        <w:pStyle w:val="Paragraph"/>
      </w:pPr>
      <w:r w:rsidRPr="00CF791A">
        <w:t>The categorisation assigned to each safety function should be used to classify the safety measures that deliver the function.</w:t>
      </w:r>
    </w:p>
    <w:p w14:paraId="3274DEE9" w14:textId="540400EE" w:rsidR="00E243D0" w:rsidRPr="00AA159A" w:rsidRDefault="00E243D0" w:rsidP="009B7D05">
      <w:pPr>
        <w:pStyle w:val="SAPHeading"/>
      </w:pPr>
      <w:r w:rsidRPr="00AA159A">
        <w:t>E</w:t>
      </w:r>
      <w:r w:rsidR="00231395" w:rsidRPr="00AA159A">
        <w:t>CS</w:t>
      </w:r>
      <w:r w:rsidRPr="00AA159A">
        <w:t>.</w:t>
      </w:r>
      <w:r w:rsidR="00231395" w:rsidRPr="00AA159A">
        <w:t>3</w:t>
      </w:r>
      <w:r w:rsidRPr="00AA159A">
        <w:t xml:space="preserve"> – Safety measures</w:t>
      </w:r>
    </w:p>
    <w:p w14:paraId="4898641D" w14:textId="77777777" w:rsidR="00E243D0" w:rsidRPr="00AA159A" w:rsidRDefault="00E243D0" w:rsidP="006C4609">
      <w:pPr>
        <w:pStyle w:val="SAPBodyText"/>
      </w:pPr>
      <w:r w:rsidRPr="00AA159A">
        <w:t>Safety measures should be identified to deliver the required safety function(s).</w:t>
      </w:r>
    </w:p>
    <w:p w14:paraId="194593B7" w14:textId="6AE2741A" w:rsidR="00E243D0" w:rsidRPr="00CF791A" w:rsidRDefault="00E243D0" w:rsidP="00E243D0">
      <w:pPr>
        <w:pStyle w:val="Paragraph"/>
      </w:pPr>
      <w:r w:rsidRPr="00CF791A">
        <w:t xml:space="preserve">A safety measure </w:t>
      </w:r>
      <w:r w:rsidR="003C4B43" w:rsidRPr="00CF791A">
        <w:t>is</w:t>
      </w:r>
      <w:r w:rsidRPr="00CF791A">
        <w:t xml:space="preserve"> anything that delivers, or contributes to the delivery of, a safety function. This covers all levels of defence in depth, and may include, for example, design features, SSCs (inherently safe, passive or active), and </w:t>
      </w:r>
      <w:r w:rsidR="00DB2BF9" w:rsidRPr="00CF791A">
        <w:t>human</w:t>
      </w:r>
      <w:r w:rsidRPr="00CF791A">
        <w:t xml:space="preserve"> actions.</w:t>
      </w:r>
    </w:p>
    <w:p w14:paraId="1D408B87" w14:textId="0C8CF6B2" w:rsidR="00E243D0" w:rsidRPr="00CF791A" w:rsidRDefault="004273B1" w:rsidP="00E243D0">
      <w:pPr>
        <w:pStyle w:val="Paragraph"/>
      </w:pPr>
      <w:r>
        <w:t>Safety f</w:t>
      </w:r>
      <w:r w:rsidR="00E243D0" w:rsidRPr="00CF791A">
        <w:t xml:space="preserve">unctional requirements </w:t>
      </w:r>
      <w:r w:rsidR="00A70EEF" w:rsidRPr="00CF791A">
        <w:t xml:space="preserve">should be decomposed </w:t>
      </w:r>
      <w:r w:rsidR="006416F3">
        <w:t>from the safety function</w:t>
      </w:r>
      <w:r w:rsidR="0058203B">
        <w:t xml:space="preserve">s </w:t>
      </w:r>
      <w:r w:rsidR="002306AC">
        <w:t xml:space="preserve">to be delivered </w:t>
      </w:r>
      <w:r w:rsidR="00A70EEF" w:rsidRPr="00CF791A">
        <w:t>and</w:t>
      </w:r>
      <w:r w:rsidR="00E243D0" w:rsidRPr="00CF791A">
        <w:t xml:space="preserve"> systematically allocated to safety measures. These requirements should be traceable upstream to hazard and fault analysis and linked downstream to design substantiation. </w:t>
      </w:r>
    </w:p>
    <w:p w14:paraId="50358EC9" w14:textId="16E0B7D9" w:rsidR="00E243D0" w:rsidRPr="00CF791A" w:rsidRDefault="00E243D0" w:rsidP="00E243D0">
      <w:pPr>
        <w:pStyle w:val="Paragraph"/>
      </w:pPr>
      <w:r w:rsidRPr="00CF791A">
        <w:t xml:space="preserve">The availability and reliability of the safety measures should be commensurate with the significance of the </w:t>
      </w:r>
      <w:r w:rsidR="008709AD">
        <w:t>nuclear safety risk</w:t>
      </w:r>
      <w:r w:rsidRPr="00CF791A">
        <w:t xml:space="preserve"> being controlled and their role in delivering the required safety function.</w:t>
      </w:r>
    </w:p>
    <w:p w14:paraId="31B39F92" w14:textId="6A1F9C82" w:rsidR="00E243D0" w:rsidRPr="00AA159A" w:rsidRDefault="00E243D0" w:rsidP="009B7D05">
      <w:pPr>
        <w:pStyle w:val="SAPHeading"/>
      </w:pPr>
      <w:r w:rsidRPr="00AA159A">
        <w:t>ECS.</w:t>
      </w:r>
      <w:r w:rsidR="009E00F3" w:rsidRPr="00AA159A">
        <w:t>4</w:t>
      </w:r>
      <w:r w:rsidRPr="00AA159A">
        <w:t xml:space="preserve"> – Classification of safety measures</w:t>
      </w:r>
    </w:p>
    <w:p w14:paraId="52FD62C1" w14:textId="51BA1847" w:rsidR="00E243D0" w:rsidRPr="00AA159A" w:rsidRDefault="00E243D0" w:rsidP="006C4609">
      <w:pPr>
        <w:pStyle w:val="SAPBodyText"/>
      </w:pPr>
      <w:r w:rsidRPr="00AA159A">
        <w:t>Safety measures that deliver safety functions should be identified and classified on the basis of those functions and their significance to safety.</w:t>
      </w:r>
    </w:p>
    <w:p w14:paraId="5DC26139" w14:textId="77777777" w:rsidR="00E243D0" w:rsidRPr="00CF791A" w:rsidRDefault="00E243D0" w:rsidP="00E243D0">
      <w:pPr>
        <w:pStyle w:val="Paragraph"/>
      </w:pPr>
      <w:r w:rsidRPr="00CF791A">
        <w:t xml:space="preserve">Methods for classifying the safety significance of safety measures should be based primarily on deterministic methods, complemented where appropriate by probabilistic methods and engineering judgement, with account taken of factors such as: </w:t>
      </w:r>
    </w:p>
    <w:p w14:paraId="0518C31E" w14:textId="73E039F8" w:rsidR="00E243D0" w:rsidRPr="00AA159A" w:rsidRDefault="00E243D0" w:rsidP="00134698">
      <w:pPr>
        <w:pStyle w:val="NumList2"/>
        <w:numPr>
          <w:ilvl w:val="1"/>
          <w:numId w:val="34"/>
        </w:numPr>
      </w:pPr>
      <w:r w:rsidRPr="00AA159A">
        <w:t xml:space="preserve">the category of safety function(s) to be performed by the safety measure; </w:t>
      </w:r>
    </w:p>
    <w:p w14:paraId="22020F98" w14:textId="77777777" w:rsidR="00E243D0" w:rsidRPr="00AA159A" w:rsidRDefault="00E243D0" w:rsidP="00134698">
      <w:pPr>
        <w:pStyle w:val="NumList2"/>
        <w:numPr>
          <w:ilvl w:val="1"/>
          <w:numId w:val="34"/>
        </w:numPr>
      </w:pPr>
      <w:r w:rsidRPr="00AA159A">
        <w:t>the prominence of the safety measure in delivery of a particular safety function;</w:t>
      </w:r>
    </w:p>
    <w:p w14:paraId="441D0ED0" w14:textId="77777777" w:rsidR="00E243D0" w:rsidRPr="00AA159A" w:rsidRDefault="00E243D0" w:rsidP="00134698">
      <w:pPr>
        <w:pStyle w:val="NumList2"/>
        <w:numPr>
          <w:ilvl w:val="1"/>
          <w:numId w:val="34"/>
        </w:numPr>
      </w:pPr>
      <w:r w:rsidRPr="00AA159A">
        <w:t>the potential for a failure to initiate a fault or exacerbate the consequences of an existing fault, including situations where the failure affects the performance of another safety measure; and</w:t>
      </w:r>
    </w:p>
    <w:p w14:paraId="29CE1E2D" w14:textId="77777777" w:rsidR="00E243D0" w:rsidRPr="00AA159A" w:rsidRDefault="00E243D0" w:rsidP="00134698">
      <w:pPr>
        <w:pStyle w:val="NumList2"/>
        <w:numPr>
          <w:ilvl w:val="1"/>
          <w:numId w:val="34"/>
        </w:numPr>
      </w:pPr>
      <w:r w:rsidRPr="00AA159A">
        <w:t>the time following any initiating fault at which, or the period throughout which, it will be called upon to operate in order to bring the facility to a stable, safe state.</w:t>
      </w:r>
    </w:p>
    <w:p w14:paraId="63686B4E" w14:textId="128BFE92" w:rsidR="00E243D0" w:rsidRPr="00CF791A" w:rsidRDefault="00057451" w:rsidP="00E243D0">
      <w:pPr>
        <w:pStyle w:val="Paragraph"/>
      </w:pPr>
      <w:r>
        <w:lastRenderedPageBreak/>
        <w:t>D</w:t>
      </w:r>
      <w:r w:rsidR="00E243D0" w:rsidRPr="00CF791A">
        <w:t xml:space="preserve">ifferent safety classification schemes are in use </w:t>
      </w:r>
      <w:r w:rsidR="000C40E5" w:rsidRPr="00CF791A">
        <w:t>with</w:t>
      </w:r>
      <w:r w:rsidR="00E243D0" w:rsidRPr="00CF791A">
        <w:t xml:space="preserve">in GB, and there is no prescribed scheme, although three classes </w:t>
      </w:r>
      <w:r w:rsidR="00E61319" w:rsidRPr="00CF791A">
        <w:t>are</w:t>
      </w:r>
      <w:r w:rsidR="00E243D0" w:rsidRPr="00CF791A">
        <w:t xml:space="preserve"> recommended by IAEA guidance</w:t>
      </w:r>
      <w:r w:rsidR="009B7D05">
        <w:t xml:space="preserve"> </w:t>
      </w:r>
      <w:sdt>
        <w:sdtPr>
          <w:id w:val="1333336116"/>
          <w:citation/>
        </w:sdtPr>
        <w:sdtEndPr/>
        <w:sdtContent>
          <w:r w:rsidR="009B7D05">
            <w:fldChar w:fldCharType="begin"/>
          </w:r>
          <w:r w:rsidR="009B7D05">
            <w:instrText xml:space="preserve"> CITATION IAE61 \l 2057 </w:instrText>
          </w:r>
          <w:r w:rsidR="009B7D05">
            <w:fldChar w:fldCharType="separate"/>
          </w:r>
          <w:r w:rsidR="00875BCE" w:rsidRPr="00875BCE">
            <w:rPr>
              <w:noProof/>
            </w:rPr>
            <w:t>[3]</w:t>
          </w:r>
          <w:r w:rsidR="009B7D05">
            <w:fldChar w:fldCharType="end"/>
          </w:r>
        </w:sdtContent>
      </w:sdt>
      <w:r w:rsidR="00E243D0" w:rsidRPr="00CF791A">
        <w:t xml:space="preserve">. </w:t>
      </w:r>
      <w:r w:rsidR="00E61319">
        <w:t>T</w:t>
      </w:r>
      <w:r w:rsidR="00E243D0" w:rsidRPr="00CF791A">
        <w:t xml:space="preserve">he following high-level classification scheme has been assumed throughout the SAPs: </w:t>
      </w:r>
    </w:p>
    <w:p w14:paraId="37E969B3" w14:textId="77777777" w:rsidR="00E243D0" w:rsidRPr="00CF791A" w:rsidRDefault="00E243D0" w:rsidP="00A31B0A">
      <w:pPr>
        <w:pStyle w:val="Bulletlist1"/>
      </w:pPr>
      <w:r w:rsidRPr="00CF791A">
        <w:t xml:space="preserve">Class 1 – any safety measure that forms a principal means of fulfilling a Category A safety function. </w:t>
      </w:r>
    </w:p>
    <w:p w14:paraId="1088D41E" w14:textId="44095B18" w:rsidR="00E243D0" w:rsidRPr="00CF791A" w:rsidRDefault="00E243D0" w:rsidP="00A31B0A">
      <w:pPr>
        <w:pStyle w:val="Bulletlist1"/>
      </w:pPr>
      <w:r w:rsidRPr="00CF791A">
        <w:t xml:space="preserve">Class 2 – any safety measure that makes a significant contribution to fulfilling a Category A safety function or forms a principal means of ensuring a Category B safety function. </w:t>
      </w:r>
    </w:p>
    <w:p w14:paraId="6C3E3F70" w14:textId="77777777" w:rsidR="00E243D0" w:rsidRPr="00CF791A" w:rsidRDefault="00E243D0" w:rsidP="00A31B0A">
      <w:pPr>
        <w:pStyle w:val="Bulletlist1"/>
      </w:pPr>
      <w:r w:rsidRPr="00CF791A">
        <w:t>Class 3 – any other safety measure contributing to a categorised safety function.</w:t>
      </w:r>
    </w:p>
    <w:p w14:paraId="2B14A2E6" w14:textId="35F87831" w:rsidR="00E243D0" w:rsidRPr="00CF791A" w:rsidRDefault="00E243D0" w:rsidP="00E243D0">
      <w:pPr>
        <w:pStyle w:val="Paragraph"/>
      </w:pPr>
      <w:r w:rsidRPr="00CF791A">
        <w:t>Where safety functions are delivered or supported by human action, these human actions should be identified and classified in-line with the overall safety measure.</w:t>
      </w:r>
    </w:p>
    <w:p w14:paraId="51BA2B18" w14:textId="467562FF" w:rsidR="00E243D0" w:rsidRPr="00CF791A" w:rsidRDefault="00E243D0" w:rsidP="00E243D0">
      <w:pPr>
        <w:pStyle w:val="Paragraph"/>
      </w:pPr>
      <w:r w:rsidRPr="00CF791A">
        <w:t xml:space="preserve">Appropriately designed interfaces should be provided between (or within) safety measures of different classes to ensure that any failure in a </w:t>
      </w:r>
      <w:r w:rsidR="00A932C8" w:rsidRPr="00CF791A">
        <w:t>lower-class</w:t>
      </w:r>
      <w:r w:rsidRPr="00CF791A">
        <w:t xml:space="preserve"> measure will not propagate to a </w:t>
      </w:r>
      <w:r w:rsidR="00A932C8" w:rsidRPr="00CF791A">
        <w:t>higher-class</w:t>
      </w:r>
      <w:r w:rsidR="0097466C" w:rsidRPr="00CF791A">
        <w:t xml:space="preserve"> </w:t>
      </w:r>
      <w:r w:rsidRPr="00CF791A">
        <w:t>measure. Equipment providing the function to prevent the propagation of failures should be assigned to the higher class.</w:t>
      </w:r>
    </w:p>
    <w:p w14:paraId="6E1413E1" w14:textId="7AE62DE8" w:rsidR="00E243D0" w:rsidRPr="00CF791A" w:rsidRDefault="00E243D0" w:rsidP="00E243D0">
      <w:pPr>
        <w:pStyle w:val="Paragraph"/>
      </w:pPr>
      <w:r w:rsidRPr="00CF791A">
        <w:t xml:space="preserve">Auxiliary </w:t>
      </w:r>
      <w:r w:rsidR="00035E9B" w:rsidRPr="00CF791A">
        <w:t xml:space="preserve">or essential </w:t>
      </w:r>
      <w:r w:rsidRPr="00CF791A">
        <w:t>services that support a safety measure should be considered part of that measure and should be classified accordingly unless failure does not prejudice successful delivery of its safety functions.</w:t>
      </w:r>
    </w:p>
    <w:p w14:paraId="134B889D" w14:textId="2AB342D3" w:rsidR="00E243D0" w:rsidRPr="00AA159A" w:rsidRDefault="00E243D0" w:rsidP="009B7D05">
      <w:pPr>
        <w:pStyle w:val="SAPHeading"/>
      </w:pPr>
      <w:r w:rsidRPr="00AA159A">
        <w:t>E</w:t>
      </w:r>
      <w:r w:rsidR="001079A6">
        <w:t>CS</w:t>
      </w:r>
      <w:r w:rsidRPr="00AA159A">
        <w:t>.</w:t>
      </w:r>
      <w:r w:rsidR="009E00F3" w:rsidRPr="00AA159A">
        <w:t>5</w:t>
      </w:r>
      <w:r w:rsidRPr="00AA159A">
        <w:t xml:space="preserve"> – Highest Reliability SSCs</w:t>
      </w:r>
    </w:p>
    <w:p w14:paraId="53C4BBD6" w14:textId="2F66A679" w:rsidR="00E243D0" w:rsidRPr="00AA159A" w:rsidRDefault="00E243D0" w:rsidP="006C4609">
      <w:pPr>
        <w:pStyle w:val="SAPBodyText"/>
      </w:pPr>
      <w:r w:rsidRPr="00AA159A">
        <w:t>Where failures of SSCs cannot be tolerated, suitable highest reliability safety arguments should be made, supported by suitabl</w:t>
      </w:r>
      <w:r w:rsidR="007A6A94">
        <w:t>e</w:t>
      </w:r>
      <w:r w:rsidRPr="00AA159A">
        <w:t xml:space="preserve"> evidence, to demonstrate that failures can be discounted from the design basis of the plant.</w:t>
      </w:r>
    </w:p>
    <w:p w14:paraId="3D66E18D" w14:textId="61ED3564" w:rsidR="00E243D0" w:rsidRPr="00CF791A" w:rsidRDefault="00E243D0" w:rsidP="00E243D0">
      <w:pPr>
        <w:pStyle w:val="Paragraph"/>
      </w:pPr>
      <w:r w:rsidRPr="00CF791A">
        <w:t>Highest reliability can be applied to SSCs to argue that failures do not need to be considered further within the design basis of the plant. This is a demanding approach, and where possible safety should not rely on claims of extremely high integrity but apply a more balanced defence in depth approach.</w:t>
      </w:r>
    </w:p>
    <w:p w14:paraId="2EE7ABC6" w14:textId="77777777" w:rsidR="00E243D0" w:rsidRPr="00CF791A" w:rsidRDefault="00E243D0" w:rsidP="00E243D0">
      <w:pPr>
        <w:pStyle w:val="Paragraph"/>
      </w:pPr>
      <w:r w:rsidRPr="00CF791A">
        <w:t xml:space="preserve">Highest reliability arguments should establish rigorous evidence that failure can be discounted from the design basis of the plant. Evidence should be provided to demonstrate that the necessary level of integrity has been achieved for the most demanding situations identified in the safety case. The strength and extent of the evidence provided should be commensurate with its importance to the overall safety case. </w:t>
      </w:r>
    </w:p>
    <w:p w14:paraId="08B5A4B3" w14:textId="77777777" w:rsidR="00E243D0" w:rsidRPr="00CF791A" w:rsidRDefault="00E243D0" w:rsidP="00E243D0">
      <w:pPr>
        <w:pStyle w:val="Paragraph"/>
      </w:pPr>
      <w:r w:rsidRPr="00CF791A">
        <w:t>The safety arguments should be supported by a comprehensive understanding of relevant scientific and technical issues, taking account of precedents when available.</w:t>
      </w:r>
    </w:p>
    <w:p w14:paraId="3B7C0B5E" w14:textId="100D34F8" w:rsidR="00E243D0" w:rsidRPr="00CF791A" w:rsidRDefault="00E243D0" w:rsidP="00224E3D">
      <w:pPr>
        <w:pStyle w:val="Paragraph"/>
      </w:pPr>
      <w:r w:rsidRPr="00CF791A">
        <w:lastRenderedPageBreak/>
        <w:t>Typically, such arguments are only applied to robust passive structures or components, notably primary circuit pressure components in a reactor system</w:t>
      </w:r>
      <w:r w:rsidR="00224E3D" w:rsidRPr="00CF791A">
        <w:t xml:space="preserve"> where failure cannot be tolerated</w:t>
      </w:r>
      <w:r w:rsidRPr="00CF791A">
        <w:t xml:space="preserve">. As such, safety arguments and corresponding evidence should support engineering judgements that such SSCs are extremely unlikely to fail with a high degree of confidence. To achieve this level of confidence it would be expected that dutyholders demonstrate rigorous application of the engineering </w:t>
      </w:r>
      <w:r w:rsidR="00F54BEC" w:rsidRPr="00CF791A">
        <w:t xml:space="preserve">and design </w:t>
      </w:r>
      <w:r w:rsidRPr="00CF791A">
        <w:t xml:space="preserve">SAPs, notably those on structural integrity or civil engineering as applicable. </w:t>
      </w:r>
    </w:p>
    <w:p w14:paraId="20CCF2A9" w14:textId="69D9520C" w:rsidR="00E243D0" w:rsidRPr="00AA159A" w:rsidRDefault="00E243D0" w:rsidP="009B7D05">
      <w:pPr>
        <w:pStyle w:val="SAPHeading"/>
      </w:pPr>
      <w:r w:rsidRPr="00AA159A">
        <w:t>EC</w:t>
      </w:r>
      <w:r w:rsidR="009E00F3" w:rsidRPr="00AA159A">
        <w:t>S</w:t>
      </w:r>
      <w:r w:rsidRPr="00AA159A">
        <w:t>.</w:t>
      </w:r>
      <w:r w:rsidR="009E00F3" w:rsidRPr="00AA159A">
        <w:t>6</w:t>
      </w:r>
      <w:r w:rsidRPr="00AA159A">
        <w:t xml:space="preserve"> – Design </w:t>
      </w:r>
      <w:r w:rsidR="000C0A08" w:rsidRPr="00AA159A">
        <w:t>philosophies</w:t>
      </w:r>
    </w:p>
    <w:p w14:paraId="71860B3E" w14:textId="7F267FBF" w:rsidR="00E243D0" w:rsidRPr="00AA159A" w:rsidRDefault="00E243D0" w:rsidP="006C4609">
      <w:pPr>
        <w:pStyle w:val="SAPBodyText"/>
      </w:pPr>
      <w:r w:rsidRPr="00AA159A">
        <w:t xml:space="preserve">The design philosophy </w:t>
      </w:r>
      <w:r w:rsidR="0074725C">
        <w:t xml:space="preserve">for safety measures </w:t>
      </w:r>
      <w:r w:rsidRPr="00AA159A">
        <w:t>should define the overarching approach</w:t>
      </w:r>
      <w:r w:rsidR="00340594">
        <w:t xml:space="preserve"> to delivering safety</w:t>
      </w:r>
      <w:r w:rsidRPr="00AA159A">
        <w:t xml:space="preserve"> and justify the proposed design principles, inputs, and methodologies.</w:t>
      </w:r>
    </w:p>
    <w:p w14:paraId="0D05E8A1" w14:textId="4E678C27" w:rsidR="00E243D0" w:rsidRPr="00CF791A" w:rsidRDefault="00E243D0" w:rsidP="00334784">
      <w:pPr>
        <w:pStyle w:val="Paragraph"/>
      </w:pPr>
      <w:r w:rsidRPr="00CF791A">
        <w:t>The design philosophy should demonstrate how the chosen approach supports delivery of functional performance across all relevant plant states, ensuring safety and operational requirements are met.</w:t>
      </w:r>
      <w:r w:rsidR="00334784">
        <w:t xml:space="preserve"> </w:t>
      </w:r>
      <w:r w:rsidR="00343B32" w:rsidRPr="00CF791A">
        <w:t>Safety f</w:t>
      </w:r>
      <w:r w:rsidRPr="00CF791A">
        <w:t>unctional requirements should directly inform the development of the design.</w:t>
      </w:r>
    </w:p>
    <w:p w14:paraId="36BA2F12" w14:textId="1FB1E6CE" w:rsidR="00E243D0" w:rsidRPr="00CF791A" w:rsidRDefault="00E243D0" w:rsidP="00575576">
      <w:pPr>
        <w:pStyle w:val="Paragraph"/>
      </w:pPr>
      <w:r w:rsidRPr="00CF791A">
        <w:t xml:space="preserve">Multiple independent and diverse </w:t>
      </w:r>
      <w:r w:rsidR="00575576" w:rsidRPr="00CF791A">
        <w:t>barriers</w:t>
      </w:r>
      <w:r w:rsidR="003C24A8" w:rsidRPr="00CF791A">
        <w:t xml:space="preserve"> </w:t>
      </w:r>
      <w:r w:rsidRPr="00CF791A">
        <w:t xml:space="preserve">should be present </w:t>
      </w:r>
      <w:r w:rsidR="00524169">
        <w:t xml:space="preserve">in the </w:t>
      </w:r>
      <w:r w:rsidR="006F15F7">
        <w:t xml:space="preserve">overall </w:t>
      </w:r>
      <w:r w:rsidR="00524169">
        <w:t>design</w:t>
      </w:r>
      <w:r w:rsidRPr="00CF791A">
        <w:t>, with vulnerabilities offset by strengths in other barriers</w:t>
      </w:r>
      <w:r w:rsidR="00CC0544">
        <w:t xml:space="preserve"> </w:t>
      </w:r>
      <w:r w:rsidR="007A50AA">
        <w:t>(refer to</w:t>
      </w:r>
      <w:r w:rsidR="00CC0544">
        <w:t xml:space="preserve"> KP.</w:t>
      </w:r>
      <w:r w:rsidR="00EC0704">
        <w:t>4</w:t>
      </w:r>
      <w:r w:rsidR="00CC0544">
        <w:t>)</w:t>
      </w:r>
      <w:r w:rsidRPr="00CF791A">
        <w:t xml:space="preserve">. The design should be </w:t>
      </w:r>
      <w:r w:rsidR="002156CA">
        <w:t xml:space="preserve">suitably </w:t>
      </w:r>
      <w:r w:rsidR="00891345">
        <w:t>tolerant</w:t>
      </w:r>
      <w:r w:rsidRPr="00CF791A">
        <w:t xml:space="preserve"> against changes in assumptions, loading conditions, plant states, environmental factors, and other relevant variables.</w:t>
      </w:r>
    </w:p>
    <w:p w14:paraId="1FACA36D" w14:textId="05B539AE" w:rsidR="00E243D0" w:rsidRPr="00CF791A" w:rsidRDefault="00E243D0" w:rsidP="003B5734">
      <w:pPr>
        <w:pStyle w:val="Paragraph"/>
      </w:pPr>
      <w:r w:rsidRPr="00CF791A">
        <w:t xml:space="preserve">All relevant </w:t>
      </w:r>
      <w:r w:rsidR="00140C32">
        <w:t xml:space="preserve">design </w:t>
      </w:r>
      <w:r w:rsidRPr="00CF791A">
        <w:t>inputs should be consolidated and presented for normal operation, design basis</w:t>
      </w:r>
      <w:r w:rsidR="00EA6442" w:rsidRPr="00CF791A">
        <w:t xml:space="preserve">, </w:t>
      </w:r>
      <w:r w:rsidRPr="00CF791A">
        <w:t>beyond design basis conditions</w:t>
      </w:r>
      <w:r w:rsidR="00EA6442" w:rsidRPr="00CF791A">
        <w:t>,</w:t>
      </w:r>
      <w:r w:rsidRPr="00CF791A">
        <w:t xml:space="preserve"> construction, testing and maintenance phases. </w:t>
      </w:r>
      <w:r w:rsidR="00054A4C">
        <w:t>T</w:t>
      </w:r>
      <w:r w:rsidRPr="00CF791A">
        <w:t xml:space="preserve">hese inputs include </w:t>
      </w:r>
      <w:r w:rsidR="003B5734" w:rsidRPr="00CF791A">
        <w:t>architectures</w:t>
      </w:r>
      <w:r w:rsidR="008C6E2A" w:rsidRPr="00CF791A">
        <w:t xml:space="preserve">, </w:t>
      </w:r>
      <w:r w:rsidRPr="00CF791A">
        <w:t>geometrical configurations, schedules of loads and load cases, material properties with associated uncertainties, acceptance and performance criteria, and analysis load combinations. Each input should be traceable to its source and justified in terms of its relevance and application.</w:t>
      </w:r>
    </w:p>
    <w:p w14:paraId="3741A321" w14:textId="2B194899" w:rsidR="00E243D0" w:rsidRPr="00CF791A" w:rsidRDefault="00E243D0" w:rsidP="00865E1B">
      <w:pPr>
        <w:pStyle w:val="Paragraph"/>
      </w:pPr>
      <w:r w:rsidRPr="00CF791A">
        <w:t>Assumptions, simplifications, limitations, and areas of uncertainty should be clearly defined and the approach for reflecting them via conservatism or other means justified.</w:t>
      </w:r>
      <w:r w:rsidR="00FB72F9">
        <w:t xml:space="preserve"> </w:t>
      </w:r>
      <w:r w:rsidRPr="00CF791A">
        <w:t>Where appropriate, mechanisms should be in place to refine inputs, inform data collection, and manage changes effectively.</w:t>
      </w:r>
    </w:p>
    <w:p w14:paraId="6C1C0B71" w14:textId="2A7FCC86" w:rsidR="00E243D0" w:rsidRPr="00CF791A" w:rsidRDefault="00E243D0" w:rsidP="00E243D0">
      <w:pPr>
        <w:pStyle w:val="Paragraph"/>
      </w:pPr>
      <w:r w:rsidRPr="00CF791A">
        <w:t>The design philosophy should interface coherently with the safety case and other disciplines, facilitating integration across disciplines.</w:t>
      </w:r>
    </w:p>
    <w:p w14:paraId="0AEFE1D2" w14:textId="530FC2A6" w:rsidR="00E243D0" w:rsidRPr="00AA159A" w:rsidRDefault="00E243D0" w:rsidP="009B7D05">
      <w:pPr>
        <w:pStyle w:val="SAPHeading"/>
      </w:pPr>
      <w:r w:rsidRPr="00AA159A">
        <w:t>ECS.</w:t>
      </w:r>
      <w:r w:rsidR="009E00F3" w:rsidRPr="00AA159A">
        <w:t>7</w:t>
      </w:r>
      <w:r w:rsidRPr="00AA159A">
        <w:t xml:space="preserve"> – Codes and standards</w:t>
      </w:r>
    </w:p>
    <w:p w14:paraId="2FB6DAD4" w14:textId="1289A14A" w:rsidR="00E243D0" w:rsidRPr="00AA159A" w:rsidRDefault="00CB79FD" w:rsidP="006C4609">
      <w:pPr>
        <w:pStyle w:val="SAPBodyText"/>
      </w:pPr>
      <w:r w:rsidRPr="00AA159A">
        <w:t xml:space="preserve">Safety measures should adhere to appropriate codes and standards commensurate with their classification and throughout their lifecycle. </w:t>
      </w:r>
    </w:p>
    <w:p w14:paraId="355D131A" w14:textId="3BFDA428" w:rsidR="00E243D0" w:rsidRPr="00CF791A" w:rsidRDefault="00E243D0" w:rsidP="005920FC">
      <w:pPr>
        <w:pStyle w:val="Paragraph"/>
      </w:pPr>
      <w:r w:rsidRPr="00CF791A">
        <w:t xml:space="preserve">A suite of harmonised and coherent design codes and standards should be justified and applied. These should align with the functional reliability requirements and safety classification of </w:t>
      </w:r>
      <w:r w:rsidR="00A9657E">
        <w:t>safety measures</w:t>
      </w:r>
      <w:r w:rsidRPr="00CF791A">
        <w:t>.</w:t>
      </w:r>
      <w:r w:rsidR="005920FC">
        <w:t xml:space="preserve"> </w:t>
      </w:r>
      <w:r w:rsidRPr="00CF791A">
        <w:t xml:space="preserve">Each adopted code or standard should be </w:t>
      </w:r>
      <w:r w:rsidRPr="00CF791A">
        <w:lastRenderedPageBreak/>
        <w:t>evaluated for applicability, adequacy, and sufficiency, and supplemented or modified as needed to align with the designated safety classification.</w:t>
      </w:r>
    </w:p>
    <w:p w14:paraId="3B8CC5DC" w14:textId="3D96BEFF" w:rsidR="00E243D0" w:rsidRPr="00CF791A" w:rsidRDefault="006374CB" w:rsidP="00E243D0">
      <w:pPr>
        <w:pStyle w:val="Paragraph"/>
      </w:pPr>
      <w:r>
        <w:t>For h</w:t>
      </w:r>
      <w:r w:rsidR="00240F5A">
        <w:t xml:space="preserve">igh class </w:t>
      </w:r>
      <w:r w:rsidR="007423A1">
        <w:t>safety measures (</w:t>
      </w:r>
      <w:r w:rsidR="00E243D0" w:rsidRPr="00CF791A">
        <w:t>Class 1 and 2</w:t>
      </w:r>
      <w:r w:rsidR="000E1F3F">
        <w:t>)</w:t>
      </w:r>
      <w:r w:rsidR="00E243D0" w:rsidRPr="00CF791A">
        <w:t xml:space="preserve"> safety measures should follow nuclear industry-specific, national, or international codes and standards. </w:t>
      </w:r>
      <w:r w:rsidR="007A3176" w:rsidRPr="00CF791A">
        <w:t xml:space="preserve">Where non-nuclear-specific codes are proposed for </w:t>
      </w:r>
      <w:r w:rsidR="002409FA">
        <w:t>high class</w:t>
      </w:r>
      <w:r w:rsidR="007A3176" w:rsidRPr="00CF791A">
        <w:t xml:space="preserve"> SSCs, their use should be justified, particularly where reliability data may not be based on comparable analysis methods, design practices, construction standards, or materials.</w:t>
      </w:r>
      <w:r w:rsidR="007A3176">
        <w:t xml:space="preserve"> </w:t>
      </w:r>
      <w:r w:rsidR="00E243D0" w:rsidRPr="00CF791A">
        <w:t xml:space="preserve">For Class 3 measures, if no nuclear-specific code or standard is available an appropriate non-nuclear-specific code or standard should be used. </w:t>
      </w:r>
    </w:p>
    <w:p w14:paraId="228F66A9" w14:textId="2C1C8A26" w:rsidR="00E243D0" w:rsidRPr="00CF791A" w:rsidRDefault="00E243D0" w:rsidP="00E243D0">
      <w:pPr>
        <w:pStyle w:val="Paragraph"/>
      </w:pPr>
      <w:r w:rsidRPr="00CF791A">
        <w:t xml:space="preserve">Combining different codes and standards for a single aspect of </w:t>
      </w:r>
      <w:r w:rsidR="00A932C8" w:rsidRPr="00CF791A">
        <w:t>a</w:t>
      </w:r>
      <w:r w:rsidRPr="00CF791A">
        <w:t xml:space="preserve"> </w:t>
      </w:r>
      <w:r w:rsidR="00343A17">
        <w:t>safety measure</w:t>
      </w:r>
      <w:r w:rsidR="00343A17" w:rsidRPr="00CF791A">
        <w:t xml:space="preserve"> </w:t>
      </w:r>
      <w:r w:rsidRPr="00CF791A">
        <w:t xml:space="preserve">should be avoided. If this is not </w:t>
      </w:r>
      <w:r w:rsidR="00D26E8B" w:rsidRPr="00CF791A">
        <w:t>the case</w:t>
      </w:r>
      <w:r w:rsidRPr="00CF791A">
        <w:t>, dutyholders should justify the combination and demonstrate their compatibility. If no established codes or standards exist, dutyholders should use an approach derived from similar equipment with comparable safety significance.</w:t>
      </w:r>
    </w:p>
    <w:p w14:paraId="72621DC9" w14:textId="77777777" w:rsidR="00E243D0" w:rsidRDefault="00E243D0" w:rsidP="00E243D0">
      <w:pPr>
        <w:pStyle w:val="Paragraph"/>
      </w:pPr>
      <w:r w:rsidRPr="00CF791A">
        <w:t>In the absence of applicable codes and standards, the results of experience, tests, or analysis should be applied to demonstrate that the safety measure will perform its safety function(s) to a level commensurate with its classification.</w:t>
      </w:r>
    </w:p>
    <w:p w14:paraId="757C1298" w14:textId="5B1BBA5E" w:rsidR="002564F2" w:rsidRPr="00CF791A" w:rsidRDefault="002564F2" w:rsidP="002564F2">
      <w:pPr>
        <w:pStyle w:val="Paragraph"/>
      </w:pPr>
      <w:r w:rsidRPr="00CF791A">
        <w:t>Any limitations, areas of incompatibility, ambiguity, or uncertainty should be identified, and the approach to resolving these issues should be justified, including the use of expert judgement where necessary.</w:t>
      </w:r>
    </w:p>
    <w:p w14:paraId="391D914B" w14:textId="3B7C6150" w:rsidR="00E243D0" w:rsidRPr="0032544A" w:rsidRDefault="00E243D0" w:rsidP="009B7D05">
      <w:pPr>
        <w:pStyle w:val="SAPHeading"/>
      </w:pPr>
      <w:r w:rsidRPr="0032544A">
        <w:t>ECS.</w:t>
      </w:r>
      <w:r w:rsidR="009E00F3" w:rsidRPr="0032544A">
        <w:t>8</w:t>
      </w:r>
      <w:r w:rsidRPr="0032544A">
        <w:t xml:space="preserve"> </w:t>
      </w:r>
      <w:r w:rsidR="00CB7BCD" w:rsidRPr="0032544A">
        <w:t xml:space="preserve">– </w:t>
      </w:r>
      <w:r w:rsidRPr="0032544A">
        <w:rPr>
          <w:rStyle w:val="SAPHeadingChar"/>
          <w:b/>
          <w:shd w:val="clear" w:color="auto" w:fill="auto"/>
        </w:rPr>
        <w:t xml:space="preserve">Substantiation of </w:t>
      </w:r>
      <w:r w:rsidR="009525AE" w:rsidRPr="0032544A">
        <w:rPr>
          <w:rStyle w:val="SAPHeadingChar"/>
          <w:b/>
          <w:shd w:val="clear" w:color="auto" w:fill="auto"/>
        </w:rPr>
        <w:t>safety measures</w:t>
      </w:r>
    </w:p>
    <w:p w14:paraId="50B3E78D" w14:textId="3BB091E8" w:rsidR="00213F6D" w:rsidRPr="00AA159A" w:rsidRDefault="00213F6D" w:rsidP="006C4609">
      <w:pPr>
        <w:pStyle w:val="SAPBodyText"/>
      </w:pPr>
      <w:r w:rsidRPr="00AA159A">
        <w:t>Safety measures should be substantiated to deliver their safety functions with the required level of performance, availability and reliability</w:t>
      </w:r>
    </w:p>
    <w:p w14:paraId="62AF03F4" w14:textId="77777777" w:rsidR="00E243D0" w:rsidRPr="00CF791A" w:rsidRDefault="00E243D0" w:rsidP="00E243D0">
      <w:pPr>
        <w:pStyle w:val="Paragraph"/>
      </w:pPr>
      <w:r w:rsidRPr="00CF791A">
        <w:t>Safety measures should be substantiated through a structured, traceable process. This process should align with the safety case and include both qualitative and quantitative evidence, such as calculations, modelling outputs, and independent reviews as appropriate.</w:t>
      </w:r>
    </w:p>
    <w:p w14:paraId="6F37988E" w14:textId="77777777" w:rsidR="00E243D0" w:rsidRPr="00CF791A" w:rsidRDefault="00E243D0" w:rsidP="00E243D0">
      <w:pPr>
        <w:pStyle w:val="Paragraph"/>
      </w:pPr>
      <w:r w:rsidRPr="00CF791A">
        <w:t xml:space="preserve">The level of evaluation should reflect the safety classification of the safety measures, verifying inputs, validating analysis methods, and confirming that acceptance criteria are met. </w:t>
      </w:r>
    </w:p>
    <w:p w14:paraId="42E47586" w14:textId="2BDBDD71" w:rsidR="00E243D0" w:rsidRPr="00AA159A" w:rsidRDefault="00E243D0" w:rsidP="009B7D05">
      <w:pPr>
        <w:pStyle w:val="SAPHeading"/>
        <w:rPr>
          <w:lang w:bidi="ar-SA"/>
        </w:rPr>
      </w:pPr>
      <w:r w:rsidRPr="00AA159A">
        <w:rPr>
          <w:lang w:bidi="ar-SA"/>
        </w:rPr>
        <w:t>E</w:t>
      </w:r>
      <w:r w:rsidR="009E00F3" w:rsidRPr="00AA159A">
        <w:rPr>
          <w:lang w:bidi="ar-SA"/>
        </w:rPr>
        <w:t>CS</w:t>
      </w:r>
      <w:r w:rsidRPr="00AA159A">
        <w:rPr>
          <w:lang w:bidi="ar-SA"/>
        </w:rPr>
        <w:t>.</w:t>
      </w:r>
      <w:r w:rsidR="00920F9E" w:rsidRPr="00AA159A">
        <w:rPr>
          <w:lang w:bidi="ar-SA"/>
        </w:rPr>
        <w:t>9</w:t>
      </w:r>
      <w:r w:rsidRPr="00AA159A">
        <w:rPr>
          <w:lang w:bidi="ar-SA"/>
        </w:rPr>
        <w:t xml:space="preserve"> – Qualification of </w:t>
      </w:r>
      <w:r w:rsidR="009525AE" w:rsidRPr="00AA159A">
        <w:rPr>
          <w:lang w:bidi="ar-SA"/>
        </w:rPr>
        <w:t>safety measures</w:t>
      </w:r>
    </w:p>
    <w:p w14:paraId="517D6BEC" w14:textId="77777777" w:rsidR="00E243D0" w:rsidRPr="00AA159A" w:rsidRDefault="00E243D0" w:rsidP="006C4609">
      <w:pPr>
        <w:pStyle w:val="SAPBodyText"/>
      </w:pPr>
      <w:r w:rsidRPr="00AA159A">
        <w:t>A qualification programme should be applied to confirm that safety measures will perform their allocated safety function(s) in all normal operational, fault and accident conditions throughout operational life.</w:t>
      </w:r>
    </w:p>
    <w:p w14:paraId="53A21932" w14:textId="77777777" w:rsidR="00E243D0" w:rsidRPr="00CF791A" w:rsidRDefault="00E243D0" w:rsidP="00E243D0">
      <w:pPr>
        <w:pStyle w:val="Paragraph"/>
      </w:pPr>
      <w:r w:rsidRPr="00CF791A">
        <w:t>The qualification programme should provide a level of confidence commensurate with the safety classification of the safety measure. The qualification procedures should address all relevant operational, environmental, fault and accident conditions.</w:t>
      </w:r>
    </w:p>
    <w:p w14:paraId="0CAD728D" w14:textId="77777777" w:rsidR="00E243D0" w:rsidRPr="00CF791A" w:rsidRDefault="00E243D0" w:rsidP="00E243D0">
      <w:pPr>
        <w:pStyle w:val="Paragraph"/>
      </w:pPr>
      <w:r w:rsidRPr="00CF791A">
        <w:lastRenderedPageBreak/>
        <w:t>Where practical, the procedures should include a physical demonstration that the safety measure can perform their safety function(s) under the conditions, and within the time, substantiated in the facility's safety case.</w:t>
      </w:r>
    </w:p>
    <w:p w14:paraId="75104776" w14:textId="48646895" w:rsidR="00E243D0" w:rsidRPr="00CF791A" w:rsidRDefault="00E243D0" w:rsidP="00E243D0">
      <w:pPr>
        <w:pStyle w:val="Paragraph"/>
      </w:pPr>
      <w:r w:rsidRPr="00CF791A">
        <w:t xml:space="preserve">The procedures should ensure that adequate arrangements exist for the recording </w:t>
      </w:r>
      <w:r w:rsidR="007A50AA">
        <w:t>(refer to</w:t>
      </w:r>
      <w:r w:rsidR="00A37E96">
        <w:t xml:space="preserve"> MS.3</w:t>
      </w:r>
      <w:r w:rsidR="00A37E96" w:rsidRPr="00CF791A">
        <w:t xml:space="preserve">) </w:t>
      </w:r>
      <w:r w:rsidRPr="00CF791A">
        <w:t>and retrieval of operating experience, lifetime data to demonstrate that any assumptions made in the safety case remain valid throughout operational life.</w:t>
      </w:r>
    </w:p>
    <w:p w14:paraId="73C22A6A" w14:textId="77777777" w:rsidR="0017276A" w:rsidRPr="00CF791A" w:rsidRDefault="0017276A">
      <w:pPr>
        <w:spacing w:after="0" w:line="240" w:lineRule="auto"/>
        <w:rPr>
          <w:color w:val="22413A"/>
          <w:sz w:val="48"/>
        </w:rPr>
      </w:pPr>
      <w:r w:rsidRPr="00CF791A">
        <w:br w:type="page"/>
      </w:r>
    </w:p>
    <w:p w14:paraId="7BE77A03" w14:textId="3910D003" w:rsidR="00BA0C6D" w:rsidRPr="00AA159A" w:rsidRDefault="0009332B" w:rsidP="005364DE">
      <w:pPr>
        <w:pStyle w:val="Heading1"/>
      </w:pPr>
      <w:bookmarkStart w:id="153" w:name="_Toc235711326"/>
      <w:r w:rsidRPr="00AA159A">
        <w:lastRenderedPageBreak/>
        <w:t xml:space="preserve">Engineering </w:t>
      </w:r>
      <w:r w:rsidR="00514676" w:rsidRPr="00AA159A">
        <w:t>and d</w:t>
      </w:r>
      <w:r w:rsidR="00BA0C6D" w:rsidRPr="00AA159A">
        <w:t>esign</w:t>
      </w:r>
      <w:bookmarkEnd w:id="153"/>
    </w:p>
    <w:p w14:paraId="0C927B92" w14:textId="55CC454D" w:rsidR="00E243D0" w:rsidRPr="009B7D05" w:rsidRDefault="000E715A" w:rsidP="009B7D05">
      <w:pPr>
        <w:pStyle w:val="Heading2"/>
      </w:pPr>
      <w:r w:rsidRPr="009B7D05">
        <w:t>Engineer</w:t>
      </w:r>
      <w:r w:rsidR="00922CF5" w:rsidRPr="009B7D05">
        <w:t>ing</w:t>
      </w:r>
      <w:r w:rsidRPr="009B7D05">
        <w:t xml:space="preserve"> d</w:t>
      </w:r>
      <w:r w:rsidR="00944CA4" w:rsidRPr="009B7D05">
        <w:t xml:space="preserve">esign for safety </w:t>
      </w:r>
      <w:r w:rsidR="00E243D0" w:rsidRPr="009B7D05">
        <w:tab/>
      </w:r>
    </w:p>
    <w:p w14:paraId="769B8CA2" w14:textId="565BF437" w:rsidR="000C0F40" w:rsidRPr="00CF791A" w:rsidRDefault="00E243D0" w:rsidP="000C0F40">
      <w:pPr>
        <w:pStyle w:val="Paragraph"/>
      </w:pPr>
      <w:r w:rsidRPr="00CF791A">
        <w:t xml:space="preserve">Engineered structures, systems and components need to be designed to deliver their safety functions with required reliability to provide confidence in the design. </w:t>
      </w:r>
    </w:p>
    <w:p w14:paraId="486F2022" w14:textId="77777777" w:rsidR="000C0F40" w:rsidRPr="00CF791A" w:rsidRDefault="000C0F40" w:rsidP="000C0F40">
      <w:pPr>
        <w:pStyle w:val="Paragraph"/>
      </w:pPr>
      <w:r w:rsidRPr="00CF791A">
        <w:t>These SAPs further consider expectations for safety systems which are provided to detect potentially dangerous plant failures or conditions and to implement appropriate safety actions, i.e. they are systems that respond to a fault to prevent or mitigate a radiological consequence.</w:t>
      </w:r>
    </w:p>
    <w:p w14:paraId="6A3086CD" w14:textId="4F0D016E" w:rsidR="000C0F40" w:rsidRPr="00CF791A" w:rsidRDefault="000C0F40" w:rsidP="000C0F40">
      <w:pPr>
        <w:pStyle w:val="Paragraph"/>
      </w:pPr>
      <w:r w:rsidRPr="00CF791A">
        <w:t xml:space="preserve">The importance of an SSC should be identified through categorisation of the safety functions that it delivers and its subsequent classification </w:t>
      </w:r>
      <w:r w:rsidR="007A50AA">
        <w:t>(refer to</w:t>
      </w:r>
      <w:r w:rsidRPr="00CF791A">
        <w:t xml:space="preserve"> ECS.1</w:t>
      </w:r>
      <w:r w:rsidR="00580D31" w:rsidRPr="00CF791A">
        <w:t>-4</w:t>
      </w:r>
      <w:r w:rsidRPr="00CF791A">
        <w:t xml:space="preserve">). </w:t>
      </w:r>
      <w:r w:rsidR="00027896">
        <w:br/>
      </w:r>
      <w:r w:rsidRPr="00CF791A">
        <w:t>These principles should be applied proportionately to the classification of the SSC.</w:t>
      </w:r>
    </w:p>
    <w:p w14:paraId="62B04721" w14:textId="466575DD" w:rsidR="000C0F40" w:rsidRPr="00CF791A" w:rsidRDefault="000C0F40" w:rsidP="000C0F40">
      <w:pPr>
        <w:pStyle w:val="Paragraph"/>
      </w:pPr>
      <w:r w:rsidRPr="00CF791A">
        <w:t xml:space="preserve">The principles in this section apply to both active and passive safety systems. However, in the case of passive safety systems, not all of the principles may </w:t>
      </w:r>
      <w:r w:rsidR="0000607E" w:rsidRPr="00CF791A">
        <w:t>apply,</w:t>
      </w:r>
      <w:r w:rsidRPr="00CF791A">
        <w:t xml:space="preserve"> or their application may be more restricted because of the inherent features of such systems.</w:t>
      </w:r>
    </w:p>
    <w:p w14:paraId="1FA5A2F8" w14:textId="50D8F9C4" w:rsidR="000C0F40" w:rsidRPr="00AA159A" w:rsidRDefault="000C0F40" w:rsidP="009B7D05">
      <w:pPr>
        <w:pStyle w:val="SAPHeading"/>
      </w:pPr>
      <w:r w:rsidRPr="00AA159A">
        <w:t>E</w:t>
      </w:r>
      <w:r w:rsidR="00BE08B6" w:rsidRPr="00AA159A">
        <w:t>DS</w:t>
      </w:r>
      <w:r w:rsidRPr="00AA159A">
        <w:t xml:space="preserve">.1 – Claimed </w:t>
      </w:r>
      <w:r w:rsidR="00F51C4D" w:rsidRPr="00AA159A">
        <w:t>r</w:t>
      </w:r>
      <w:r w:rsidRPr="00AA159A">
        <w:t>eliability</w:t>
      </w:r>
    </w:p>
    <w:p w14:paraId="3069BFBD" w14:textId="77777777" w:rsidR="000C0F40" w:rsidRPr="00AA159A" w:rsidRDefault="000C0F40" w:rsidP="006C4609">
      <w:pPr>
        <w:pStyle w:val="SAPBodyText"/>
      </w:pPr>
      <w:r w:rsidRPr="00AA159A">
        <w:t>The reliability claimed for any SSC should consider its novelty, operating experience relevant to its proposed environment, and any uncertainties affecting its performance.</w:t>
      </w:r>
    </w:p>
    <w:p w14:paraId="63ED7F9D" w14:textId="3F640595" w:rsidR="000C0F40" w:rsidRPr="00CF791A" w:rsidRDefault="000C0F40" w:rsidP="000C0F40">
      <w:pPr>
        <w:pStyle w:val="Paragraph"/>
      </w:pPr>
      <w:r w:rsidRPr="00CF791A">
        <w:t xml:space="preserve">Adequate reliability and availability should be demonstrated by suitable analysis and data. Assumptions made in the course of this analysis should be justified. </w:t>
      </w:r>
      <w:r w:rsidR="00027896">
        <w:br/>
      </w:r>
      <w:r w:rsidRPr="00CF791A">
        <w:t xml:space="preserve">Where there is doubt in the applicability or </w:t>
      </w:r>
      <w:r w:rsidR="000D7B79">
        <w:t>suitability</w:t>
      </w:r>
      <w:r w:rsidR="000D7B79" w:rsidRPr="00CF791A">
        <w:t xml:space="preserve"> </w:t>
      </w:r>
      <w:r w:rsidRPr="00CF791A">
        <w:t>of data, the demonstration should be based on an examination of the relevant evidence and its limitations, documented in the safety case.</w:t>
      </w:r>
    </w:p>
    <w:p w14:paraId="29458E97" w14:textId="32645E22" w:rsidR="000C0F40" w:rsidRPr="00AA159A" w:rsidRDefault="000C0F40" w:rsidP="009B7D05">
      <w:pPr>
        <w:pStyle w:val="SAPHeading"/>
      </w:pPr>
      <w:r w:rsidRPr="00AA159A">
        <w:t>ED</w:t>
      </w:r>
      <w:r w:rsidR="00BE08B6" w:rsidRPr="00AA159A">
        <w:t>S</w:t>
      </w:r>
      <w:r w:rsidRPr="00AA159A">
        <w:t>.</w:t>
      </w:r>
      <w:r w:rsidR="00BE08B6" w:rsidRPr="00AA159A">
        <w:t>2</w:t>
      </w:r>
      <w:r w:rsidRPr="00AA159A">
        <w:t xml:space="preserve"> – Failure to safety</w:t>
      </w:r>
    </w:p>
    <w:p w14:paraId="6C7C078D" w14:textId="62AE225C" w:rsidR="000C0F40" w:rsidRPr="00AA159A" w:rsidRDefault="00A6206E" w:rsidP="006C4609">
      <w:pPr>
        <w:pStyle w:val="SAPBodyText"/>
      </w:pPr>
      <w:r>
        <w:t>SSCs</w:t>
      </w:r>
      <w:r w:rsidR="000C0F40" w:rsidRPr="00AA159A">
        <w:t xml:space="preserve"> should be designed to be inherently safe, or to fail in a safe manner.</w:t>
      </w:r>
    </w:p>
    <w:p w14:paraId="6D3A9E1C" w14:textId="77777777" w:rsidR="000C0F40" w:rsidRPr="00CF791A" w:rsidRDefault="000C0F40" w:rsidP="000C0F40">
      <w:pPr>
        <w:pStyle w:val="Paragraph"/>
      </w:pPr>
      <w:r w:rsidRPr="00CF791A">
        <w:t>To fail in a safe manner, or “fail-safe”, is a design principle where systems default to a safe state in the event of their failure. Where systems cannot be designed to fail-safe, safety analysis should analyse any potential unsafe failure modes.</w:t>
      </w:r>
    </w:p>
    <w:p w14:paraId="47597583" w14:textId="58B93A65" w:rsidR="00160AEE" w:rsidRPr="00AA159A" w:rsidRDefault="00160AEE" w:rsidP="009B7D05">
      <w:pPr>
        <w:pStyle w:val="SAPHeading"/>
      </w:pPr>
      <w:r w:rsidRPr="00AA159A">
        <w:t>EDS.3 – Complexity</w:t>
      </w:r>
      <w:r w:rsidR="00FE618B" w:rsidRPr="00AA159A">
        <w:t xml:space="preserve"> in design</w:t>
      </w:r>
    </w:p>
    <w:p w14:paraId="4DFDEB58" w14:textId="5A14C1FE" w:rsidR="00160AEE" w:rsidRPr="00AA159A" w:rsidRDefault="00047D9D" w:rsidP="006C4609">
      <w:pPr>
        <w:pStyle w:val="SAPBodyText"/>
      </w:pPr>
      <w:r w:rsidRPr="00AA159A">
        <w:t xml:space="preserve">The design of </w:t>
      </w:r>
      <w:r w:rsidR="00A16E1F" w:rsidRPr="00AA159A">
        <w:t xml:space="preserve">safety </w:t>
      </w:r>
      <w:r w:rsidRPr="00AA159A">
        <w:t>systems should avoid complexity and incorporate means of revealing internal faults at the time of their occurrence.</w:t>
      </w:r>
    </w:p>
    <w:p w14:paraId="62041B8B" w14:textId="44DB7722" w:rsidR="009F5FBA" w:rsidRPr="00CF791A" w:rsidRDefault="00446526" w:rsidP="00A90CF9">
      <w:pPr>
        <w:pStyle w:val="Paragraph"/>
      </w:pPr>
      <w:r w:rsidRPr="00CF791A">
        <w:t xml:space="preserve">Where this cannot be achieved, </w:t>
      </w:r>
      <w:r w:rsidR="002C2F6C" w:rsidRPr="00CF791A">
        <w:t>for example,</w:t>
      </w:r>
      <w:r w:rsidRPr="00CF791A">
        <w:t xml:space="preserve"> because of the use of complex hardware, the reliability of the safety system should be demonstrated. </w:t>
      </w:r>
    </w:p>
    <w:p w14:paraId="7CD09BF8" w14:textId="653A92AC" w:rsidR="000C0F40" w:rsidRPr="00AA159A" w:rsidRDefault="000C0F40" w:rsidP="009B7D05">
      <w:pPr>
        <w:pStyle w:val="SAPHeading"/>
      </w:pPr>
      <w:r w:rsidRPr="00AA159A">
        <w:lastRenderedPageBreak/>
        <w:t>ED</w:t>
      </w:r>
      <w:r w:rsidR="0088015C" w:rsidRPr="00AA159A">
        <w:t>S</w:t>
      </w:r>
      <w:r w:rsidRPr="00AA159A">
        <w:t>.</w:t>
      </w:r>
      <w:r w:rsidR="005030F6" w:rsidRPr="00AA159A">
        <w:t>4</w:t>
      </w:r>
      <w:r w:rsidRPr="00AA159A">
        <w:t xml:space="preserve"> – Redundancy, diversity and segregation</w:t>
      </w:r>
    </w:p>
    <w:p w14:paraId="69FC6669" w14:textId="1319B4E4" w:rsidR="000C0F40" w:rsidRPr="00AA159A" w:rsidRDefault="000C0F40" w:rsidP="006C4609">
      <w:pPr>
        <w:pStyle w:val="SAPBodyText"/>
      </w:pPr>
      <w:r w:rsidRPr="00AA159A">
        <w:t xml:space="preserve">Redundancy, diversity, and segregation should be incorporated as appropriate within the designs of </w:t>
      </w:r>
      <w:r w:rsidR="00E72BD1" w:rsidRPr="00AA159A">
        <w:t>SSCs</w:t>
      </w:r>
      <w:r w:rsidRPr="00AA159A">
        <w:t>.</w:t>
      </w:r>
    </w:p>
    <w:p w14:paraId="12F1CAF3" w14:textId="0BBF86F1" w:rsidR="000C0F40" w:rsidRPr="00CF791A" w:rsidRDefault="000C0F40" w:rsidP="000C0F40">
      <w:pPr>
        <w:pStyle w:val="Paragraph"/>
      </w:pPr>
      <w:r w:rsidRPr="00CF791A">
        <w:t>The design should incorporate redundancy as appropriate to ensure tolerance of failures within the SSCs provided to secure each safety function. The design should also incorporate diversity and segregation to address the effects of common cause failure. Dutyholders should demonstrate that adequate redundancy, diversity and segregation is incorporated in the design to achieve required levels of reliability.</w:t>
      </w:r>
    </w:p>
    <w:p w14:paraId="610388F8" w14:textId="5A2F93CF" w:rsidR="000C0F40" w:rsidRPr="00AA159A" w:rsidRDefault="000C0F40" w:rsidP="009B7D05">
      <w:pPr>
        <w:pStyle w:val="SAPHeading"/>
      </w:pPr>
      <w:r w:rsidRPr="00AA159A">
        <w:t>ED</w:t>
      </w:r>
      <w:r w:rsidR="0088015C" w:rsidRPr="00AA159A">
        <w:t>S</w:t>
      </w:r>
      <w:r w:rsidRPr="00AA159A">
        <w:t>.</w:t>
      </w:r>
      <w:r w:rsidR="005030F6" w:rsidRPr="00AA159A">
        <w:t>5</w:t>
      </w:r>
      <w:r w:rsidRPr="00AA159A">
        <w:t xml:space="preserve"> – Common cause failure</w:t>
      </w:r>
    </w:p>
    <w:p w14:paraId="5FAA70E0" w14:textId="77777777" w:rsidR="000C0F40" w:rsidRPr="00AA159A" w:rsidRDefault="000C0F40" w:rsidP="006C4609">
      <w:pPr>
        <w:pStyle w:val="SAPBodyText"/>
      </w:pPr>
      <w:r w:rsidRPr="00AA159A">
        <w:t>Common cause failure (CCF) should be considered, particularly for SSCs that employ redundancy to provide high reliability.</w:t>
      </w:r>
    </w:p>
    <w:p w14:paraId="28B938F6" w14:textId="4788523A" w:rsidR="000C0F40" w:rsidRPr="00CF791A" w:rsidRDefault="000C0F40" w:rsidP="000C0F40">
      <w:pPr>
        <w:pStyle w:val="Paragraph"/>
      </w:pPr>
      <w:r w:rsidRPr="00CF791A">
        <w:t>Redundancy is effective against</w:t>
      </w:r>
      <w:r w:rsidRPr="00CF791A" w:rsidDel="00060F58">
        <w:t xml:space="preserve"> </w:t>
      </w:r>
      <w:r w:rsidRPr="00CF791A">
        <w:t xml:space="preserve">independent failures; it cannot, however, protect against systematic failures such as design errors, software errors, manufacturing errors, maintenance induced errors, or </w:t>
      </w:r>
      <w:r w:rsidR="0000607E" w:rsidRPr="00CF791A">
        <w:t>large-scale</w:t>
      </w:r>
      <w:r w:rsidRPr="00CF791A">
        <w:t xml:space="preserve"> fire or flooding that can simultaneously affect redundancy, either within systems employing redundancy or across multiple SSCs. As a result, the overall reliability is limited by the possibility of a CCF, not by the number of redundant trains, and claims of high reliability are only credible if measures such as diversity (in design, implementation, operation) and segregation are in place. Demonstration of sufficient diversity, segregation, and CCF mitigation should include a holistic, systematic design approach.</w:t>
      </w:r>
    </w:p>
    <w:p w14:paraId="64CB0B4F" w14:textId="77777777" w:rsidR="000C0F40" w:rsidRPr="00CF791A" w:rsidRDefault="000C0F40" w:rsidP="000C0F40">
      <w:pPr>
        <w:pStyle w:val="Paragraph"/>
      </w:pPr>
      <w:r w:rsidRPr="00CF791A">
        <w:t>Where required reliabilities cannot be achieved due to CCF considerations, additional independent safety measures should be provided to improve the reliability of safety function delivery, using the concepts of diversity and segregation.</w:t>
      </w:r>
    </w:p>
    <w:p w14:paraId="5C7DBCA6" w14:textId="22BFE13F" w:rsidR="000C0F40" w:rsidRPr="00AA159A" w:rsidRDefault="000C0F40" w:rsidP="009B7D05">
      <w:pPr>
        <w:pStyle w:val="SAPHeading"/>
      </w:pPr>
      <w:r w:rsidRPr="00AA159A">
        <w:t>ED</w:t>
      </w:r>
      <w:r w:rsidR="00B84AE1" w:rsidRPr="00AA159A">
        <w:t>S</w:t>
      </w:r>
      <w:r w:rsidRPr="00AA159A">
        <w:t>.</w:t>
      </w:r>
      <w:r w:rsidR="005030F6" w:rsidRPr="00AA159A">
        <w:t>6</w:t>
      </w:r>
      <w:r w:rsidRPr="00AA159A">
        <w:t xml:space="preserve"> – Single failure tolerance</w:t>
      </w:r>
    </w:p>
    <w:p w14:paraId="5EBB1C2C" w14:textId="77777777" w:rsidR="000C0F40" w:rsidRPr="00AA159A" w:rsidRDefault="000C0F40" w:rsidP="006C4609">
      <w:pPr>
        <w:pStyle w:val="SAPBodyText"/>
      </w:pPr>
      <w:r w:rsidRPr="00AA159A">
        <w:t>A system that is the principal means of fulfilling a high category safety function should be designed to be single failure tolerant.</w:t>
      </w:r>
    </w:p>
    <w:p w14:paraId="4B34A517" w14:textId="3CB70DDD" w:rsidR="000C0F40" w:rsidRPr="00CF791A" w:rsidRDefault="000C0F40" w:rsidP="000C0F40">
      <w:pPr>
        <w:pStyle w:val="Paragraph"/>
      </w:pPr>
      <w:r w:rsidRPr="00CF791A">
        <w:t xml:space="preserve">Single failure tolerance means that no single random failure assumed to occur anywhere within the system (including support services) should prevent it from delivering its safety function under any permitted plant configuration. Single failure tolerance should typically be demonstrated for SSCs that have the highest safety significance (for example, a Class 1 system in the example classification scheme </w:t>
      </w:r>
      <w:r w:rsidR="007A50AA">
        <w:t>(refer to</w:t>
      </w:r>
      <w:r w:rsidR="00C4241D" w:rsidRPr="00CF791A">
        <w:t xml:space="preserve"> </w:t>
      </w:r>
      <w:r w:rsidRPr="00CF791A">
        <w:t>ECS.</w:t>
      </w:r>
      <w:r w:rsidR="005C025F" w:rsidRPr="00CF791A">
        <w:t>4</w:t>
      </w:r>
      <w:r w:rsidRPr="00CF791A">
        <w:t>)</w:t>
      </w:r>
      <w:r w:rsidR="00F33ADD">
        <w:t>)</w:t>
      </w:r>
      <w:r w:rsidRPr="00CF791A">
        <w:t>. Where such tolerance is not reasonably practicable</w:t>
      </w:r>
      <w:r w:rsidRPr="00CF791A">
        <w:rPr>
          <w:rFonts w:ascii="Segoe UI" w:hAnsi="Segoe UI" w:cs="Segoe UI"/>
          <w:bCs w:val="0"/>
          <w:sz w:val="18"/>
          <w:szCs w:val="18"/>
        </w:rPr>
        <w:t xml:space="preserve"> </w:t>
      </w:r>
      <w:r w:rsidRPr="00CF791A">
        <w:t>this should be justified in the safety case. Lower significance SSCs do not necessarily need to be single failure tolerant.</w:t>
      </w:r>
    </w:p>
    <w:p w14:paraId="407C446F" w14:textId="77777777" w:rsidR="00027896" w:rsidRDefault="00027896" w:rsidP="009B7D05">
      <w:pPr>
        <w:pStyle w:val="SAPHeading"/>
        <w:sectPr w:rsidR="00027896" w:rsidSect="00E243D0">
          <w:pgSz w:w="11906" w:h="16838" w:code="9"/>
          <w:pgMar w:top="1440" w:right="1440" w:bottom="1440" w:left="1440" w:header="397" w:footer="397" w:gutter="0"/>
          <w:cols w:space="312"/>
          <w:docGrid w:linePitch="360"/>
        </w:sectPr>
      </w:pPr>
    </w:p>
    <w:p w14:paraId="3DAE4CC8" w14:textId="2307CD1E" w:rsidR="000C0F40" w:rsidRPr="00AA159A" w:rsidRDefault="000C0F40" w:rsidP="009B7D05">
      <w:pPr>
        <w:pStyle w:val="SAPHeading"/>
      </w:pPr>
      <w:r w:rsidRPr="00AA159A">
        <w:lastRenderedPageBreak/>
        <w:t>E</w:t>
      </w:r>
      <w:r w:rsidR="00B84AE1" w:rsidRPr="00AA159A">
        <w:t>DS</w:t>
      </w:r>
      <w:r w:rsidRPr="00AA159A">
        <w:t>.</w:t>
      </w:r>
      <w:r w:rsidR="005030F6" w:rsidRPr="00AA159A">
        <w:t>7</w:t>
      </w:r>
      <w:r w:rsidRPr="00AA159A">
        <w:t xml:space="preserve"> – Allowance of unavailability of equipment</w:t>
      </w:r>
    </w:p>
    <w:p w14:paraId="62C45DEF" w14:textId="77777777" w:rsidR="000C0F40" w:rsidRPr="00AA159A" w:rsidRDefault="000C0F40" w:rsidP="006C4609">
      <w:pPr>
        <w:pStyle w:val="SAPBodyText"/>
      </w:pPr>
      <w:r w:rsidRPr="00AA159A">
        <w:t>The design of systems should allow for the potential unavailability of equipment.</w:t>
      </w:r>
    </w:p>
    <w:p w14:paraId="22548C64" w14:textId="77777777" w:rsidR="000C0F40" w:rsidRPr="00CF791A" w:rsidRDefault="000C0F40" w:rsidP="000C0F40">
      <w:pPr>
        <w:pStyle w:val="Paragraph"/>
      </w:pPr>
      <w:r w:rsidRPr="00CF791A">
        <w:t>Systems should incorporate sufficient design attributes to allow for planned unavailability due to, for example, maintenance, testing or calibration of equipment, without diminishing the overall level of safety.</w:t>
      </w:r>
    </w:p>
    <w:p w14:paraId="209AA7C1" w14:textId="52009D9F" w:rsidR="000C0F40" w:rsidRPr="00CF791A" w:rsidRDefault="000C0F40" w:rsidP="000C0F40">
      <w:pPr>
        <w:pStyle w:val="Paragraph"/>
      </w:pPr>
      <w:r w:rsidRPr="00CF791A">
        <w:t xml:space="preserve">The safety case should identify the permitted combinations of equipment unavailability for each permitted operating state, applying design basis analysis and probabilistic safety analysis and identify appropriate operating rules </w:t>
      </w:r>
      <w:r w:rsidR="007A50AA">
        <w:t>(refer to</w:t>
      </w:r>
      <w:r w:rsidR="005E6855" w:rsidRPr="00CF791A">
        <w:t xml:space="preserve"> SC.6</w:t>
      </w:r>
      <w:r w:rsidRPr="00CF791A">
        <w:t xml:space="preserve">). </w:t>
      </w:r>
    </w:p>
    <w:p w14:paraId="68225F44" w14:textId="167A8165" w:rsidR="000C0F40" w:rsidRPr="00AA159A" w:rsidRDefault="000C0F40" w:rsidP="009B7D05">
      <w:pPr>
        <w:pStyle w:val="SAPHeading"/>
      </w:pPr>
      <w:r w:rsidRPr="00AA159A">
        <w:t>E</w:t>
      </w:r>
      <w:r w:rsidR="009920AE" w:rsidRPr="00AA159A">
        <w:t>D</w:t>
      </w:r>
      <w:r w:rsidRPr="00AA159A">
        <w:t>S.</w:t>
      </w:r>
      <w:r w:rsidR="005030F6" w:rsidRPr="00AA159A">
        <w:t>8</w:t>
      </w:r>
      <w:r w:rsidRPr="00AA159A">
        <w:t xml:space="preserve"> – </w:t>
      </w:r>
      <w:r w:rsidR="00BF1F0F">
        <w:t>Control and m</w:t>
      </w:r>
      <w:r w:rsidRPr="00AA159A">
        <w:t>onitoring of plant safety</w:t>
      </w:r>
    </w:p>
    <w:p w14:paraId="09ADB0D6" w14:textId="70489D49" w:rsidR="000C0F40" w:rsidRPr="00AA159A" w:rsidRDefault="000C0F40" w:rsidP="006C4609">
      <w:pPr>
        <w:pStyle w:val="SAPBodyText"/>
      </w:pPr>
      <w:r w:rsidRPr="00AA159A">
        <w:t xml:space="preserve">Adequate provisions should be made to enable monitoring </w:t>
      </w:r>
      <w:r w:rsidR="00632D28">
        <w:t xml:space="preserve">and control </w:t>
      </w:r>
      <w:r w:rsidRPr="00AA159A">
        <w:t xml:space="preserve">of the </w:t>
      </w:r>
      <w:r w:rsidR="00647482">
        <w:t>plant</w:t>
      </w:r>
      <w:r w:rsidR="00647482" w:rsidRPr="00AA159A">
        <w:t xml:space="preserve"> </w:t>
      </w:r>
      <w:r w:rsidRPr="00AA159A">
        <w:t xml:space="preserve">state in relation to safety and to enable the taking of any necessary safety actions during normal operational, fault, </w:t>
      </w:r>
      <w:r w:rsidR="00255298" w:rsidRPr="00875B9F">
        <w:t xml:space="preserve">and </w:t>
      </w:r>
      <w:r w:rsidRPr="00AA159A">
        <w:t>accident conditions.</w:t>
      </w:r>
    </w:p>
    <w:p w14:paraId="1EE7334E" w14:textId="652F6518" w:rsidR="00634415" w:rsidRDefault="004223CB" w:rsidP="00AF2FA6">
      <w:pPr>
        <w:pStyle w:val="Paragraph"/>
      </w:pPr>
      <w:r>
        <w:t>Control and m</w:t>
      </w:r>
      <w:r w:rsidR="000C0F40" w:rsidRPr="00CF791A">
        <w:t xml:space="preserve">onitoring provisions should have an appropriate safety classification based on the safety functions that they deliver or support </w:t>
      </w:r>
      <w:r w:rsidR="007A50AA">
        <w:t>(refer to</w:t>
      </w:r>
      <w:r w:rsidR="00596DB2" w:rsidRPr="00CF791A">
        <w:t xml:space="preserve"> </w:t>
      </w:r>
      <w:r w:rsidR="000C0F40" w:rsidRPr="00CF791A">
        <w:t>ECS.</w:t>
      </w:r>
      <w:r w:rsidR="006F0A04" w:rsidRPr="00CF791A">
        <w:t>4</w:t>
      </w:r>
      <w:r w:rsidR="000C0F40" w:rsidRPr="00CF791A">
        <w:t xml:space="preserve">). </w:t>
      </w:r>
      <w:r w:rsidR="00027896">
        <w:br/>
      </w:r>
      <w:r w:rsidR="000C0F40" w:rsidRPr="00CF791A">
        <w:t xml:space="preserve">Adequate plant </w:t>
      </w:r>
      <w:r w:rsidR="00845FC4">
        <w:t xml:space="preserve">control and </w:t>
      </w:r>
      <w:r w:rsidR="00BB1016" w:rsidRPr="00BB1016">
        <w:t xml:space="preserve">monitoring </w:t>
      </w:r>
      <w:r w:rsidR="000C0F40" w:rsidRPr="00CF791A">
        <w:t>should be provided</w:t>
      </w:r>
      <w:r w:rsidR="00257CD9">
        <w:t xml:space="preserve"> </w:t>
      </w:r>
      <w:r w:rsidR="000C0F40" w:rsidRPr="00AA159A">
        <w:t xml:space="preserve">in an appropriate operating location; and at </w:t>
      </w:r>
      <w:r w:rsidR="00AF2FA6">
        <w:t>s</w:t>
      </w:r>
      <w:r w:rsidR="00AF2FA6" w:rsidRPr="00AF2FA6">
        <w:t xml:space="preserve">upplementary </w:t>
      </w:r>
      <w:r w:rsidR="000C0F40" w:rsidRPr="00AA159A">
        <w:t>locations on the site (preferably a single location for a reactor)</w:t>
      </w:r>
      <w:r w:rsidR="00634415">
        <w:t>.</w:t>
      </w:r>
    </w:p>
    <w:p w14:paraId="317393DD" w14:textId="43DBBC4C" w:rsidR="00634415" w:rsidRDefault="00634415" w:rsidP="00AF2FA6">
      <w:pPr>
        <w:pStyle w:val="Paragraph"/>
      </w:pPr>
      <w:r w:rsidRPr="00634415">
        <w:t xml:space="preserve">Where control rooms and/or panels are needed for safety, including for emergency response, their accessibility and habitability </w:t>
      </w:r>
      <w:r w:rsidR="00FA371C">
        <w:t>should</w:t>
      </w:r>
      <w:r w:rsidRPr="00634415">
        <w:t xml:space="preserve"> be </w:t>
      </w:r>
      <w:r w:rsidR="00FA371C">
        <w:t>considered within the</w:t>
      </w:r>
      <w:r w:rsidRPr="00634415">
        <w:t xml:space="preserve"> design.</w:t>
      </w:r>
    </w:p>
    <w:p w14:paraId="0BC408FB" w14:textId="464EAB05" w:rsidR="000C0F40" w:rsidRPr="00AA159A" w:rsidRDefault="000C0F40" w:rsidP="009B7D05">
      <w:pPr>
        <w:pStyle w:val="SAPHeading"/>
      </w:pPr>
      <w:r w:rsidRPr="00AA159A">
        <w:t>E</w:t>
      </w:r>
      <w:r w:rsidR="00AC421C" w:rsidRPr="00AA159A">
        <w:t>D</w:t>
      </w:r>
      <w:r w:rsidRPr="00AA159A">
        <w:t>S.</w:t>
      </w:r>
      <w:r w:rsidR="005030F6" w:rsidRPr="00AA159A">
        <w:t>9</w:t>
      </w:r>
      <w:r w:rsidRPr="00AA159A">
        <w:t xml:space="preserve"> – Adequacy of initiating variables</w:t>
      </w:r>
    </w:p>
    <w:p w14:paraId="7A992B9E" w14:textId="77777777" w:rsidR="000C0F40" w:rsidRPr="00AA159A" w:rsidRDefault="000C0F40" w:rsidP="006C4609">
      <w:pPr>
        <w:pStyle w:val="SAPBodyText"/>
      </w:pPr>
      <w:r w:rsidRPr="00AA159A">
        <w:t>The variables used to initiate a safety system action should be identified and shown to be suitable and sufficient for the system to achieve its safety function(s).</w:t>
      </w:r>
    </w:p>
    <w:p w14:paraId="612B5391" w14:textId="7992F0F1" w:rsidR="000C0F40" w:rsidRPr="00CF791A" w:rsidRDefault="000C0F40" w:rsidP="000C0F40">
      <w:pPr>
        <w:pStyle w:val="Paragraph"/>
      </w:pPr>
      <w:r w:rsidRPr="00CF791A">
        <w:t xml:space="preserve">The limiting values of these variables, up to which the safety system has been qualified, should be specified in the plant operating rules. The safety system should be designed to respond so that </w:t>
      </w:r>
      <w:r w:rsidR="00C44578">
        <w:t xml:space="preserve">relevant </w:t>
      </w:r>
      <w:r w:rsidRPr="00CF791A">
        <w:t>limit</w:t>
      </w:r>
      <w:r w:rsidR="00432900">
        <w:t>s</w:t>
      </w:r>
      <w:r w:rsidRPr="00CF791A">
        <w:t xml:space="preserve"> are not transgressed in any fault or accident condition.</w:t>
      </w:r>
    </w:p>
    <w:p w14:paraId="5631D597" w14:textId="69C39B4C" w:rsidR="000C0F40" w:rsidRPr="00CF791A" w:rsidRDefault="000C0F40" w:rsidP="000C0F40">
      <w:pPr>
        <w:pStyle w:val="Paragraph"/>
      </w:pPr>
      <w:r w:rsidRPr="00CF791A">
        <w:t>Where it is not possible to use a directly related variable to detect a fault condition, the variable chosen should have a known relationship with the</w:t>
      </w:r>
      <w:r w:rsidR="00301E47" w:rsidRPr="00301E47">
        <w:t xml:space="preserve"> </w:t>
      </w:r>
      <w:r w:rsidR="00301E47" w:rsidRPr="00CF791A">
        <w:t xml:space="preserve">variable </w:t>
      </w:r>
      <w:r w:rsidR="00650B0E">
        <w:t>of concer</w:t>
      </w:r>
      <w:r w:rsidR="00301E47">
        <w:t>n</w:t>
      </w:r>
      <w:r w:rsidRPr="00CF791A">
        <w:t>.</w:t>
      </w:r>
    </w:p>
    <w:p w14:paraId="50DBDB9E" w14:textId="77777777" w:rsidR="000C0F40" w:rsidRPr="00CF791A" w:rsidRDefault="000C0F40" w:rsidP="000C0F40">
      <w:pPr>
        <w:pStyle w:val="Paragraph"/>
      </w:pPr>
      <w:r w:rsidRPr="00CF791A">
        <w:t>Any mechanism that might give rise to the fault condition being misdiagnosed or remaining undetected should be analysed and appropriate corrective measures adopted.</w:t>
      </w:r>
    </w:p>
    <w:p w14:paraId="1D852D78" w14:textId="51E0F5E1" w:rsidR="000C0F40" w:rsidRPr="00AA159A" w:rsidRDefault="000C0F40" w:rsidP="009B7D05">
      <w:pPr>
        <w:pStyle w:val="SAPHeading"/>
      </w:pPr>
      <w:r w:rsidRPr="00AA159A">
        <w:lastRenderedPageBreak/>
        <w:t>E</w:t>
      </w:r>
      <w:r w:rsidR="00AC421C" w:rsidRPr="00AA159A">
        <w:t>D</w:t>
      </w:r>
      <w:r w:rsidRPr="00AA159A">
        <w:t>S.</w:t>
      </w:r>
      <w:r w:rsidR="005030F6" w:rsidRPr="00AA159A">
        <w:t>10</w:t>
      </w:r>
      <w:r w:rsidRPr="00AA159A">
        <w:t xml:space="preserve"> – Diversity in the detection of fault sequences</w:t>
      </w:r>
    </w:p>
    <w:p w14:paraId="192E0BBE" w14:textId="77777777" w:rsidR="000C0F40" w:rsidRPr="00AA159A" w:rsidRDefault="000C0F40" w:rsidP="006C4609">
      <w:pPr>
        <w:pStyle w:val="SAPBodyText"/>
      </w:pPr>
      <w:r w:rsidRPr="00AA159A">
        <w:t>A</w:t>
      </w:r>
      <w:r w:rsidRPr="00AA159A" w:rsidDel="00C47958">
        <w:t xml:space="preserve"> </w:t>
      </w:r>
      <w:r w:rsidRPr="00AA159A">
        <w:t>safety system that is the principal means of fulfilling a high category safety function should employ diversity in their detection of and response to fault conditions, preferably by the use of different variables.</w:t>
      </w:r>
    </w:p>
    <w:p w14:paraId="168545E0" w14:textId="1162236B" w:rsidR="000C0F40" w:rsidRPr="00AA159A" w:rsidRDefault="000C0F40" w:rsidP="009B7D05">
      <w:pPr>
        <w:pStyle w:val="SAPHeading"/>
        <w:rPr>
          <w:lang w:bidi="ar-SA"/>
        </w:rPr>
      </w:pPr>
      <w:r w:rsidRPr="00AA159A">
        <w:rPr>
          <w:lang w:bidi="ar-SA"/>
        </w:rPr>
        <w:t>E</w:t>
      </w:r>
      <w:r w:rsidR="00F123FD" w:rsidRPr="00AA159A">
        <w:rPr>
          <w:lang w:bidi="ar-SA"/>
        </w:rPr>
        <w:t>D</w:t>
      </w:r>
      <w:r w:rsidRPr="00AA159A">
        <w:rPr>
          <w:lang w:bidi="ar-SA"/>
        </w:rPr>
        <w:t>S.</w:t>
      </w:r>
      <w:r w:rsidR="00F123FD" w:rsidRPr="00AA159A">
        <w:rPr>
          <w:lang w:bidi="ar-SA"/>
        </w:rPr>
        <w:t>1</w:t>
      </w:r>
      <w:r w:rsidR="005030F6" w:rsidRPr="00AA159A">
        <w:rPr>
          <w:lang w:bidi="ar-SA"/>
        </w:rPr>
        <w:t>1</w:t>
      </w:r>
      <w:r w:rsidRPr="00AA159A">
        <w:rPr>
          <w:lang w:bidi="ar-SA"/>
        </w:rPr>
        <w:t xml:space="preserve"> – Automatic initiation</w:t>
      </w:r>
    </w:p>
    <w:p w14:paraId="11D671A7" w14:textId="07073664" w:rsidR="000C0F40" w:rsidRPr="00AA159A" w:rsidRDefault="000C0F40" w:rsidP="006C4609">
      <w:pPr>
        <w:pStyle w:val="SAPBodyText"/>
      </w:pPr>
      <w:r w:rsidRPr="00AA159A">
        <w:t xml:space="preserve">For all </w:t>
      </w:r>
      <w:r w:rsidR="0000607E" w:rsidRPr="00AA159A">
        <w:t>fast-acting</w:t>
      </w:r>
      <w:r w:rsidRPr="00AA159A">
        <w:t xml:space="preserve"> faults, safety systems should be initiated automatically and no human intervention should be necessary to deliver the safety function(s).</w:t>
      </w:r>
    </w:p>
    <w:p w14:paraId="6AD2CDE3" w14:textId="77777777" w:rsidR="000C0F40" w:rsidRPr="00CF791A" w:rsidRDefault="000C0F40" w:rsidP="000C0F40">
      <w:pPr>
        <w:pStyle w:val="Paragraph"/>
      </w:pPr>
      <w:r w:rsidRPr="00CF791A">
        <w:t>The requirement for human intervention in short time scales should be minimised. Where human intervention is needed to support a safety system following the start of a requirement for protective action, then the timescales over which the safety system will need to operate unaided, before intervention, should be demonstrated to be sufficient.</w:t>
      </w:r>
    </w:p>
    <w:p w14:paraId="34315C7A" w14:textId="7CF582EE" w:rsidR="000C0F40" w:rsidRPr="00CF791A" w:rsidRDefault="000C0F40" w:rsidP="000C0F40">
      <w:pPr>
        <w:pStyle w:val="Paragraph"/>
      </w:pPr>
      <w:r w:rsidRPr="00CF791A">
        <w:t>In keeping with internationally accepted practice for power reactors, no human intervention should be necessary to deliver a critical safety function</w:t>
      </w:r>
      <w:r w:rsidRPr="00CF791A" w:rsidDel="003660A7">
        <w:t xml:space="preserve"> </w:t>
      </w:r>
      <w:r w:rsidRPr="00CF791A">
        <w:t xml:space="preserve">for approximately 30 minutes from the fault, unless appropriately justified. </w:t>
      </w:r>
    </w:p>
    <w:p w14:paraId="64B57415" w14:textId="4CFB7FE5" w:rsidR="000C0F40" w:rsidRPr="00CF791A" w:rsidRDefault="000C0F40" w:rsidP="000C0F40">
      <w:pPr>
        <w:pStyle w:val="Paragraph"/>
      </w:pPr>
      <w:r w:rsidRPr="00CF791A">
        <w:t>The design should be such that the operators or other facility personnel cannot negate a correct safety system action</w:t>
      </w:r>
      <w:r w:rsidR="00922673">
        <w:t>,</w:t>
      </w:r>
      <w:r w:rsidRPr="00CF791A">
        <w:t xml:space="preserve"> but can initiate safety system functions and perform the necessary actions to deal with circumstances that might prejudice safety. </w:t>
      </w:r>
    </w:p>
    <w:p w14:paraId="20333993" w14:textId="0E51DC2A" w:rsidR="000C0F40" w:rsidRPr="00AA159A" w:rsidRDefault="000C0F40" w:rsidP="009B7D05">
      <w:pPr>
        <w:pStyle w:val="SAPHeading"/>
      </w:pPr>
      <w:r w:rsidRPr="00AA159A">
        <w:t>E</w:t>
      </w:r>
      <w:r w:rsidR="00975E7C" w:rsidRPr="00AA159A">
        <w:t>D</w:t>
      </w:r>
      <w:r w:rsidRPr="00AA159A">
        <w:t>S.</w:t>
      </w:r>
      <w:r w:rsidR="00975E7C" w:rsidRPr="00AA159A">
        <w:t>1</w:t>
      </w:r>
      <w:r w:rsidR="005030F6" w:rsidRPr="00AA159A">
        <w:t>2</w:t>
      </w:r>
      <w:r w:rsidRPr="00AA159A">
        <w:t xml:space="preserve"> – Plant interfaces</w:t>
      </w:r>
    </w:p>
    <w:p w14:paraId="68347E1D" w14:textId="77777777" w:rsidR="000C0F40" w:rsidRPr="00AA159A" w:rsidRDefault="000C0F40" w:rsidP="006C4609">
      <w:pPr>
        <w:pStyle w:val="SAPBodyText"/>
      </w:pPr>
      <w:r w:rsidRPr="00AA159A">
        <w:t>The outputs of the safety system should have a direct, known, timely and unambiguous relationship with plant behaviour to achieve a stable safe state.</w:t>
      </w:r>
    </w:p>
    <w:p w14:paraId="40D703D7" w14:textId="77777777" w:rsidR="000C0F40" w:rsidRPr="00CF791A" w:rsidRDefault="000C0F40" w:rsidP="000C0F40">
      <w:pPr>
        <w:pStyle w:val="Paragraph"/>
      </w:pPr>
      <w:r w:rsidRPr="00CF791A">
        <w:t>Where it is not possible to use a directly related variable to confirm the behaviour of the plant following actuation of a safety system, the variable chosen should have a known relationship with the fault condition.</w:t>
      </w:r>
    </w:p>
    <w:p w14:paraId="13BB18C3" w14:textId="14FEF9C4" w:rsidR="000C0F40" w:rsidRPr="00AA159A" w:rsidRDefault="000C0F40" w:rsidP="009B7D05">
      <w:pPr>
        <w:pStyle w:val="SAPHeading"/>
      </w:pPr>
      <w:r w:rsidRPr="00AA159A">
        <w:t>E</w:t>
      </w:r>
      <w:r w:rsidR="00975E7C" w:rsidRPr="00AA159A">
        <w:t>D</w:t>
      </w:r>
      <w:r w:rsidRPr="00AA159A">
        <w:t>S.1</w:t>
      </w:r>
      <w:r w:rsidR="005030F6" w:rsidRPr="00AA159A">
        <w:t>3</w:t>
      </w:r>
      <w:r w:rsidRPr="00AA159A">
        <w:t xml:space="preserve"> – Confirmation to operating personnel</w:t>
      </w:r>
    </w:p>
    <w:p w14:paraId="39246291" w14:textId="15F24D9C" w:rsidR="000C0F40" w:rsidRPr="00AA159A" w:rsidRDefault="000C0F40" w:rsidP="006C4609">
      <w:pPr>
        <w:pStyle w:val="SAPBodyText"/>
      </w:pPr>
      <w:r w:rsidRPr="00AA159A">
        <w:t>There should be direct means of confirming to operating personnel that a demand for safety system action has arisen</w:t>
      </w:r>
      <w:r w:rsidR="002D023A">
        <w:t xml:space="preserve">, </w:t>
      </w:r>
      <w:r w:rsidRPr="00AA159A">
        <w:t>that the safety systems have operated (actuated) fully and correctly and whether any limiting condition (operating rule) has been exceeded.</w:t>
      </w:r>
    </w:p>
    <w:p w14:paraId="43E62141" w14:textId="14C08163" w:rsidR="000C0F40" w:rsidRPr="00CF791A" w:rsidRDefault="000C0F40" w:rsidP="000C0F40">
      <w:pPr>
        <w:pStyle w:val="Paragraph"/>
      </w:pPr>
      <w:r w:rsidRPr="00CF791A">
        <w:t>Such means should be clear and preferably sourced from the system carrying out the action.</w:t>
      </w:r>
    </w:p>
    <w:p w14:paraId="6E968683" w14:textId="77777777" w:rsidR="000C0F40" w:rsidRPr="00CF791A" w:rsidRDefault="000C0F40" w:rsidP="000C0F40">
      <w:pPr>
        <w:pStyle w:val="Paragraph"/>
      </w:pPr>
      <w:r w:rsidRPr="00CF791A">
        <w:t>Safety system actions and associated alarms should not be self-resetting, irrespective of the subsequent status of the initiating fault.</w:t>
      </w:r>
    </w:p>
    <w:p w14:paraId="1FB34FDF" w14:textId="0B982102" w:rsidR="000C0F40" w:rsidRPr="00AA159A" w:rsidDel="00C941DF" w:rsidRDefault="000C0F40" w:rsidP="009B7D05">
      <w:pPr>
        <w:pStyle w:val="SAPHeading"/>
        <w:rPr>
          <w:lang w:bidi="ar-SA"/>
        </w:rPr>
      </w:pPr>
      <w:r w:rsidRPr="00AA159A" w:rsidDel="00C941DF">
        <w:rPr>
          <w:lang w:bidi="ar-SA"/>
        </w:rPr>
        <w:lastRenderedPageBreak/>
        <w:t>E</w:t>
      </w:r>
      <w:r w:rsidR="0020159A" w:rsidRPr="00AA159A">
        <w:rPr>
          <w:lang w:bidi="ar-SA"/>
        </w:rPr>
        <w:t>D</w:t>
      </w:r>
      <w:r w:rsidRPr="00AA159A" w:rsidDel="00C941DF">
        <w:rPr>
          <w:lang w:bidi="ar-SA"/>
        </w:rPr>
        <w:t>S.1</w:t>
      </w:r>
      <w:r w:rsidR="005030F6" w:rsidRPr="00AA159A">
        <w:rPr>
          <w:lang w:bidi="ar-SA"/>
        </w:rPr>
        <w:t>4</w:t>
      </w:r>
      <w:r w:rsidRPr="00AA159A" w:rsidDel="00C941DF">
        <w:rPr>
          <w:lang w:bidi="ar-SA"/>
        </w:rPr>
        <w:t xml:space="preserve"> – </w:t>
      </w:r>
      <w:r w:rsidR="005B4768">
        <w:rPr>
          <w:lang w:bidi="ar-SA"/>
        </w:rPr>
        <w:t>D</w:t>
      </w:r>
      <w:r w:rsidRPr="00AA159A" w:rsidDel="00C941DF">
        <w:rPr>
          <w:lang w:bidi="ar-SA"/>
        </w:rPr>
        <w:t>ependence on external sources of energy</w:t>
      </w:r>
    </w:p>
    <w:p w14:paraId="3D0BD04A" w14:textId="77777777" w:rsidR="000C0F40" w:rsidRPr="00AA159A" w:rsidRDefault="000C0F40" w:rsidP="006C4609">
      <w:pPr>
        <w:pStyle w:val="SAPBodyText"/>
      </w:pPr>
      <w:r w:rsidRPr="00AA159A" w:rsidDel="00C941DF">
        <w:t xml:space="preserve">Safety systems should be selected and designed such that dependence on external sources of energy required to reach and maintain a stable, safe state is minimised. </w:t>
      </w:r>
    </w:p>
    <w:p w14:paraId="1C666227" w14:textId="1BEE5305" w:rsidR="00E27B0A" w:rsidRPr="005774CA" w:rsidRDefault="00E27B0A" w:rsidP="009B7D05">
      <w:pPr>
        <w:pStyle w:val="SAPHeading"/>
      </w:pPr>
      <w:r w:rsidRPr="005774CA">
        <w:t>E</w:t>
      </w:r>
      <w:r w:rsidR="0049231B">
        <w:t>DS.15</w:t>
      </w:r>
      <w:r w:rsidRPr="005774CA">
        <w:t xml:space="preserve"> – Essential services</w:t>
      </w:r>
    </w:p>
    <w:p w14:paraId="1ED0456A" w14:textId="77777777" w:rsidR="00E27B0A" w:rsidRPr="005774CA" w:rsidRDefault="00E27B0A" w:rsidP="006C4609">
      <w:pPr>
        <w:pStyle w:val="SAPBodyText"/>
      </w:pPr>
      <w:r w:rsidRPr="005774CA">
        <w:t>Essential services should have the capacity, duration, availability, resilience and reliability to meet the demands of its dependent systems.</w:t>
      </w:r>
    </w:p>
    <w:p w14:paraId="3703C5C8" w14:textId="77777777" w:rsidR="00E27B0A" w:rsidRPr="00CF791A" w:rsidRDefault="00E27B0A" w:rsidP="00E27B0A">
      <w:pPr>
        <w:pStyle w:val="Paragraph"/>
      </w:pPr>
      <w:r w:rsidRPr="00CF791A">
        <w:t xml:space="preserve">Essential services are those resources necessary to maintain the plant in a safe state during normal operations and fault conditions. The essential services may include, but not limited to, electricity, gas, water, compressed air, fuel and lubricants. </w:t>
      </w:r>
    </w:p>
    <w:p w14:paraId="26C74E11" w14:textId="77777777" w:rsidR="00E27B0A" w:rsidRPr="00CF791A" w:rsidRDefault="00E27B0A" w:rsidP="00E27B0A">
      <w:pPr>
        <w:pStyle w:val="Paragraph"/>
      </w:pPr>
      <w:r w:rsidRPr="00CF791A">
        <w:t>In fault conditions, essential services</w:t>
      </w:r>
      <w:r w:rsidRPr="00CF791A" w:rsidDel="00696BA8">
        <w:t xml:space="preserve"> </w:t>
      </w:r>
      <w:r w:rsidRPr="00CF791A">
        <w:t>should provide the supplies for a sufficient period of time to allow the facility to be brought to a stable, safe state and then maintained in that state until such time as the safety function has been delivered or other supplies can be connected. The provision of an essential service might be delivered by different systems, for example, short term uninterruptible supply to ensure continuity until the long-term essential supply is established or the safety function has been delivered.</w:t>
      </w:r>
    </w:p>
    <w:p w14:paraId="470AB5CC" w14:textId="77777777" w:rsidR="00E27B0A" w:rsidRPr="00CF791A" w:rsidRDefault="00E27B0A" w:rsidP="00E27B0A">
      <w:pPr>
        <w:pStyle w:val="Paragraph"/>
      </w:pPr>
      <w:r w:rsidRPr="00CF791A">
        <w:t>Where essential services are shared with other facilities on a multi-facility site, it should be shown that the safety functions of all the facilities will be delivered in all permitted operating modes (including during maintenance) and for fault and accident conditions.</w:t>
      </w:r>
    </w:p>
    <w:p w14:paraId="00ED21DD" w14:textId="725D1E32" w:rsidR="00E27B0A" w:rsidRPr="00CF791A" w:rsidRDefault="00E27B0A" w:rsidP="00E27B0A">
      <w:pPr>
        <w:pStyle w:val="Paragraph"/>
      </w:pPr>
      <w:r w:rsidRPr="00CF791A">
        <w:t>The ability of the essential services to meet the demands of the safety function(s) they support should not be undermined by making cross-connections to services provided for safety functions of a lower category. Essential services required to respond to fault conditions should be designed so that their reliability will not be prejudiced by fault conditions they are required to address i.e.</w:t>
      </w:r>
      <w:r w:rsidR="00027896">
        <w:t>,</w:t>
      </w:r>
      <w:r w:rsidRPr="00CF791A">
        <w:t xml:space="preserve"> common cause failures.</w:t>
      </w:r>
    </w:p>
    <w:p w14:paraId="2438CB17" w14:textId="602B4695" w:rsidR="00E27B0A" w:rsidRPr="005774CA" w:rsidRDefault="00E27B0A" w:rsidP="009B7D05">
      <w:pPr>
        <w:pStyle w:val="SAPHeading"/>
      </w:pPr>
      <w:r w:rsidRPr="005774CA">
        <w:t>E</w:t>
      </w:r>
      <w:r w:rsidR="0049231B">
        <w:t>DS</w:t>
      </w:r>
      <w:r w:rsidR="00BC6F7A">
        <w:t>.</w:t>
      </w:r>
      <w:r w:rsidR="0049231B">
        <w:t>16</w:t>
      </w:r>
      <w:r w:rsidRPr="005774CA">
        <w:t xml:space="preserve"> – Loss of essential services</w:t>
      </w:r>
    </w:p>
    <w:p w14:paraId="31D406DA" w14:textId="77777777" w:rsidR="00E27B0A" w:rsidRPr="005774CA" w:rsidRDefault="00E27B0A" w:rsidP="006C4609">
      <w:pPr>
        <w:pStyle w:val="SAPBodyText"/>
      </w:pPr>
      <w:r w:rsidRPr="005774CA">
        <w:t>The dutyholder should analyse the loss of essential services, including the potential loss of both normal and back-up services, to demonstrate the continuing safety of the facility.</w:t>
      </w:r>
    </w:p>
    <w:p w14:paraId="2E17A1D7" w14:textId="77777777" w:rsidR="00E27B0A" w:rsidRPr="00CF791A" w:rsidRDefault="00E27B0A" w:rsidP="00E27B0A">
      <w:pPr>
        <w:pStyle w:val="Paragraph"/>
      </w:pPr>
      <w:r w:rsidRPr="00CF791A">
        <w:t>Elements of the demonstration should include, where appropriate:</w:t>
      </w:r>
    </w:p>
    <w:p w14:paraId="5BA87F9F" w14:textId="77777777" w:rsidR="00E27B0A" w:rsidRPr="005774CA" w:rsidRDefault="00E27B0A" w:rsidP="00134698">
      <w:pPr>
        <w:pStyle w:val="NumList2"/>
        <w:numPr>
          <w:ilvl w:val="1"/>
          <w:numId w:val="42"/>
        </w:numPr>
      </w:pPr>
      <w:r w:rsidRPr="005774CA">
        <w:t>justifying how further back-ups will be brought into service to meet the safety demand;</w:t>
      </w:r>
    </w:p>
    <w:p w14:paraId="6A34D608" w14:textId="77777777" w:rsidR="00E27B0A" w:rsidRPr="005774CA" w:rsidRDefault="00E27B0A" w:rsidP="00134698">
      <w:pPr>
        <w:pStyle w:val="NumList2"/>
        <w:numPr>
          <w:ilvl w:val="1"/>
          <w:numId w:val="42"/>
        </w:numPr>
      </w:pPr>
      <w:r w:rsidRPr="005774CA">
        <w:t xml:space="preserve">showing there would be sufficient time available to restore the service before unacceptable consequences could arise; </w:t>
      </w:r>
    </w:p>
    <w:p w14:paraId="0803DC35" w14:textId="77777777" w:rsidR="00E27B0A" w:rsidRPr="005774CA" w:rsidRDefault="00E27B0A" w:rsidP="00134698">
      <w:pPr>
        <w:pStyle w:val="NumList2"/>
        <w:numPr>
          <w:ilvl w:val="1"/>
          <w:numId w:val="42"/>
        </w:numPr>
      </w:pPr>
      <w:r w:rsidRPr="005774CA">
        <w:lastRenderedPageBreak/>
        <w:t>demonstrating the likelihood and consequences of the event mean that it is not reasonably practicable to add further back-up provisions to the design; and</w:t>
      </w:r>
    </w:p>
    <w:p w14:paraId="172394EE" w14:textId="77777777" w:rsidR="00E27B0A" w:rsidRPr="005774CA" w:rsidRDefault="00E27B0A" w:rsidP="00134698">
      <w:pPr>
        <w:pStyle w:val="NumList2"/>
        <w:numPr>
          <w:ilvl w:val="1"/>
          <w:numId w:val="42"/>
        </w:numPr>
      </w:pPr>
      <w:r w:rsidRPr="005774CA">
        <w:t>where the potential consequences merit this, employing accident analysis to show that the site’s emergency arrangements would be sufficient to manage the event.</w:t>
      </w:r>
    </w:p>
    <w:p w14:paraId="58E1BD47" w14:textId="79FB710E" w:rsidR="00E27B0A" w:rsidRDefault="00E27B0A" w:rsidP="00AA159A">
      <w:pPr>
        <w:pStyle w:val="Paragraph"/>
      </w:pPr>
      <w:r w:rsidRPr="00CF791A">
        <w:t xml:space="preserve">Analysis of loss of services should be undertaken </w:t>
      </w:r>
      <w:r w:rsidR="00BC6F7A" w:rsidRPr="00CF791A">
        <w:t>in line</w:t>
      </w:r>
      <w:r w:rsidRPr="00CF791A">
        <w:t xml:space="preserve"> with the principles outlined in the fault analysis section.</w:t>
      </w:r>
    </w:p>
    <w:p w14:paraId="09427C28" w14:textId="6636FA34" w:rsidR="000C0F40" w:rsidRPr="00AA159A" w:rsidRDefault="000C0F40" w:rsidP="009B7D05">
      <w:pPr>
        <w:pStyle w:val="SAPHeading"/>
      </w:pPr>
      <w:r w:rsidRPr="00AA159A">
        <w:t>E</w:t>
      </w:r>
      <w:r w:rsidR="0020159A" w:rsidRPr="00AA159A">
        <w:t>D</w:t>
      </w:r>
      <w:r w:rsidRPr="00AA159A">
        <w:t>S.</w:t>
      </w:r>
      <w:r w:rsidR="0020159A" w:rsidRPr="00AA159A">
        <w:t>1</w:t>
      </w:r>
      <w:r w:rsidR="000F0EAF">
        <w:t>7</w:t>
      </w:r>
      <w:r w:rsidRPr="00AA159A">
        <w:t xml:space="preserve"> – Avoidance of connections to other systems</w:t>
      </w:r>
    </w:p>
    <w:p w14:paraId="56A1B2C4" w14:textId="77777777" w:rsidR="000C0F40" w:rsidRPr="00AA159A" w:rsidRDefault="000C0F40" w:rsidP="006C4609">
      <w:pPr>
        <w:pStyle w:val="SAPBodyText"/>
      </w:pPr>
      <w:r w:rsidRPr="00AA159A">
        <w:t>Connections between any part of a safety system and a system external to the facility (other than to safety system support and monitoring features) should be avoided.</w:t>
      </w:r>
    </w:p>
    <w:p w14:paraId="1453F7CD" w14:textId="77777777" w:rsidR="000C0F40" w:rsidRPr="00CF791A" w:rsidRDefault="000C0F40" w:rsidP="000C0F40">
      <w:pPr>
        <w:pStyle w:val="Paragraph"/>
      </w:pPr>
      <w:r w:rsidRPr="00CF791A">
        <w:t>Where external connections to electrical, electronic or computer-based safety systems cannot be avoided, it should be demonstrated that there are adequate measures in place to prevent faults from other systems, particularly those of a lower safety classification, propagating and affecting the safety system.</w:t>
      </w:r>
    </w:p>
    <w:p w14:paraId="74562AD8" w14:textId="66298ABC" w:rsidR="000C0F40" w:rsidRPr="00AA159A" w:rsidRDefault="000C0F40" w:rsidP="009B7D05">
      <w:pPr>
        <w:pStyle w:val="SAPHeading"/>
      </w:pPr>
      <w:r w:rsidRPr="00AA159A">
        <w:t>E</w:t>
      </w:r>
      <w:r w:rsidR="0020159A" w:rsidRPr="00AA159A">
        <w:t>D</w:t>
      </w:r>
      <w:r w:rsidRPr="00AA159A">
        <w:t>S.</w:t>
      </w:r>
      <w:r w:rsidR="0020159A" w:rsidRPr="00AA159A">
        <w:t>1</w:t>
      </w:r>
      <w:r w:rsidR="000F0EAF">
        <w:t>8</w:t>
      </w:r>
      <w:r w:rsidRPr="00AA159A">
        <w:t xml:space="preserve"> – Avoidance of spurious actuation</w:t>
      </w:r>
    </w:p>
    <w:p w14:paraId="28B6833A" w14:textId="77777777" w:rsidR="000C0F40" w:rsidRPr="00AA159A" w:rsidRDefault="000C0F40" w:rsidP="006C4609">
      <w:pPr>
        <w:pStyle w:val="SAPBodyText"/>
      </w:pPr>
      <w:r w:rsidRPr="00AA159A">
        <w:t>Spurious actuation of safety systems should be minimised.</w:t>
      </w:r>
    </w:p>
    <w:p w14:paraId="7CD50B21" w14:textId="69004581" w:rsidR="000C0F40" w:rsidRPr="00CF791A" w:rsidRDefault="000C0F40" w:rsidP="000C0F40">
      <w:pPr>
        <w:pStyle w:val="Paragraph"/>
      </w:pPr>
      <w:r w:rsidRPr="00CF791A">
        <w:t xml:space="preserve">Spurious actuation of system components should be analysed. The fault analysis should assume that </w:t>
      </w:r>
      <w:r w:rsidR="00F627FE">
        <w:t>a</w:t>
      </w:r>
      <w:r w:rsidR="00F627FE" w:rsidRPr="00CF791A">
        <w:t xml:space="preserve"> </w:t>
      </w:r>
      <w:r w:rsidRPr="00CF791A">
        <w:t xml:space="preserve">common cause failure also disables all other safety functions provided by the system but may assume that such disabling does not further exacerbate the fault. </w:t>
      </w:r>
    </w:p>
    <w:p w14:paraId="1418E0A2" w14:textId="66463C22" w:rsidR="000C0F40" w:rsidRPr="00CF791A" w:rsidRDefault="000C0F40" w:rsidP="000C0F40">
      <w:pPr>
        <w:pStyle w:val="Paragraph"/>
      </w:pPr>
      <w:r w:rsidRPr="00CF791A">
        <w:t xml:space="preserve">The safety system should be </w:t>
      </w:r>
      <w:r w:rsidR="0080112F" w:rsidRPr="00CF791A">
        <w:t>designed</w:t>
      </w:r>
      <w:r w:rsidRPr="00CF791A">
        <w:t xml:space="preserve"> to fail to a safe state</w:t>
      </w:r>
      <w:r w:rsidR="00624691">
        <w:t xml:space="preserve"> </w:t>
      </w:r>
      <w:r w:rsidR="007A50AA">
        <w:t>(refer to</w:t>
      </w:r>
      <w:r w:rsidR="00624691">
        <w:t xml:space="preserve"> EDS.2)</w:t>
      </w:r>
      <w:r w:rsidRPr="00CF791A">
        <w:t>.</w:t>
      </w:r>
    </w:p>
    <w:p w14:paraId="196E7335" w14:textId="4A774B64" w:rsidR="000C0F40" w:rsidRPr="00AA159A" w:rsidRDefault="000C0F40" w:rsidP="009B7D05">
      <w:pPr>
        <w:pStyle w:val="SAPHeading"/>
        <w:rPr>
          <w:lang w:bidi="ar-SA"/>
        </w:rPr>
      </w:pPr>
      <w:r w:rsidRPr="00AA159A">
        <w:rPr>
          <w:lang w:bidi="ar-SA"/>
        </w:rPr>
        <w:t>E</w:t>
      </w:r>
      <w:r w:rsidR="0020159A" w:rsidRPr="00AA159A">
        <w:rPr>
          <w:lang w:bidi="ar-SA"/>
        </w:rPr>
        <w:t>D</w:t>
      </w:r>
      <w:r w:rsidRPr="00AA159A">
        <w:rPr>
          <w:lang w:bidi="ar-SA"/>
        </w:rPr>
        <w:t>S.1</w:t>
      </w:r>
      <w:r w:rsidR="000F0EAF">
        <w:rPr>
          <w:lang w:bidi="ar-SA"/>
        </w:rPr>
        <w:t>9</w:t>
      </w:r>
      <w:r w:rsidRPr="00AA159A">
        <w:rPr>
          <w:lang w:bidi="ar-SA"/>
        </w:rPr>
        <w:t xml:space="preserve"> – Alteration of configuration, operational logic or associated data</w:t>
      </w:r>
    </w:p>
    <w:p w14:paraId="3D466F40" w14:textId="518DD0EF" w:rsidR="000C0F40" w:rsidRPr="00AA159A" w:rsidRDefault="000C0F40" w:rsidP="006C4609">
      <w:pPr>
        <w:pStyle w:val="SAPBodyText"/>
      </w:pPr>
      <w:r w:rsidRPr="00AA159A">
        <w:t>No means should be provided, or be readily available, by which the configuration of a safety system, its operational logic or the associated data can be altered, other than by specifically engineered and adequately secured maintenance/testing provisions used under strict administrative control.</w:t>
      </w:r>
    </w:p>
    <w:p w14:paraId="361AA28F" w14:textId="20D3FA37" w:rsidR="000C0F40" w:rsidRPr="00AA159A" w:rsidRDefault="000C0F40" w:rsidP="009B7D05">
      <w:pPr>
        <w:pStyle w:val="SAPHeading"/>
      </w:pPr>
      <w:r w:rsidRPr="00AA159A">
        <w:t>E</w:t>
      </w:r>
      <w:r w:rsidR="0020159A" w:rsidRPr="00AA159A">
        <w:t>D</w:t>
      </w:r>
      <w:r w:rsidRPr="00AA159A">
        <w:t>S.</w:t>
      </w:r>
      <w:r w:rsidR="000F0EAF">
        <w:t>20</w:t>
      </w:r>
      <w:r w:rsidRPr="00AA159A">
        <w:t xml:space="preserve"> – Taking safety systems out of service</w:t>
      </w:r>
    </w:p>
    <w:p w14:paraId="36DB27C9" w14:textId="77777777" w:rsidR="000C0F40" w:rsidRPr="00AA159A" w:rsidRDefault="000C0F40" w:rsidP="006C4609">
      <w:pPr>
        <w:pStyle w:val="SAPBodyText"/>
      </w:pPr>
      <w:r w:rsidRPr="00AA159A">
        <w:t>The vetoing or the taking out of service of any safety system function should be controlled.</w:t>
      </w:r>
    </w:p>
    <w:p w14:paraId="65E86F38" w14:textId="1BF5D9CC" w:rsidR="00E243D0" w:rsidRPr="00CF791A" w:rsidRDefault="009D3B2F" w:rsidP="00E243D0">
      <w:pPr>
        <w:pStyle w:val="Paragraph"/>
        <w:rPr>
          <w:szCs w:val="24"/>
          <w14:ligatures w14:val="standardContextual"/>
        </w:rPr>
      </w:pPr>
      <w:r>
        <w:t xml:space="preserve">Nuclear safety </w:t>
      </w:r>
      <w:r w:rsidR="00E058CF">
        <w:t xml:space="preserve">should be </w:t>
      </w:r>
      <w:r w:rsidR="00442381">
        <w:t>ensured</w:t>
      </w:r>
      <w:r w:rsidR="00E058CF">
        <w:t xml:space="preserve"> at all </w:t>
      </w:r>
      <w:r w:rsidR="00E713F5">
        <w:t>times</w:t>
      </w:r>
      <w:r w:rsidR="000C0F40" w:rsidRPr="00CF791A">
        <w:t xml:space="preserve">. </w:t>
      </w:r>
      <w:r w:rsidR="003C0A8D" w:rsidRPr="003C0A8D">
        <w:t xml:space="preserve">Where a safety system comprises several redundant or diverse sub-systems, the safety case should justify the number </w:t>
      </w:r>
      <w:r w:rsidR="003C0A8D" w:rsidRPr="003C0A8D">
        <w:lastRenderedPageBreak/>
        <w:t>of sub-systems that may be taken out of service or vetoed whilst the system is in service, together with permitted durations and any other mitigations.</w:t>
      </w:r>
      <w:r w:rsidR="00E243D0" w:rsidRPr="00CF791A">
        <w:t xml:space="preserve"> </w:t>
      </w:r>
    </w:p>
    <w:p w14:paraId="0C139FC8" w14:textId="4943893B" w:rsidR="0099163A" w:rsidRPr="00AA159A" w:rsidRDefault="0099163A" w:rsidP="009B7D05">
      <w:pPr>
        <w:pStyle w:val="SAPHeading"/>
        <w:rPr>
          <w:lang w:bidi="ar-SA"/>
        </w:rPr>
      </w:pPr>
      <w:r w:rsidRPr="00AA159A">
        <w:rPr>
          <w:lang w:bidi="ar-SA"/>
        </w:rPr>
        <w:t>E</w:t>
      </w:r>
      <w:r w:rsidR="0020159A" w:rsidRPr="00AA159A">
        <w:rPr>
          <w:lang w:bidi="ar-SA"/>
        </w:rPr>
        <w:t>D</w:t>
      </w:r>
      <w:r w:rsidRPr="00AA159A">
        <w:rPr>
          <w:lang w:bidi="ar-SA"/>
        </w:rPr>
        <w:t>S.</w:t>
      </w:r>
      <w:r w:rsidR="008E4976">
        <w:rPr>
          <w:lang w:bidi="ar-SA"/>
        </w:rPr>
        <w:t>2</w:t>
      </w:r>
      <w:r w:rsidR="000F0EAF">
        <w:rPr>
          <w:lang w:bidi="ar-SA"/>
        </w:rPr>
        <w:t>1</w:t>
      </w:r>
      <w:r w:rsidR="008E4976" w:rsidRPr="00AA159A">
        <w:rPr>
          <w:lang w:bidi="ar-SA"/>
        </w:rPr>
        <w:t xml:space="preserve"> </w:t>
      </w:r>
      <w:r w:rsidRPr="00AA159A">
        <w:rPr>
          <w:lang w:bidi="ar-SA"/>
        </w:rPr>
        <w:t>– Programmable safety systems</w:t>
      </w:r>
    </w:p>
    <w:p w14:paraId="67E56397" w14:textId="77777777" w:rsidR="0099163A" w:rsidRPr="00AA159A" w:rsidRDefault="0099163A" w:rsidP="006C4609">
      <w:pPr>
        <w:pStyle w:val="SAPBodyText"/>
      </w:pPr>
      <w:r w:rsidRPr="00AA159A">
        <w:t>Where safety system functionality relies on software or programmable logic, appropriate measures should be taken to manage the risk of systematic faults.</w:t>
      </w:r>
    </w:p>
    <w:p w14:paraId="662A90F0" w14:textId="644DCD43" w:rsidR="0099163A" w:rsidRPr="00CF791A" w:rsidRDefault="0099163A" w:rsidP="0099163A">
      <w:pPr>
        <w:pStyle w:val="Paragraph"/>
      </w:pPr>
      <w:r w:rsidRPr="00CF791A">
        <w:t xml:space="preserve">The use of software or programmable logic within a </w:t>
      </w:r>
      <w:r w:rsidR="00C0094D" w:rsidRPr="00CF791A">
        <w:t>control and instrumentation</w:t>
      </w:r>
      <w:r w:rsidRPr="00CF791A">
        <w:t xml:space="preserve"> safety system introduces a risk of systematic faults. </w:t>
      </w:r>
    </w:p>
    <w:p w14:paraId="0A073569" w14:textId="77777777" w:rsidR="0099163A" w:rsidRPr="00CF791A" w:rsidRDefault="0099163A" w:rsidP="0099163A">
      <w:pPr>
        <w:pStyle w:val="Paragraph"/>
      </w:pPr>
      <w:r w:rsidRPr="00CF791A">
        <w:t>A good production approach provides a means to minimise these faults by incorporating:</w:t>
      </w:r>
    </w:p>
    <w:p w14:paraId="5198B80A" w14:textId="0B895208" w:rsidR="0099163A" w:rsidRPr="00CF791A" w:rsidRDefault="00AC73FB" w:rsidP="00A31B0A">
      <w:pPr>
        <w:pStyle w:val="Bulletlist1"/>
      </w:pPr>
      <w:r w:rsidRPr="00CF791A">
        <w:t>t</w:t>
      </w:r>
      <w:r w:rsidR="0099163A" w:rsidRPr="00CF791A">
        <w:t>he application of appropriate standards and practices, which reflect international consensus; and</w:t>
      </w:r>
    </w:p>
    <w:p w14:paraId="6AD928A1" w14:textId="1633E289" w:rsidR="0099163A" w:rsidRPr="00CF791A" w:rsidRDefault="00AC73FB" w:rsidP="00A31B0A">
      <w:pPr>
        <w:pStyle w:val="Bulletlist1"/>
      </w:pPr>
      <w:r w:rsidRPr="00CF791A">
        <w:t>a</w:t>
      </w:r>
      <w:r w:rsidR="0099163A" w:rsidRPr="00CF791A">
        <w:t xml:space="preserve"> quality management system that is appropriate and effective for a safety system lifecycle.</w:t>
      </w:r>
    </w:p>
    <w:p w14:paraId="27F88FE4" w14:textId="208690DD" w:rsidR="0099163A" w:rsidRPr="00CF791A" w:rsidRDefault="0099163A" w:rsidP="0099163A">
      <w:pPr>
        <w:pStyle w:val="Paragraph"/>
      </w:pPr>
      <w:r w:rsidRPr="00CF791A">
        <w:t xml:space="preserve">Independent assessment of the production process and the resulting safety system design builds confidence that the risk of systematic failure has been minimised. </w:t>
      </w:r>
      <w:r w:rsidR="00027896">
        <w:br/>
      </w:r>
      <w:r w:rsidRPr="00CF791A">
        <w:t>The degree of independence and extent of assessment will vary with the integrity claim.</w:t>
      </w:r>
    </w:p>
    <w:p w14:paraId="05B4EAC9" w14:textId="77777777" w:rsidR="0099163A" w:rsidRPr="00CF791A" w:rsidRDefault="0099163A" w:rsidP="0099163A">
      <w:pPr>
        <w:pStyle w:val="Paragraph"/>
      </w:pPr>
      <w:r w:rsidRPr="00CF791A">
        <w:t>Random failures associated with the system hardware should also be analysed and mitigated in accordance with appropriate standards.</w:t>
      </w:r>
    </w:p>
    <w:p w14:paraId="089FC30A" w14:textId="0E9EBBD0" w:rsidR="0099163A" w:rsidRPr="00CF791A" w:rsidRDefault="0099163A" w:rsidP="0099163A">
      <w:pPr>
        <w:pStyle w:val="Paragraph"/>
      </w:pPr>
      <w:r w:rsidRPr="00CF791A">
        <w:t xml:space="preserve">Where reliability cannot be demonstrated for an individual safety system, diverse systems may be designed to reduce each system’s reliability target. The design should support a demonstration that systematic faults are not common to </w:t>
      </w:r>
      <w:r w:rsidR="00A21565" w:rsidRPr="00CF791A">
        <w:t>both systems</w:t>
      </w:r>
      <w:r w:rsidRPr="00CF791A">
        <w:t xml:space="preserve">, </w:t>
      </w:r>
      <w:r w:rsidR="00A21565" w:rsidRPr="00CF791A">
        <w:t>for example</w:t>
      </w:r>
      <w:r w:rsidR="00D7799D" w:rsidRPr="00CF791A">
        <w:t>,</w:t>
      </w:r>
      <w:r w:rsidRPr="00CF791A">
        <w:t xml:space="preserve"> the systems are diverse by using different technologies. </w:t>
      </w:r>
    </w:p>
    <w:p w14:paraId="740A1BF0" w14:textId="767C0A76" w:rsidR="0099163A" w:rsidRPr="00CF791A" w:rsidRDefault="0099163A" w:rsidP="0099163A">
      <w:pPr>
        <w:pStyle w:val="Paragraph"/>
      </w:pPr>
      <w:r w:rsidRPr="00CF791A">
        <w:t xml:space="preserve">Where systems could be compromised by cyber security risks, resulting in a potential nuclear safety impact, reference should be made to ONR's SyAPs </w:t>
      </w:r>
      <w:sdt>
        <w:sdtPr>
          <w:id w:val="1229568138"/>
          <w:citation/>
        </w:sdtPr>
        <w:sdtEndPr/>
        <w:sdtContent>
          <w:r w:rsidR="00027896">
            <w:fldChar w:fldCharType="begin"/>
          </w:r>
          <w:r w:rsidR="00027896">
            <w:instrText xml:space="preserve"> CITATION Off22 \l 2057 </w:instrText>
          </w:r>
          <w:r w:rsidR="00027896">
            <w:fldChar w:fldCharType="separate"/>
          </w:r>
          <w:r w:rsidR="00875BCE" w:rsidRPr="00875BCE">
            <w:rPr>
              <w:noProof/>
            </w:rPr>
            <w:t>[1]</w:t>
          </w:r>
          <w:r w:rsidR="00027896">
            <w:fldChar w:fldCharType="end"/>
          </w:r>
        </w:sdtContent>
      </w:sdt>
      <w:r w:rsidRPr="00CF791A">
        <w:t xml:space="preserve"> which provide guidance on managing cyber security risks</w:t>
      </w:r>
      <w:r w:rsidR="00AF1FF7">
        <w:t xml:space="preserve"> </w:t>
      </w:r>
      <w:r w:rsidR="007A50AA">
        <w:t>(refer to</w:t>
      </w:r>
      <w:r w:rsidRPr="00CF791A">
        <w:t xml:space="preserve"> FSyP7 (</w:t>
      </w:r>
      <w:r w:rsidR="00F16779" w:rsidRPr="00CF791A">
        <w:t>c</w:t>
      </w:r>
      <w:r w:rsidRPr="00CF791A">
        <w:t xml:space="preserve">yber </w:t>
      </w:r>
      <w:r w:rsidR="00F16779" w:rsidRPr="00CF791A">
        <w:t>s</w:t>
      </w:r>
      <w:r w:rsidRPr="00CF791A">
        <w:t xml:space="preserve">ecurity and </w:t>
      </w:r>
      <w:r w:rsidR="00F16779" w:rsidRPr="00CF791A">
        <w:t>o</w:t>
      </w:r>
      <w:r w:rsidRPr="00CF791A">
        <w:t xml:space="preserve">perational </w:t>
      </w:r>
      <w:r w:rsidR="00F16779" w:rsidRPr="00CF791A">
        <w:t>r</w:t>
      </w:r>
      <w:r w:rsidRPr="00CF791A">
        <w:t>esilience).</w:t>
      </w:r>
    </w:p>
    <w:p w14:paraId="42DEC710" w14:textId="53C76684" w:rsidR="0099163A" w:rsidRPr="00AA159A" w:rsidRDefault="0099163A" w:rsidP="009B7D05">
      <w:pPr>
        <w:pStyle w:val="SAPHeading"/>
      </w:pPr>
      <w:r w:rsidRPr="00AA159A">
        <w:t>E</w:t>
      </w:r>
      <w:r w:rsidR="003D71AF" w:rsidRPr="00AA159A">
        <w:t>D</w:t>
      </w:r>
      <w:r w:rsidRPr="00AA159A">
        <w:t>S.</w:t>
      </w:r>
      <w:r w:rsidR="005030F6" w:rsidRPr="00AA159A">
        <w:t>2</w:t>
      </w:r>
      <w:r w:rsidR="000F0EAF">
        <w:t>2</w:t>
      </w:r>
      <w:r w:rsidRPr="00AA159A">
        <w:t xml:space="preserve"> – Justification of </w:t>
      </w:r>
      <w:r w:rsidR="000C61BC">
        <w:t>safety-related</w:t>
      </w:r>
      <w:r w:rsidRPr="00AA159A">
        <w:t xml:space="preserve"> systems</w:t>
      </w:r>
    </w:p>
    <w:p w14:paraId="77879AD5" w14:textId="23B4C1ED" w:rsidR="0099163A" w:rsidRPr="00AA159A" w:rsidRDefault="000C61BC" w:rsidP="006C4609">
      <w:pPr>
        <w:pStyle w:val="SAPBodyText"/>
      </w:pPr>
      <w:r>
        <w:t>Safety-related</w:t>
      </w:r>
      <w:r w:rsidR="0099163A" w:rsidRPr="00AA159A">
        <w:t xml:space="preserve"> systems can impact on nuclear safety and therefore should be appropriately considered, using a graded approach to their justification.</w:t>
      </w:r>
    </w:p>
    <w:p w14:paraId="062CC133" w14:textId="021A4BB4" w:rsidR="00070FAE" w:rsidRPr="00CF791A" w:rsidRDefault="00070FAE" w:rsidP="00070FAE">
      <w:pPr>
        <w:pStyle w:val="Paragraph"/>
      </w:pPr>
      <w:r w:rsidRPr="00CF791A">
        <w:t xml:space="preserve">Safety-related systems are items important to safety that are not part of a safety system. Safety-related systems are therefore systems in place to perform an operational </w:t>
      </w:r>
      <w:r w:rsidR="0080112F" w:rsidRPr="00CF791A">
        <w:t>function,</w:t>
      </w:r>
      <w:r w:rsidRPr="00CF791A">
        <w:t xml:space="preserve"> but which also provide a safety benefit. </w:t>
      </w:r>
    </w:p>
    <w:p w14:paraId="01A00D88" w14:textId="6880711E" w:rsidR="0099163A" w:rsidRPr="00CF791A" w:rsidRDefault="0099163A" w:rsidP="0099163A">
      <w:pPr>
        <w:pStyle w:val="Paragraph"/>
      </w:pPr>
      <w:r w:rsidRPr="00CF791A">
        <w:t>A ‘safety system’ or ‘</w:t>
      </w:r>
      <w:r w:rsidR="000C61BC">
        <w:t>safety-related</w:t>
      </w:r>
      <w:r w:rsidRPr="00CF791A">
        <w:t xml:space="preserve"> system’ designation is separate from the safety classification outlined in ECS.</w:t>
      </w:r>
      <w:r w:rsidR="00421FB1" w:rsidRPr="00CF791A">
        <w:t>4</w:t>
      </w:r>
      <w:r w:rsidRPr="00CF791A">
        <w:t xml:space="preserve">. The justification of safety-related systems should </w:t>
      </w:r>
      <w:r w:rsidRPr="00CF791A">
        <w:lastRenderedPageBreak/>
        <w:t>reflect the impact on nuclear safety if it was to fail. Examples of safety-related systems may include:</w:t>
      </w:r>
    </w:p>
    <w:p w14:paraId="7433D466" w14:textId="77777777" w:rsidR="0099163A" w:rsidRPr="00CF791A" w:rsidRDefault="0099163A" w:rsidP="00A31B0A">
      <w:pPr>
        <w:pStyle w:val="Bulletlist1"/>
      </w:pPr>
      <w:r w:rsidRPr="00CF791A">
        <w:t>duty systems that control plant parameters in the normal range;</w:t>
      </w:r>
    </w:p>
    <w:p w14:paraId="03683D87" w14:textId="21479BDB" w:rsidR="0099163A" w:rsidRPr="00CF791A" w:rsidRDefault="0099163A" w:rsidP="00A31B0A">
      <w:pPr>
        <w:pStyle w:val="Bulletlist1"/>
      </w:pPr>
      <w:r w:rsidRPr="00CF791A">
        <w:t xml:space="preserve">indications that might inform human actions and operator controls; </w:t>
      </w:r>
      <w:r w:rsidR="00DA7A0C">
        <w:t>or</w:t>
      </w:r>
    </w:p>
    <w:p w14:paraId="510D156C" w14:textId="22808BCE" w:rsidR="0099163A" w:rsidRPr="00CF791A" w:rsidRDefault="0099163A" w:rsidP="00A31B0A">
      <w:pPr>
        <w:pStyle w:val="Bulletlist1"/>
      </w:pPr>
      <w:r w:rsidRPr="00CF791A">
        <w:t>communications systems that facilitate information transfer during normal operations, fault and accident conditions</w:t>
      </w:r>
      <w:r w:rsidR="002F432B" w:rsidRPr="00CF791A">
        <w:t>.</w:t>
      </w:r>
      <w:r w:rsidRPr="00CF791A">
        <w:t xml:space="preserve"> </w:t>
      </w:r>
    </w:p>
    <w:p w14:paraId="7DFB9E9B" w14:textId="77777777" w:rsidR="0099163A" w:rsidRPr="00CF791A" w:rsidRDefault="0099163A" w:rsidP="0099163A">
      <w:pPr>
        <w:pStyle w:val="Paragraph"/>
      </w:pPr>
      <w:r w:rsidRPr="00CF791A">
        <w:t xml:space="preserve">The design and justification of safety-related systems should align with appropriate relevant good practice, and consider the following: </w:t>
      </w:r>
    </w:p>
    <w:p w14:paraId="3900A05D" w14:textId="77777777" w:rsidR="0099163A" w:rsidRPr="00CF791A" w:rsidRDefault="0099163A" w:rsidP="00A31B0A">
      <w:pPr>
        <w:pStyle w:val="Bulletlist1"/>
      </w:pPr>
      <w:r w:rsidRPr="00CF791A">
        <w:t>normal operation, faults or spurious trips of safety-related systems should not cause an excessive frequency of demands on safety systems or take any safety system beyond its capability limits;</w:t>
      </w:r>
    </w:p>
    <w:p w14:paraId="6814D398" w14:textId="778C8646" w:rsidR="0099163A" w:rsidRPr="00CF791A" w:rsidRDefault="0099163A" w:rsidP="00A31B0A">
      <w:pPr>
        <w:pStyle w:val="Bulletlist1"/>
      </w:pPr>
      <w:r w:rsidRPr="00CF791A">
        <w:t>demonstration of adequate separation such that safety-related systems cannot adversely affect safety systems;</w:t>
      </w:r>
      <w:r w:rsidR="00F25C0E" w:rsidRPr="00CF791A">
        <w:t xml:space="preserve"> </w:t>
      </w:r>
    </w:p>
    <w:p w14:paraId="020656D3" w14:textId="639AA235" w:rsidR="0099163A" w:rsidRPr="00CF791A" w:rsidRDefault="0099163A" w:rsidP="00A31B0A">
      <w:pPr>
        <w:pStyle w:val="Bulletlist1"/>
      </w:pPr>
      <w:r w:rsidRPr="00CF791A">
        <w:t>analysis of the failure modes of the system to understand the impact on nuclear safety; and</w:t>
      </w:r>
    </w:p>
    <w:p w14:paraId="5CF2F305" w14:textId="483D7FA5" w:rsidR="0099163A" w:rsidRPr="00CF791A" w:rsidRDefault="0099163A" w:rsidP="00A31B0A">
      <w:pPr>
        <w:pStyle w:val="Bulletlist1"/>
        <w:rPr>
          <w:szCs w:val="24"/>
          <w14:ligatures w14:val="standardContextual"/>
        </w:rPr>
      </w:pPr>
      <w:r w:rsidRPr="00CF791A">
        <w:t>performance requirements such as stability, reliability, testability, accuracy, readability, response time and range.</w:t>
      </w:r>
    </w:p>
    <w:p w14:paraId="20FF9861" w14:textId="0FC9878B" w:rsidR="00E243D0" w:rsidRPr="00AA159A" w:rsidRDefault="00E243D0" w:rsidP="009B7D05">
      <w:pPr>
        <w:pStyle w:val="Heading2"/>
      </w:pPr>
      <w:r w:rsidRPr="00AA159A">
        <w:t xml:space="preserve">Materials </w:t>
      </w:r>
      <w:r w:rsidR="005F276D" w:rsidRPr="00AA159A">
        <w:t>s</w:t>
      </w:r>
      <w:r w:rsidRPr="00AA159A">
        <w:t xml:space="preserve">election and </w:t>
      </w:r>
      <w:r w:rsidR="005F276D" w:rsidRPr="00AA159A">
        <w:t>d</w:t>
      </w:r>
      <w:r w:rsidRPr="00AA159A">
        <w:t>efects</w:t>
      </w:r>
    </w:p>
    <w:p w14:paraId="08857D56" w14:textId="3BD60790" w:rsidR="00E243D0" w:rsidRPr="00AA159A" w:rsidRDefault="00E243D0" w:rsidP="009B7D05">
      <w:pPr>
        <w:pStyle w:val="SAPHeading"/>
      </w:pPr>
      <w:r w:rsidRPr="00AA159A">
        <w:t xml:space="preserve">EMD.1 – Materials </w:t>
      </w:r>
      <w:r w:rsidR="005F276D" w:rsidRPr="00AA159A">
        <w:t>s</w:t>
      </w:r>
      <w:r w:rsidRPr="00AA159A">
        <w:t xml:space="preserve">pecification and </w:t>
      </w:r>
      <w:r w:rsidR="005F276D" w:rsidRPr="00AA159A">
        <w:t>v</w:t>
      </w:r>
      <w:r w:rsidRPr="00AA159A">
        <w:t>alidation</w:t>
      </w:r>
    </w:p>
    <w:p w14:paraId="0425F349" w14:textId="77777777" w:rsidR="00E243D0" w:rsidRPr="00AA159A" w:rsidRDefault="00E243D0" w:rsidP="006C4609">
      <w:pPr>
        <w:pStyle w:val="SAPBodyText"/>
      </w:pPr>
      <w:r w:rsidRPr="00AA159A">
        <w:t>Engineering materials should be selected and validated to confirm they fulfil the design intent.</w:t>
      </w:r>
    </w:p>
    <w:p w14:paraId="3EF2DCFC" w14:textId="725E31C1" w:rsidR="00E243D0" w:rsidRPr="00CF791A" w:rsidRDefault="00E243D0" w:rsidP="00E243D0">
      <w:pPr>
        <w:pStyle w:val="Paragraph"/>
      </w:pPr>
      <w:r w:rsidRPr="00CF791A">
        <w:t xml:space="preserve">Materials selection should be based on a clear understanding of the required </w:t>
      </w:r>
      <w:r w:rsidR="0076703B" w:rsidRPr="00CF791A">
        <w:t>safety functional performance, environmental conditions (in normal operation but also in the event of a fault or hazard) and design life</w:t>
      </w:r>
      <w:r w:rsidRPr="00CF791A">
        <w:t>. The classification of the SSC will determine the level of evidence required to demonstrate the materials performance through life.</w:t>
      </w:r>
    </w:p>
    <w:p w14:paraId="0614827F" w14:textId="77777777" w:rsidR="00E243D0" w:rsidRPr="00CF791A" w:rsidRDefault="00E243D0" w:rsidP="00E243D0">
      <w:pPr>
        <w:pStyle w:val="Paragraph"/>
      </w:pPr>
      <w:r w:rsidRPr="00CF791A">
        <w:t xml:space="preserve">Materials should be specified in accordance with relevant codes, standards, and project-specific requirements, with consideration of the environmental conditions and their mechanical, chemical, thermal, and durability properties. </w:t>
      </w:r>
    </w:p>
    <w:p w14:paraId="5BDEF889" w14:textId="77777777" w:rsidR="00E243D0" w:rsidRPr="00CF791A" w:rsidRDefault="00E243D0" w:rsidP="00E243D0">
      <w:pPr>
        <w:pStyle w:val="Paragraph"/>
      </w:pPr>
      <w:r w:rsidRPr="00CF791A">
        <w:t xml:space="preserve">Validation of materials should be undertaken through the appropriate use of operational experience, laboratory testing, field trials, certification, or reference to established performance data to confirm that materials meet the required specifications. </w:t>
      </w:r>
    </w:p>
    <w:p w14:paraId="13F174AB" w14:textId="66ABDACC" w:rsidR="00E243D0" w:rsidRPr="00CF791A" w:rsidRDefault="00E243D0" w:rsidP="00E243D0">
      <w:pPr>
        <w:pStyle w:val="Paragraph"/>
      </w:pPr>
      <w:r w:rsidRPr="00CF791A">
        <w:lastRenderedPageBreak/>
        <w:t>In some applications it may be necessary to demonstrate materials behaviour using modelling and analysis methods. In such cases the AV principles should be applied for the validation and verification of numerical models.</w:t>
      </w:r>
      <w:r w:rsidR="009C1F3F">
        <w:t xml:space="preserve"> </w:t>
      </w:r>
      <w:r w:rsidR="009C1F3F" w:rsidRPr="009C1F3F">
        <w:t>The continued validity of material properties should be considered for the period over which the associated safety functions are required, taking account of relevant service-related effects, which may include displacements, stresses, loads</w:t>
      </w:r>
      <w:r w:rsidR="00783519">
        <w:t>,</w:t>
      </w:r>
      <w:r w:rsidR="009C1F3F" w:rsidRPr="009C1F3F">
        <w:t xml:space="preserve"> and changes in material condition.</w:t>
      </w:r>
    </w:p>
    <w:p w14:paraId="31156FE1" w14:textId="77777777" w:rsidR="00E243D0" w:rsidRPr="00CF791A" w:rsidRDefault="00E243D0" w:rsidP="00E243D0">
      <w:pPr>
        <w:pStyle w:val="Paragraph"/>
      </w:pPr>
      <w:r w:rsidRPr="00CF791A">
        <w:t>For novel or non-standard materials, additional substantiation may be required, including qualification testing, long-term performance data, and independent expert review.</w:t>
      </w:r>
    </w:p>
    <w:p w14:paraId="1E71E794" w14:textId="77777777" w:rsidR="00E243D0" w:rsidRPr="00CF791A" w:rsidRDefault="00E243D0" w:rsidP="00E243D0">
      <w:pPr>
        <w:pStyle w:val="Paragraph"/>
      </w:pPr>
      <w:r w:rsidRPr="00CF791A">
        <w:t>Appropriate quality assurance and control processes should be in place to ensure that materials match specifications; this should include, as appropriate, traceability of origin, batch testing, certification, and minimisation of defects that could affect performance.</w:t>
      </w:r>
    </w:p>
    <w:p w14:paraId="12CDCE44" w14:textId="22A7A4DD" w:rsidR="00E243D0" w:rsidRPr="00CF791A" w:rsidRDefault="00A70371" w:rsidP="00E243D0">
      <w:pPr>
        <w:pStyle w:val="Paragraph"/>
      </w:pPr>
      <w:r w:rsidRPr="00CF791A">
        <w:t>Process for specification of materials</w:t>
      </w:r>
      <w:r w:rsidRPr="00CF791A" w:rsidDel="00A70371">
        <w:t xml:space="preserve"> </w:t>
      </w:r>
      <w:r w:rsidR="00E243D0" w:rsidRPr="00CF791A">
        <w:t>should include consideration of constructability, availability, supply chain capability, and long-term maintainability.</w:t>
      </w:r>
    </w:p>
    <w:p w14:paraId="7C6ED4B3" w14:textId="146C6D8E" w:rsidR="00E243D0" w:rsidRPr="00CF791A" w:rsidRDefault="00E243D0" w:rsidP="00E243D0">
      <w:pPr>
        <w:pStyle w:val="Paragraph"/>
      </w:pPr>
      <w:r w:rsidRPr="00CF791A">
        <w:t>Material</w:t>
      </w:r>
      <w:r w:rsidR="0044263E" w:rsidRPr="00CF791A">
        <w:t>s</w:t>
      </w:r>
      <w:r w:rsidRPr="00CF791A">
        <w:t xml:space="preserve"> performance should be monitored where appropriate, with feedback loops to inform future specification or replacement strategies.</w:t>
      </w:r>
    </w:p>
    <w:p w14:paraId="42E2DA9A" w14:textId="77777777" w:rsidR="00E243D0" w:rsidRPr="00AA159A" w:rsidRDefault="00E243D0" w:rsidP="009B7D05">
      <w:pPr>
        <w:pStyle w:val="SAPHeading"/>
        <w:rPr>
          <w:bCs/>
        </w:rPr>
      </w:pPr>
      <w:r w:rsidRPr="00AA159A">
        <w:t>EMD</w:t>
      </w:r>
      <w:r w:rsidRPr="00AA159A" w:rsidDel="00543C3C">
        <w:t xml:space="preserve">.2 – </w:t>
      </w:r>
      <w:r w:rsidRPr="00AA159A">
        <w:t>Non-conformities</w:t>
      </w:r>
    </w:p>
    <w:p w14:paraId="13E91E4A" w14:textId="77777777" w:rsidR="00E243D0" w:rsidRPr="00AA159A" w:rsidRDefault="00E243D0" w:rsidP="006C4609">
      <w:pPr>
        <w:pStyle w:val="SAPBodyText"/>
      </w:pPr>
      <w:r w:rsidRPr="00AA159A">
        <w:t>Non-conformities should be appropriately managed to ensure the design intent is achieved.</w:t>
      </w:r>
    </w:p>
    <w:p w14:paraId="713BB646" w14:textId="1EB3AE10" w:rsidR="00E243D0" w:rsidRPr="00CF791A" w:rsidRDefault="00E243D0" w:rsidP="00E243D0">
      <w:pPr>
        <w:pStyle w:val="Paragraph"/>
      </w:pPr>
      <w:r w:rsidRPr="00CF791A">
        <w:rPr>
          <w:lang w:bidi="ar-SA"/>
        </w:rPr>
        <w:t xml:space="preserve">Where procedural non-conformities are judged to have a detrimental effect </w:t>
      </w:r>
      <w:r w:rsidRPr="00CF791A">
        <w:t>on the delivery of the SSCs safety function through life, such as where significant defects are present</w:t>
      </w:r>
      <w:r w:rsidRPr="00CF791A">
        <w:rPr>
          <w:lang w:bidi="ar-SA"/>
        </w:rPr>
        <w:t xml:space="preserve"> and remedial work is necessary, remedial work should be carried out to an approved procedure and meet the appropriate standards.</w:t>
      </w:r>
    </w:p>
    <w:p w14:paraId="1ACCA0E1" w14:textId="2550E21C" w:rsidR="00E243D0" w:rsidRPr="00AA159A" w:rsidRDefault="00E243D0" w:rsidP="009B7D05">
      <w:pPr>
        <w:pStyle w:val="SAPHeading"/>
        <w:rPr>
          <w:bCs/>
        </w:rPr>
      </w:pPr>
      <w:r w:rsidRPr="00AA159A">
        <w:t xml:space="preserve">EMD.3 – Defect </w:t>
      </w:r>
      <w:r w:rsidR="00DD7B9A">
        <w:t>t</w:t>
      </w:r>
      <w:r w:rsidRPr="00AA159A">
        <w:t>olerance</w:t>
      </w:r>
    </w:p>
    <w:p w14:paraId="37449E8C" w14:textId="77777777" w:rsidR="00E243D0" w:rsidRPr="00AA159A" w:rsidRDefault="00E243D0" w:rsidP="006C4609">
      <w:pPr>
        <w:pStyle w:val="SAPBodyText"/>
      </w:pPr>
      <w:r w:rsidRPr="00AA159A">
        <w:t>It should be demonstrated that SSCs important to safety are both sufficiently free from, and tolerant of, defects that may affect safety.</w:t>
      </w:r>
    </w:p>
    <w:p w14:paraId="5E832D49" w14:textId="77777777" w:rsidR="00E243D0" w:rsidRPr="00CF791A" w:rsidRDefault="00E243D0" w:rsidP="00E243D0">
      <w:pPr>
        <w:pStyle w:val="Paragraph"/>
      </w:pPr>
      <w:r w:rsidRPr="00CF791A">
        <w:t>For</w:t>
      </w:r>
      <w:r w:rsidRPr="00CF791A" w:rsidDel="00B01CF6">
        <w:t xml:space="preserve"> </w:t>
      </w:r>
      <w:r w:rsidRPr="00CF791A">
        <w:t xml:space="preserve">items that are key to the delivery of safety where redundancy is not practicable, like the pressure boundary of a reactor system, the focus is on defect prevention and defect tolerance. For redundant items such as support structures, the redundancy itself may be prioritised over defect avoidance. </w:t>
      </w:r>
    </w:p>
    <w:p w14:paraId="696D2DD9" w14:textId="14998C21" w:rsidR="00E243D0" w:rsidRPr="00CF791A" w:rsidRDefault="00E243D0" w:rsidP="00E243D0">
      <w:pPr>
        <w:pStyle w:val="Paragraph"/>
      </w:pPr>
      <w:r w:rsidRPr="00CF791A">
        <w:t xml:space="preserve">Where appropriate, an assessment of the effects of defects on SSCs should be undertaken to establish the tolerance of their safety functions during normal operation, faults, and accidents. </w:t>
      </w:r>
      <w:r w:rsidR="00DD7CA3" w:rsidRPr="00DD7CA3">
        <w:t>This should include plant transients and tests, together with the effects of internal and external hazards.</w:t>
      </w:r>
    </w:p>
    <w:p w14:paraId="1C84BFFE" w14:textId="012144F4" w:rsidR="00E243D0" w:rsidRPr="00CF791A" w:rsidRDefault="00BE7B7F" w:rsidP="00E243D0">
      <w:pPr>
        <w:pStyle w:val="Paragraph"/>
      </w:pPr>
      <w:r>
        <w:lastRenderedPageBreak/>
        <w:t>EMIT</w:t>
      </w:r>
      <w:r w:rsidR="00E243D0" w:rsidRPr="00CF791A">
        <w:t xml:space="preserve"> activities should be established to detect early signs of degradation or defect development, with appropriate frequency and resolution </w:t>
      </w:r>
      <w:r w:rsidR="00EE5763" w:rsidRPr="00CF791A">
        <w:t>based on</w:t>
      </w:r>
      <w:r w:rsidR="00E243D0" w:rsidRPr="00CF791A">
        <w:t xml:space="preserve"> </w:t>
      </w:r>
      <w:r w:rsidR="00781BF4" w:rsidRPr="00CF791A">
        <w:t xml:space="preserve">the safety significance of an SSC </w:t>
      </w:r>
      <w:r w:rsidR="00E243D0" w:rsidRPr="00CF791A">
        <w:t xml:space="preserve">and significance of the degradation mechanism. </w:t>
      </w:r>
      <w:r w:rsidR="00027896">
        <w:br/>
      </w:r>
      <w:r w:rsidR="00E243D0" w:rsidRPr="00CF791A">
        <w:t>The anticipated rate of degradation and the estimated time from detection of degradation to an unsafe state arising should be calculated using verified and validated methods with verified application. An adequate margin should exist between the nature of defects of concern and the capability of the examination to detect and characterise a defect.</w:t>
      </w:r>
    </w:p>
    <w:p w14:paraId="2BC624CD" w14:textId="77777777" w:rsidR="00E243D0" w:rsidRPr="00CF791A" w:rsidRDefault="00E243D0" w:rsidP="00E243D0">
      <w:pPr>
        <w:pStyle w:val="Paragraph"/>
      </w:pPr>
      <w:r w:rsidRPr="00CF791A">
        <w:t>Means should be available to detect, locate, monitor and manage leakages that could indicate the potential for an unsafe condition to develop or give rise to significant radiological consequences. Potential unsafe states to be considered include the consequential effects on SSCs of any leakage, not just the degradation causing the leakage.</w:t>
      </w:r>
    </w:p>
    <w:p w14:paraId="6B7EA8C8" w14:textId="77777777" w:rsidR="00E243D0" w:rsidRDefault="00E243D0" w:rsidP="00E243D0">
      <w:pPr>
        <w:pStyle w:val="Paragraph"/>
      </w:pPr>
      <w:r w:rsidRPr="00CF791A">
        <w:t>Repair, remediation, or mitigation strategies should be developed and implemented where necessary. Any such interventions should ensure compatibility with the original design intent, long-term performance requirements and should be carefully controlled through a formal procedure for change.</w:t>
      </w:r>
    </w:p>
    <w:p w14:paraId="6E4A134D" w14:textId="030821BD" w:rsidR="00E82B54" w:rsidRPr="00C51F09" w:rsidRDefault="006B19BF" w:rsidP="009B7D05">
      <w:pPr>
        <w:pStyle w:val="SAPHeading"/>
      </w:pPr>
      <w:r>
        <w:t>EMD</w:t>
      </w:r>
      <w:r w:rsidR="00E82B54" w:rsidRPr="00C51F09">
        <w:t>.</w:t>
      </w:r>
      <w:r>
        <w:t>4</w:t>
      </w:r>
      <w:r w:rsidR="00E82B54" w:rsidRPr="00C51F09">
        <w:t xml:space="preserve"> – </w:t>
      </w:r>
      <w:r w:rsidR="00E82B54" w:rsidRPr="00A20F00">
        <w:t>Integrity of non-metallic components and structures</w:t>
      </w:r>
    </w:p>
    <w:p w14:paraId="2AD36DA8" w14:textId="77777777" w:rsidR="00E82B54" w:rsidRPr="00C51F09" w:rsidRDefault="00E82B54" w:rsidP="006C4609">
      <w:pPr>
        <w:pStyle w:val="SAPBodyText"/>
      </w:pPr>
      <w:r w:rsidRPr="00C51F09">
        <w:t>Where a non-metallic component or structure is chosen in preference to a metallic equivalent, the safety case should justify any limitations arising from this choice.</w:t>
      </w:r>
    </w:p>
    <w:p w14:paraId="0C22831A" w14:textId="77777777" w:rsidR="00E82B54" w:rsidRPr="00D60094" w:rsidRDefault="00E82B54" w:rsidP="00E82B54">
      <w:pPr>
        <w:pStyle w:val="Paragraph"/>
      </w:pPr>
      <w:r>
        <w:t>N</w:t>
      </w:r>
      <w:r w:rsidRPr="002A5CE1">
        <w:t>on-metallic components and structures in this context do not include concrete structures</w:t>
      </w:r>
      <w:r>
        <w:t>, which are covered by the civil engineering SAPs</w:t>
      </w:r>
      <w:r w:rsidRPr="002A5CE1">
        <w:t>. Neither do they include non</w:t>
      </w:r>
      <w:r>
        <w:t>-</w:t>
      </w:r>
      <w:r w:rsidRPr="002A5CE1">
        <w:t xml:space="preserve">metallic coatings applied to metal components, which </w:t>
      </w:r>
      <w:r>
        <w:t xml:space="preserve">should be considered with the </w:t>
      </w:r>
      <w:r w:rsidRPr="002A5CE1">
        <w:t>metal components</w:t>
      </w:r>
      <w:r>
        <w:t xml:space="preserve"> themselves. </w:t>
      </w:r>
    </w:p>
    <w:p w14:paraId="230C3159" w14:textId="77777777" w:rsidR="00E82B54" w:rsidRPr="00C51F09" w:rsidRDefault="00E82B54" w:rsidP="00E82B54">
      <w:pPr>
        <w:pStyle w:val="Paragraph"/>
      </w:pPr>
      <w:r w:rsidRPr="00C51F09">
        <w:t xml:space="preserve">There are a range of components and structures, such as pressure vessels, storage tanks and pipework, which can be manufactured from a variety of non-metallic materials. </w:t>
      </w:r>
      <w:r>
        <w:t>N</w:t>
      </w:r>
      <w:r w:rsidRPr="00C51F09">
        <w:t xml:space="preserve">on-metallic materials may be chosen in preference to metallic equivalents due to their corrosion or chemical resistance properties. Whilst there may be benefits in using non-metallic components and structures there may also be limitations on the </w:t>
      </w:r>
      <w:r>
        <w:t>i</w:t>
      </w:r>
      <w:r w:rsidRPr="00A20F00">
        <w:t>ntegrity</w:t>
      </w:r>
      <w:r w:rsidRPr="00C51F09">
        <w:t xml:space="preserve"> that can be claimed</w:t>
      </w:r>
      <w:r>
        <w:t>, f</w:t>
      </w:r>
      <w:r w:rsidRPr="00C51F09">
        <w:t>or example:</w:t>
      </w:r>
    </w:p>
    <w:p w14:paraId="25CDDFF3" w14:textId="77777777" w:rsidR="00E82B54" w:rsidRPr="00C51F09" w:rsidRDefault="00E82B54" w:rsidP="00A31B0A">
      <w:pPr>
        <w:pStyle w:val="Bulletlist1"/>
      </w:pPr>
      <w:r w:rsidRPr="00C51F09">
        <w:t>nuclear design and construction codes</w:t>
      </w:r>
      <w:r>
        <w:t>,</w:t>
      </w:r>
      <w:r w:rsidRPr="00C51F09">
        <w:t xml:space="preserve"> </w:t>
      </w:r>
      <w:r>
        <w:t xml:space="preserve">and </w:t>
      </w:r>
      <w:r w:rsidRPr="00C51F09">
        <w:t>fitness for purpose assessment methodologies may not exist;</w:t>
      </w:r>
    </w:p>
    <w:p w14:paraId="66154517" w14:textId="77777777" w:rsidR="00E82B54" w:rsidRPr="00C51F09" w:rsidRDefault="00E82B54" w:rsidP="00A31B0A">
      <w:pPr>
        <w:pStyle w:val="Bulletlist1"/>
      </w:pPr>
      <w:r w:rsidRPr="00C51F09">
        <w:t>the ability to detect defects or degradation in the component or structure may be more limited than in the equivalent metallic component or structure;</w:t>
      </w:r>
    </w:p>
    <w:p w14:paraId="59087F10" w14:textId="77777777" w:rsidR="00E82B54" w:rsidRPr="00C51F09" w:rsidRDefault="00E82B54" w:rsidP="00A31B0A">
      <w:pPr>
        <w:pStyle w:val="Bulletlist1"/>
      </w:pPr>
      <w:r w:rsidRPr="00C51F09">
        <w:t xml:space="preserve">many non-metallic materials have the potential to fail in a non-ductile manner which, combined with the limitations in detecting defects and degradation, may mean there is little forewarning of failure; </w:t>
      </w:r>
    </w:p>
    <w:p w14:paraId="35FF5E62" w14:textId="77777777" w:rsidR="00E82B54" w:rsidRPr="00C51F09" w:rsidRDefault="00E82B54" w:rsidP="00A31B0A">
      <w:pPr>
        <w:pStyle w:val="Bulletlist1"/>
      </w:pPr>
      <w:r>
        <w:lastRenderedPageBreak/>
        <w:t>t</w:t>
      </w:r>
      <w:r w:rsidRPr="00C51F09">
        <w:t xml:space="preserve">he resistance of non-metallic components or structures to </w:t>
      </w:r>
      <w:r>
        <w:t xml:space="preserve">an </w:t>
      </w:r>
      <w:r w:rsidRPr="00C51F09">
        <w:t>impact</w:t>
      </w:r>
      <w:r>
        <w:t xml:space="preserve">, as well as </w:t>
      </w:r>
      <w:r w:rsidRPr="00C51F09">
        <w:t xml:space="preserve">impacts </w:t>
      </w:r>
      <w:r>
        <w:t xml:space="preserve">having the potential </w:t>
      </w:r>
      <w:r w:rsidRPr="00C51F09">
        <w:t>to weaken the component or structure without outward signs of damage</w:t>
      </w:r>
      <w:r>
        <w:t>;</w:t>
      </w:r>
    </w:p>
    <w:p w14:paraId="20D499B7" w14:textId="77777777" w:rsidR="00E82B54" w:rsidRDefault="00E82B54" w:rsidP="00A31B0A">
      <w:pPr>
        <w:pStyle w:val="Bulletlist1"/>
      </w:pPr>
      <w:r w:rsidRPr="00C51F09">
        <w:t xml:space="preserve">there may be material-specific degradation mechanisms that need to be taken into account, such as low temperature creep and the potential for </w:t>
      </w:r>
      <w:r>
        <w:t>ultraviolet</w:t>
      </w:r>
      <w:r w:rsidRPr="00C51F09">
        <w:t xml:space="preserve"> degradation</w:t>
      </w:r>
      <w:r>
        <w:t>;</w:t>
      </w:r>
      <w:r w:rsidRPr="005D1EF5">
        <w:t xml:space="preserve"> </w:t>
      </w:r>
      <w:r w:rsidRPr="00C51F09">
        <w:t>and</w:t>
      </w:r>
    </w:p>
    <w:p w14:paraId="1719B93B" w14:textId="77777777" w:rsidR="00E82B54" w:rsidRDefault="00E82B54" w:rsidP="00A31B0A">
      <w:pPr>
        <w:pStyle w:val="Bulletlist1"/>
      </w:pPr>
      <w:r>
        <w:t>f</w:t>
      </w:r>
      <w:r w:rsidRPr="00C51F09">
        <w:t>ire could lead to premature failure of the component or structure</w:t>
      </w:r>
      <w:r>
        <w:t xml:space="preserve"> and </w:t>
      </w:r>
      <w:r w:rsidRPr="00C51F09">
        <w:t>could affect the performance of fire barriers where non-metallic components or structures pass</w:t>
      </w:r>
      <w:r>
        <w:t>,</w:t>
      </w:r>
      <w:r w:rsidRPr="00C51F09">
        <w:t xml:space="preserve"> or the component or structure may add to the fire loading if it is combustible.</w:t>
      </w:r>
    </w:p>
    <w:p w14:paraId="50E3C54E" w14:textId="77777777" w:rsidR="00E82B54" w:rsidRDefault="00E82B54" w:rsidP="00E82B54">
      <w:pPr>
        <w:pStyle w:val="Paragraph"/>
      </w:pPr>
      <w:r>
        <w:t>S</w:t>
      </w:r>
      <w:r w:rsidRPr="00C51F09">
        <w:t>ome non-metallic materials may be claimed to be immune to certain degradation mechanisms due to superior chemical or corrosion resistance, such claims should be justified in the safety case; otherwise, appropriate examination provisions are required to maintain adequate lifetime margins.</w:t>
      </w:r>
    </w:p>
    <w:p w14:paraId="62E7368C" w14:textId="1842434F" w:rsidR="00E243D0" w:rsidRPr="00CF791A" w:rsidRDefault="00E82B54" w:rsidP="00E243D0">
      <w:pPr>
        <w:pStyle w:val="Paragraph"/>
      </w:pPr>
      <w:r w:rsidRPr="00C51F09">
        <w:t xml:space="preserve">The advantages and disadvantages of using a non-metallic component or structure in preference to a metallic one should be </w:t>
      </w:r>
      <w:r>
        <w:t>appropriately considered and justified</w:t>
      </w:r>
      <w:r w:rsidRPr="00C51F09">
        <w:t>.</w:t>
      </w:r>
    </w:p>
    <w:p w14:paraId="5B247C96" w14:textId="46FA430D" w:rsidR="00E243D0" w:rsidRPr="00AA159A" w:rsidRDefault="00E243D0" w:rsidP="009B7D05">
      <w:pPr>
        <w:pStyle w:val="Heading2"/>
      </w:pPr>
      <w:r w:rsidRPr="00AA159A">
        <w:t xml:space="preserve">Integrity of </w:t>
      </w:r>
      <w:r w:rsidR="005F276D" w:rsidRPr="00AA159A">
        <w:t>m</w:t>
      </w:r>
      <w:r w:rsidRPr="00AA159A">
        <w:t>etallic SSCs</w:t>
      </w:r>
    </w:p>
    <w:p w14:paraId="21CC7DA1" w14:textId="2C373D31" w:rsidR="00E243D0" w:rsidRPr="00CF791A" w:rsidRDefault="00E243D0" w:rsidP="00E243D0">
      <w:pPr>
        <w:pStyle w:val="Paragraph"/>
      </w:pPr>
      <w:r w:rsidRPr="00CF791A">
        <w:t>This sub-section is concerned with the engineering assessment of the integrity of metallic SSCs such as pressure vessels, boilers, pressure parts, coolant circuits, pipework, core support</w:t>
      </w:r>
      <w:r w:rsidR="002169FF" w:rsidRPr="00CF791A">
        <w:t>s</w:t>
      </w:r>
      <w:r w:rsidRPr="00CF791A">
        <w:t>, pumps, valves, storage tanks and the freestanding metal shell of pressure retaining containment structures. It includes metal linings of concrete containments</w:t>
      </w:r>
      <w:r w:rsidR="00233B17" w:rsidRPr="00233B17">
        <w:t xml:space="preserve"> </w:t>
      </w:r>
      <w:r w:rsidR="00233B17">
        <w:t xml:space="preserve">and </w:t>
      </w:r>
      <w:r w:rsidR="00233B17" w:rsidRPr="00CF791A">
        <w:t>pressure vessels</w:t>
      </w:r>
      <w:r w:rsidR="00005C68">
        <w:t xml:space="preserve"> as well as</w:t>
      </w:r>
      <w:r w:rsidR="00233B17">
        <w:t xml:space="preserve"> their </w:t>
      </w:r>
      <w:r w:rsidR="008077FD" w:rsidRPr="00CF791A">
        <w:t>metal penetrations</w:t>
      </w:r>
      <w:r w:rsidRPr="00CF791A">
        <w:t xml:space="preserve"> but not the </w:t>
      </w:r>
      <w:r w:rsidR="004F44C0">
        <w:t xml:space="preserve">associated </w:t>
      </w:r>
      <w:r w:rsidRPr="00CF791A">
        <w:t xml:space="preserve">concrete structures. </w:t>
      </w:r>
    </w:p>
    <w:p w14:paraId="3CFC5BFC" w14:textId="77777777" w:rsidR="00E243D0" w:rsidRPr="00CF791A" w:rsidRDefault="00E243D0" w:rsidP="00E243D0">
      <w:pPr>
        <w:pStyle w:val="Paragraph"/>
      </w:pPr>
      <w:r w:rsidRPr="00CF791A">
        <w:t xml:space="preserve">Structural integrity aspects of the safety cases should rely on established engineering practices and account for required safety functions, providing multiple layers of defence against failure. Novel approaches and features may be acceptable if validated. </w:t>
      </w:r>
    </w:p>
    <w:p w14:paraId="3861ABDD" w14:textId="5E33559E" w:rsidR="00E243D0" w:rsidRPr="00CF791A" w:rsidRDefault="00E243D0" w:rsidP="00E243D0">
      <w:pPr>
        <w:pStyle w:val="Paragraph"/>
      </w:pPr>
      <w:r w:rsidRPr="00CF791A">
        <w:t xml:space="preserve">Due to limited reliability data on relevant disruptive metal failures in operating nuclear plants, assessments primarily use established engineering practice. Even when failure consequences could be serious, plausible failure frequencies often can't be calculated and are sometimes included only as sensitivity studies. If frequency estimates are critical to safety cases, they require strong engineering support and judgement comparing components to known databases. Where effective protective measures exist, less certainty about </w:t>
      </w:r>
      <w:r w:rsidR="000E71CA">
        <w:t xml:space="preserve">the </w:t>
      </w:r>
      <w:r w:rsidRPr="00CF791A">
        <w:t xml:space="preserve">integrity </w:t>
      </w:r>
      <w:r w:rsidR="000E71CA" w:rsidRPr="005774CA">
        <w:t>of metallic SSCs</w:t>
      </w:r>
      <w:r w:rsidR="000E71CA" w:rsidRPr="00CF791A">
        <w:t xml:space="preserve"> </w:t>
      </w:r>
      <w:r w:rsidRPr="00CF791A">
        <w:t>may be acceptable.</w:t>
      </w:r>
    </w:p>
    <w:p w14:paraId="160B048B" w14:textId="4B9F9DB4" w:rsidR="00E243D0" w:rsidRPr="00CF791A" w:rsidRDefault="00E243D0" w:rsidP="00E243D0">
      <w:pPr>
        <w:pStyle w:val="Paragraph"/>
      </w:pPr>
      <w:r w:rsidRPr="00CF791A">
        <w:t>The stringency of their application and corresponding depth of assessment should reflect the safety significance of the item</w:t>
      </w:r>
      <w:r w:rsidR="00855412">
        <w:t xml:space="preserve"> </w:t>
      </w:r>
      <w:r w:rsidR="007A50AA">
        <w:t>(refer to</w:t>
      </w:r>
      <w:r w:rsidR="00855412">
        <w:t xml:space="preserve"> </w:t>
      </w:r>
      <w:r w:rsidR="00D57239">
        <w:t>ECS.4)</w:t>
      </w:r>
      <w:r w:rsidRPr="00CF791A">
        <w:t>. The structural integrity aspects of the safety case should clearly set out its position within the wider context of the overall safety case.</w:t>
      </w:r>
    </w:p>
    <w:p w14:paraId="6145C01D" w14:textId="4571E406" w:rsidR="00E243D0" w:rsidRPr="00CF791A" w:rsidRDefault="00E243D0" w:rsidP="00E243D0">
      <w:pPr>
        <w:pStyle w:val="Paragraph"/>
      </w:pPr>
      <w:r w:rsidRPr="00CF791A">
        <w:lastRenderedPageBreak/>
        <w:t>SSCs important to safety should be designed, manufactured, installed, examined and inspected using codes</w:t>
      </w:r>
      <w:r w:rsidR="00F65B0E" w:rsidRPr="00CF791A">
        <w:t xml:space="preserve"> (EMD.1-3)</w:t>
      </w:r>
      <w:r w:rsidRPr="00CF791A">
        <w:t xml:space="preserve">, specifications and standards </w:t>
      </w:r>
      <w:r w:rsidR="007A50AA">
        <w:t>(refer to</w:t>
      </w:r>
      <w:r w:rsidR="00827944" w:rsidRPr="00CF791A">
        <w:t xml:space="preserve"> ECS.7) </w:t>
      </w:r>
      <w:r w:rsidRPr="00CF791A">
        <w:t xml:space="preserve">commensurate with their safety classification </w:t>
      </w:r>
      <w:r w:rsidR="00827944" w:rsidRPr="00CF791A">
        <w:t>(ECS.</w:t>
      </w:r>
      <w:r w:rsidR="000F1336" w:rsidRPr="00CF791A">
        <w:t xml:space="preserve">4). </w:t>
      </w:r>
    </w:p>
    <w:p w14:paraId="4BE7FCF0" w14:textId="77777777" w:rsidR="00E243D0" w:rsidRPr="00AA159A" w:rsidRDefault="00E243D0" w:rsidP="009B7D05">
      <w:pPr>
        <w:pStyle w:val="SAPHeading"/>
      </w:pPr>
      <w:r w:rsidRPr="00AA159A">
        <w:t xml:space="preserve">EMC.1 – Highest Reliability metallic SSCs </w:t>
      </w:r>
    </w:p>
    <w:p w14:paraId="1DDF6C50" w14:textId="77777777" w:rsidR="00E243D0" w:rsidRPr="00AA159A" w:rsidRDefault="00E243D0" w:rsidP="006C4609">
      <w:pPr>
        <w:pStyle w:val="SAPBodyText"/>
      </w:pPr>
      <w:r w:rsidRPr="00AA159A">
        <w:t xml:space="preserve">A highest reliability claim should be especially robust and the corresponding assessment suitably demanding, in order that a properly informed engineering judgement can be made that: </w:t>
      </w:r>
    </w:p>
    <w:p w14:paraId="1F4B0CD6" w14:textId="77777777" w:rsidR="00E243D0" w:rsidRPr="00AA159A" w:rsidRDefault="00E243D0" w:rsidP="006C4609">
      <w:pPr>
        <w:pStyle w:val="SAPBodyText"/>
      </w:pPr>
      <w:r w:rsidRPr="00AA159A">
        <w:t>(a) the metal component or structure is as defect-free as possible; and</w:t>
      </w:r>
    </w:p>
    <w:p w14:paraId="1D382411" w14:textId="77777777" w:rsidR="00E243D0" w:rsidRPr="00AA159A" w:rsidRDefault="00E243D0" w:rsidP="006C4609">
      <w:pPr>
        <w:pStyle w:val="SAPBodyText"/>
      </w:pPr>
      <w:r w:rsidRPr="00AA159A">
        <w:t>(b) the metal component or structure is tolerant of defects;</w:t>
      </w:r>
    </w:p>
    <w:p w14:paraId="0DCC6E1B" w14:textId="77777777" w:rsidR="00E243D0" w:rsidRPr="00AA159A" w:rsidRDefault="00E243D0" w:rsidP="006C4609">
      <w:pPr>
        <w:pStyle w:val="SAPBodyText"/>
      </w:pPr>
      <w:r w:rsidRPr="00AA159A">
        <w:t>(c) a comprehensive understanding of relevant scientific and technical issues has been considered; and</w:t>
      </w:r>
    </w:p>
    <w:p w14:paraId="76A8B1AF" w14:textId="77777777" w:rsidR="00E243D0" w:rsidRPr="00AA159A" w:rsidRDefault="00E243D0" w:rsidP="006C4609">
      <w:pPr>
        <w:pStyle w:val="SAPBodyText"/>
      </w:pPr>
      <w:r w:rsidRPr="00AA159A">
        <w:t>(d) evidence exists to demonstrate the necessary level of integrity has been achieved for the most demanding situations.</w:t>
      </w:r>
    </w:p>
    <w:p w14:paraId="53AA5C66" w14:textId="3D4587A8" w:rsidR="00B6472A" w:rsidRPr="00CF791A" w:rsidRDefault="00B6472A" w:rsidP="00B6472A">
      <w:pPr>
        <w:pStyle w:val="Paragraph"/>
        <w:rPr>
          <w:sz w:val="20"/>
          <w:szCs w:val="20"/>
          <w:lang w:bidi="ar-SA"/>
        </w:rPr>
      </w:pPr>
      <w:r w:rsidRPr="00CF791A">
        <w:t>For highest reliability metallic components</w:t>
      </w:r>
      <w:r w:rsidR="008F5655">
        <w:t>,</w:t>
      </w:r>
      <w:r w:rsidRPr="00CF791A">
        <w:t xml:space="preserve"> the objective is to reduce the risk of gross failure to a level where it need not be further considered within the design basis of the plant</w:t>
      </w:r>
      <w:r w:rsidR="00517BF7" w:rsidRPr="00CF791A">
        <w:t xml:space="preserve"> </w:t>
      </w:r>
      <w:r w:rsidR="007A50AA">
        <w:t>(refer to</w:t>
      </w:r>
      <w:r w:rsidR="00517BF7" w:rsidRPr="00CF791A">
        <w:t xml:space="preserve"> </w:t>
      </w:r>
      <w:r w:rsidR="008427D7" w:rsidRPr="00CF791A">
        <w:t>DBA</w:t>
      </w:r>
      <w:r w:rsidR="00517BF7" w:rsidRPr="00CF791A">
        <w:t>.</w:t>
      </w:r>
      <w:r w:rsidR="008427D7" w:rsidRPr="00CF791A">
        <w:t>2</w:t>
      </w:r>
      <w:r w:rsidR="00517BF7" w:rsidRPr="00CF791A">
        <w:t>)</w:t>
      </w:r>
      <w:r w:rsidRPr="00CF791A">
        <w:t>.</w:t>
      </w:r>
    </w:p>
    <w:p w14:paraId="0F64ED97" w14:textId="38DE5672" w:rsidR="00E243D0" w:rsidRPr="00CF791A" w:rsidRDefault="00E243D0" w:rsidP="00E243D0">
      <w:pPr>
        <w:pStyle w:val="Paragraph"/>
      </w:pPr>
      <w:r w:rsidRPr="00CF791A">
        <w:t>Highest reliability claims may result from the assessed direct or indirect consequences of gross failure. Highest reliability safety cases should establish rigorous evidence that gross failure can be discounted. This is a demanding approach. Where possible, safety cases should not rely on claims of extremely high structural integrity.</w:t>
      </w:r>
    </w:p>
    <w:p w14:paraId="2DFB8409" w14:textId="2F720AD4" w:rsidR="00E243D0" w:rsidRPr="00CF791A" w:rsidRDefault="00E243D0" w:rsidP="00E243D0">
      <w:pPr>
        <w:pStyle w:val="Paragraph"/>
      </w:pPr>
      <w:r w:rsidRPr="00CF791A">
        <w:t xml:space="preserve">For non-redundant items, the emphasis will be on avoiding defects; </w:t>
      </w:r>
      <w:r w:rsidRPr="00CF791A">
        <w:br/>
        <w:t>for redundant items (</w:t>
      </w:r>
      <w:r w:rsidR="00027896">
        <w:t>for example,</w:t>
      </w:r>
      <w:r w:rsidRPr="00CF791A">
        <w:t xml:space="preserve"> bolted closures or support structures) the emphasis might lie more in the redundancy argument than in the avoidance of defects.</w:t>
      </w:r>
    </w:p>
    <w:p w14:paraId="2505205E" w14:textId="2A763427" w:rsidR="00E243D0" w:rsidRPr="00CF791A" w:rsidRDefault="00E243D0" w:rsidP="00E243D0">
      <w:pPr>
        <w:pStyle w:val="Paragraph"/>
      </w:pPr>
      <w:r w:rsidRPr="00CF791A">
        <w:t>The strength and extent of the evidence provided should be commensurate with its importance to the overall safety case. Hence, there is a higher burden of proof for highest reliability SSCs</w:t>
      </w:r>
      <w:r w:rsidR="001D3F63" w:rsidRPr="00CF791A">
        <w:t xml:space="preserve"> compared with other classes</w:t>
      </w:r>
      <w:r w:rsidRPr="00CF791A">
        <w:t>.</w:t>
      </w:r>
    </w:p>
    <w:p w14:paraId="50B77A7B" w14:textId="77777777" w:rsidR="00E243D0" w:rsidRPr="00AA159A" w:rsidRDefault="00E243D0" w:rsidP="009B7D05">
      <w:pPr>
        <w:pStyle w:val="SAPHeading"/>
        <w:rPr>
          <w:lang w:bidi="ar-SA"/>
        </w:rPr>
      </w:pPr>
      <w:r w:rsidRPr="00AA159A">
        <w:rPr>
          <w:lang w:bidi="ar-SA"/>
        </w:rPr>
        <w:t>EMC.2 – Ductile behaviour</w:t>
      </w:r>
    </w:p>
    <w:p w14:paraId="29E2B3B3" w14:textId="13BB8BBF" w:rsidR="00E243D0" w:rsidRPr="00AA159A" w:rsidRDefault="00E243D0" w:rsidP="006C4609">
      <w:pPr>
        <w:pStyle w:val="SAPBodyText"/>
      </w:pPr>
      <w:r w:rsidRPr="00AA159A">
        <w:t>For metal pressure vessels and circuits, particularly ferritic steel items, the operating regime should ensure that they display ductile behaviour when stressed</w:t>
      </w:r>
      <w:r w:rsidR="00EF3BC2" w:rsidRPr="00AA159A">
        <w:t xml:space="preserve"> significantly</w:t>
      </w:r>
      <w:r w:rsidRPr="00AA159A">
        <w:t>.</w:t>
      </w:r>
    </w:p>
    <w:p w14:paraId="7914ACE5" w14:textId="77777777" w:rsidR="00E243D0" w:rsidRPr="00CF791A" w:rsidRDefault="00E243D0" w:rsidP="00E243D0">
      <w:pPr>
        <w:pStyle w:val="Paragraph"/>
      </w:pPr>
      <w:r w:rsidRPr="00CF791A">
        <w:t>Designs in which components of a metal pressure boundary could exhibit brittle behaviour should be avoided.</w:t>
      </w:r>
    </w:p>
    <w:p w14:paraId="2939C959" w14:textId="77777777" w:rsidR="00E243D0" w:rsidRPr="00CF791A" w:rsidRDefault="00E243D0" w:rsidP="00E243D0">
      <w:pPr>
        <w:pStyle w:val="Paragraph"/>
      </w:pPr>
      <w:r w:rsidRPr="00CF791A">
        <w:t xml:space="preserve">Principle EMD.1 should be considered for the specification and validation of materials. In particular, for ferritic steel nuclear reactor pressure vessels (RPVs): </w:t>
      </w:r>
    </w:p>
    <w:p w14:paraId="28EE346C" w14:textId="77777777" w:rsidR="00E243D0" w:rsidRPr="00AA159A" w:rsidRDefault="00E243D0" w:rsidP="00134698">
      <w:pPr>
        <w:pStyle w:val="NumList2"/>
        <w:numPr>
          <w:ilvl w:val="1"/>
          <w:numId w:val="35"/>
        </w:numPr>
      </w:pPr>
      <w:r w:rsidRPr="00AA159A">
        <w:lastRenderedPageBreak/>
        <w:t>clear safety benefits derive from operating at temperatures to ensure ductile behaviour; and</w:t>
      </w:r>
    </w:p>
    <w:p w14:paraId="555DEBF3" w14:textId="77777777" w:rsidR="00E243D0" w:rsidRPr="00AA159A" w:rsidRDefault="00E243D0" w:rsidP="00134698">
      <w:pPr>
        <w:pStyle w:val="NumList2"/>
        <w:numPr>
          <w:ilvl w:val="1"/>
          <w:numId w:val="35"/>
        </w:numPr>
      </w:pPr>
      <w:r w:rsidRPr="00AA159A">
        <w:t xml:space="preserve">RPVs should, for normal steady-state operation, operate in the ductile regime. </w:t>
      </w:r>
    </w:p>
    <w:p w14:paraId="0F31A584" w14:textId="77777777" w:rsidR="00E243D0" w:rsidRPr="00CF791A" w:rsidRDefault="00E243D0" w:rsidP="000C5554">
      <w:pPr>
        <w:pStyle w:val="Paragraph"/>
        <w:ind w:left="709"/>
      </w:pPr>
      <w:r w:rsidRPr="00CF791A">
        <w:rPr>
          <w:b/>
          <w:bCs w:val="0"/>
        </w:rPr>
        <w:t>Note</w:t>
      </w:r>
      <w:r w:rsidRPr="00CF791A">
        <w:t>: For other conditions, the RPVs should also be in the ductile regime. However, where this cannot be achieved – e.g. during shutdown, start-up or limited duration transients – it is important that all relevant uncertainties and conditions are considered so that adequate margins on toughness are shown.</w:t>
      </w:r>
    </w:p>
    <w:p w14:paraId="7EA7836E" w14:textId="77777777" w:rsidR="00E243D0" w:rsidRPr="00CF791A" w:rsidRDefault="00E243D0" w:rsidP="00E243D0">
      <w:pPr>
        <w:pStyle w:val="Paragraph"/>
      </w:pPr>
      <w:r w:rsidRPr="00CF791A">
        <w:t>Initiation fracture toughness should be the basis for analysis of normal loading conditions. For fracture analyses of extreme fault or hazard loading conditions, results using initiation fracture toughness may be supplemented with results using fracture toughness based on limited amounts of stable tearing. In this case, there should be valid materials fracture toughness data up to at least the limited extent of tearing used. In all cases toughness values used in analyses should be appropriately bounded. Thermal and residual stresses should also be included and correctly combined with primary stresses in fracture analyses where applicable.</w:t>
      </w:r>
    </w:p>
    <w:p w14:paraId="7B6A01ED" w14:textId="77777777" w:rsidR="00E243D0" w:rsidRPr="00AA159A" w:rsidRDefault="00E243D0" w:rsidP="009B7D05">
      <w:pPr>
        <w:pStyle w:val="SAPHeading"/>
      </w:pPr>
      <w:r w:rsidRPr="00AA159A">
        <w:t>EMC.3 – Product form</w:t>
      </w:r>
    </w:p>
    <w:p w14:paraId="2CD8E1C0" w14:textId="77777777" w:rsidR="00E243D0" w:rsidRPr="00AA159A" w:rsidRDefault="00E243D0" w:rsidP="006C4609">
      <w:pPr>
        <w:pStyle w:val="SAPBodyText"/>
      </w:pPr>
      <w:r w:rsidRPr="00AA159A">
        <w:t>The choice of product form of metal components or their constituent parts should have regard to enabling examination and to minimising the number and length of welds in the component.</w:t>
      </w:r>
    </w:p>
    <w:p w14:paraId="175957F2" w14:textId="77777777" w:rsidR="00E243D0" w:rsidRPr="00AA159A" w:rsidRDefault="00E243D0" w:rsidP="009B7D05">
      <w:pPr>
        <w:pStyle w:val="SAPHeading"/>
        <w:rPr>
          <w:lang w:bidi="ar-SA"/>
        </w:rPr>
      </w:pPr>
      <w:r w:rsidRPr="00AA159A">
        <w:rPr>
          <w:lang w:bidi="ar-SA"/>
        </w:rPr>
        <w:t>EMC.4 – Weld positions</w:t>
      </w:r>
    </w:p>
    <w:p w14:paraId="598FA68B" w14:textId="77777777" w:rsidR="00E243D0" w:rsidRPr="00AA159A" w:rsidRDefault="00E243D0" w:rsidP="006C4609">
      <w:pPr>
        <w:pStyle w:val="SAPBodyText"/>
      </w:pPr>
      <w:r w:rsidRPr="00AA159A">
        <w:t>The positioning of welds should have regard to high-stress locations and adverse environments.</w:t>
      </w:r>
    </w:p>
    <w:p w14:paraId="76F51535" w14:textId="77777777" w:rsidR="00E243D0" w:rsidRPr="00CF791A" w:rsidRDefault="00E243D0" w:rsidP="00E243D0">
      <w:pPr>
        <w:pStyle w:val="Paragraph"/>
      </w:pPr>
      <w:r w:rsidRPr="00CF791A">
        <w:t xml:space="preserve">For example: </w:t>
      </w:r>
    </w:p>
    <w:p w14:paraId="333B95FB" w14:textId="7C26AC9B" w:rsidR="00E243D0" w:rsidRPr="00AA159A" w:rsidRDefault="00E243D0" w:rsidP="00134698">
      <w:pPr>
        <w:pStyle w:val="NumList2"/>
        <w:numPr>
          <w:ilvl w:val="1"/>
          <w:numId w:val="36"/>
        </w:numPr>
      </w:pPr>
      <w:r w:rsidRPr="00AA159A">
        <w:t xml:space="preserve">forged austenitic stainless steel is preferred over cast stainless steel because of the better ultrasound transmission in the forged form; </w:t>
      </w:r>
    </w:p>
    <w:p w14:paraId="0FF57E40" w14:textId="77777777" w:rsidR="00E243D0" w:rsidRPr="00AA159A" w:rsidRDefault="00E243D0" w:rsidP="00134698">
      <w:pPr>
        <w:pStyle w:val="NumList2"/>
        <w:numPr>
          <w:ilvl w:val="1"/>
          <w:numId w:val="36"/>
        </w:numPr>
      </w:pPr>
      <w:r w:rsidRPr="00AA159A">
        <w:t>welds and other features that will need examination should not be placed within civil structures or so close to other features that inspection is prevented; and</w:t>
      </w:r>
    </w:p>
    <w:p w14:paraId="57F91C57" w14:textId="77777777" w:rsidR="00E243D0" w:rsidRPr="00AA159A" w:rsidRDefault="00E243D0" w:rsidP="00134698">
      <w:pPr>
        <w:pStyle w:val="NumList2"/>
        <w:numPr>
          <w:ilvl w:val="1"/>
          <w:numId w:val="36"/>
        </w:numPr>
      </w:pPr>
      <w:r w:rsidRPr="00AA159A">
        <w:t>designs should consider avoiding welds in high neutron radiation locations.</w:t>
      </w:r>
    </w:p>
    <w:p w14:paraId="0AC10D33" w14:textId="77777777" w:rsidR="00E243D0" w:rsidRPr="00AA159A" w:rsidRDefault="00E243D0" w:rsidP="009B7D05">
      <w:pPr>
        <w:pStyle w:val="SAPHeading"/>
      </w:pPr>
      <w:r w:rsidRPr="00AA159A">
        <w:t>EMC.5 – Loadings</w:t>
      </w:r>
    </w:p>
    <w:p w14:paraId="2B241DF8" w14:textId="7E9AD0AE" w:rsidR="00E243D0" w:rsidRPr="00AA159A" w:rsidRDefault="00E243D0" w:rsidP="006C4609">
      <w:pPr>
        <w:pStyle w:val="SAPBodyText"/>
      </w:pPr>
      <w:r w:rsidRPr="00AA159A">
        <w:t xml:space="preserve">The schedule of design loadings (including combinations of loadings) for components and structures, together with conservative estimates of their frequency of occurrence should be used as the basis for design. This should include </w:t>
      </w:r>
      <w:r w:rsidR="008135D7">
        <w:t xml:space="preserve">all </w:t>
      </w:r>
      <w:r w:rsidR="008135D7" w:rsidRPr="00350AC3">
        <w:t>normal operation, fault and accident conditions</w:t>
      </w:r>
      <w:r w:rsidR="008135D7" w:rsidRPr="008135D7">
        <w:t xml:space="preserve"> </w:t>
      </w:r>
      <w:r w:rsidR="008135D7">
        <w:t xml:space="preserve">including </w:t>
      </w:r>
      <w:r w:rsidRPr="00AA159A">
        <w:t>plant transients and tests.</w:t>
      </w:r>
    </w:p>
    <w:p w14:paraId="239E6EAA" w14:textId="77777777" w:rsidR="00E243D0" w:rsidRPr="00AA159A" w:rsidRDefault="00E243D0" w:rsidP="009B7D05">
      <w:pPr>
        <w:pStyle w:val="SAPHeading"/>
      </w:pPr>
      <w:r w:rsidRPr="00AA159A">
        <w:lastRenderedPageBreak/>
        <w:t>EMC.6 – Stress analysis</w:t>
      </w:r>
    </w:p>
    <w:p w14:paraId="100832BF" w14:textId="1444AD4F" w:rsidR="00E243D0" w:rsidRPr="00AA159A" w:rsidRDefault="00E243D0" w:rsidP="006C4609">
      <w:pPr>
        <w:pStyle w:val="SAPBodyText"/>
      </w:pPr>
      <w:r w:rsidRPr="00AA159A">
        <w:t xml:space="preserve">Stress analysis (including when displacements are the limiting parameter) should be carried out as necessary to support substantiation of the design and should demonstrate the component has an adequate life, </w:t>
      </w:r>
      <w:r w:rsidR="007A36E8" w:rsidRPr="007A36E8">
        <w:t>considering</w:t>
      </w:r>
      <w:r w:rsidRPr="00AA159A">
        <w:t xml:space="preserve"> time-dependent degradation processes</w:t>
      </w:r>
      <w:r w:rsidR="00F42FCF">
        <w:t>.</w:t>
      </w:r>
    </w:p>
    <w:p w14:paraId="258F8BB3" w14:textId="451635D7" w:rsidR="00E243D0" w:rsidRPr="00CF791A" w:rsidRDefault="00E243D0" w:rsidP="00E243D0">
      <w:pPr>
        <w:pStyle w:val="Paragraph"/>
      </w:pPr>
      <w:r w:rsidRPr="00CF791A">
        <w:t xml:space="preserve">The stress analysis and supporting analyses should use methods that have been validated and their application should be verified </w:t>
      </w:r>
      <w:r w:rsidR="007A50AA">
        <w:t>(refer to</w:t>
      </w:r>
      <w:r w:rsidRPr="00CF791A">
        <w:t xml:space="preserve"> AV</w:t>
      </w:r>
      <w:r w:rsidR="009A40BF">
        <w:t xml:space="preserve"> SAPs).</w:t>
      </w:r>
      <w:r w:rsidRPr="00CF791A">
        <w:t xml:space="preserve"> </w:t>
      </w:r>
    </w:p>
    <w:p w14:paraId="0EEF225B" w14:textId="77777777" w:rsidR="00E243D0" w:rsidRPr="00AA159A" w:rsidRDefault="00E243D0" w:rsidP="009B7D05">
      <w:pPr>
        <w:pStyle w:val="SAPHeading"/>
      </w:pPr>
      <w:r w:rsidRPr="00AA159A">
        <w:t>EMC.7 – Failure modes</w:t>
      </w:r>
    </w:p>
    <w:p w14:paraId="0705A5C0" w14:textId="77777777" w:rsidR="00E243D0" w:rsidRPr="00AA159A" w:rsidRDefault="00E243D0" w:rsidP="006C4609">
      <w:pPr>
        <w:pStyle w:val="SAPBodyText"/>
      </w:pPr>
      <w:r w:rsidRPr="00AA159A">
        <w:t>Failure modes should be gradual and predictable.</w:t>
      </w:r>
    </w:p>
    <w:p w14:paraId="4C674AD3" w14:textId="0A2D12AD" w:rsidR="00E243D0" w:rsidRPr="00CF791A" w:rsidRDefault="00E243D0" w:rsidP="00E243D0">
      <w:pPr>
        <w:pStyle w:val="Paragraph"/>
      </w:pPr>
      <w:r w:rsidRPr="00CF791A">
        <w:t>Monitoring aspects of ageing and degradation are dealt with in EAD.2</w:t>
      </w:r>
      <w:r w:rsidR="00071FC8" w:rsidRPr="00CF791A">
        <w:t>-</w:t>
      </w:r>
      <w:r w:rsidRPr="00CF791A">
        <w:t xml:space="preserve">4. </w:t>
      </w:r>
      <w:r w:rsidR="00D8763B">
        <w:br/>
      </w:r>
      <w:r w:rsidRPr="00CF791A">
        <w:t>EMD.3 should also be considered for adequate forewarning of failure and tolerance to defects, accounting for all relevant failure mechanisms.</w:t>
      </w:r>
    </w:p>
    <w:p w14:paraId="31AE5433" w14:textId="77777777" w:rsidR="00E243D0" w:rsidRPr="00AA159A" w:rsidRDefault="00E243D0" w:rsidP="009B7D05">
      <w:pPr>
        <w:pStyle w:val="Heading2"/>
      </w:pPr>
      <w:r w:rsidRPr="00AA159A">
        <w:t>Civil engineering</w:t>
      </w:r>
    </w:p>
    <w:p w14:paraId="5B6FE0FD" w14:textId="3EFE10EF" w:rsidR="00E243D0" w:rsidRPr="00AA159A" w:rsidRDefault="00E243D0" w:rsidP="009B7D05">
      <w:pPr>
        <w:pStyle w:val="SAPHeading"/>
      </w:pPr>
      <w:r w:rsidRPr="00AA159A">
        <w:t>ECE.</w:t>
      </w:r>
      <w:r w:rsidR="004E5C29" w:rsidRPr="00AA159A">
        <w:t>1</w:t>
      </w:r>
      <w:r w:rsidRPr="00AA159A">
        <w:t xml:space="preserve"> — Structural stability, robustness and ductility</w:t>
      </w:r>
    </w:p>
    <w:p w14:paraId="6E171F07" w14:textId="2D40FB79" w:rsidR="00E243D0" w:rsidRPr="00AA159A" w:rsidRDefault="006D4978" w:rsidP="006C4609">
      <w:pPr>
        <w:pStyle w:val="SAPBodyText"/>
      </w:pPr>
      <w:r w:rsidRPr="006D4978">
        <w:t>Civil SSCs should maintain structural stability and provide appropriate levels of robustness and ductility to support safety functions. Where practicable, the structural form should prevent disproportionate collapse and incorporate redundancy to avoid loss of functional performance</w:t>
      </w:r>
      <w:r w:rsidR="00E243D0" w:rsidRPr="00AA159A">
        <w:t>.</w:t>
      </w:r>
    </w:p>
    <w:p w14:paraId="080E3693" w14:textId="77777777" w:rsidR="00E243D0" w:rsidRPr="00CF791A" w:rsidRDefault="00E243D0" w:rsidP="00E243D0">
      <w:pPr>
        <w:pStyle w:val="Paragraph"/>
      </w:pPr>
      <w:r w:rsidRPr="00CF791A">
        <w:t>Where practicable, the civil structures should:</w:t>
      </w:r>
    </w:p>
    <w:p w14:paraId="24504F97" w14:textId="2ACD68A0" w:rsidR="00E243D0" w:rsidRPr="00CF791A" w:rsidRDefault="00E243D0" w:rsidP="00A31B0A">
      <w:pPr>
        <w:pStyle w:val="Bulletlist1"/>
      </w:pPr>
      <w:r w:rsidRPr="00CF791A">
        <w:t>achieve robustness by the avoidance of disproportionate collapse, provision of redundancy and alternative load paths, incorporation of appropriate ductility and capacity;</w:t>
      </w:r>
    </w:p>
    <w:p w14:paraId="380A1173" w14:textId="77777777" w:rsidR="00E243D0" w:rsidRPr="00CF791A" w:rsidRDefault="00E243D0" w:rsidP="00A31B0A">
      <w:pPr>
        <w:pStyle w:val="Bulletlist1"/>
      </w:pPr>
      <w:r w:rsidRPr="00CF791A">
        <w:t>ensure failure modes are gradual and detectable, allowing sufficient time for remedial action and preventing sudden, catastrophic failure;</w:t>
      </w:r>
    </w:p>
    <w:p w14:paraId="754C2817" w14:textId="77777777" w:rsidR="00E243D0" w:rsidRPr="00CF791A" w:rsidRDefault="00E243D0" w:rsidP="00A31B0A">
      <w:pPr>
        <w:pStyle w:val="Bulletlist1"/>
      </w:pPr>
      <w:r w:rsidRPr="00CF791A">
        <w:t>provide adequate ductility and energy dissipation capacity, particularly under extreme or dynamic loading conditions such as seismic events, to avoid brittle failure modes;</w:t>
      </w:r>
    </w:p>
    <w:p w14:paraId="05AAE6DB" w14:textId="46131216" w:rsidR="00E243D0" w:rsidRPr="00CF791A" w:rsidRDefault="00E243D0" w:rsidP="00A31B0A">
      <w:pPr>
        <w:pStyle w:val="Bulletlist1"/>
      </w:pPr>
      <w:r w:rsidRPr="00CF791A">
        <w:t>demonstrate that where structural systems are inherently less ductile, a sufficiently high margin is provided; and</w:t>
      </w:r>
    </w:p>
    <w:p w14:paraId="086713A3" w14:textId="77777777" w:rsidR="00E243D0" w:rsidRPr="00CF791A" w:rsidRDefault="00E243D0" w:rsidP="00A31B0A">
      <w:pPr>
        <w:pStyle w:val="Bulletlist1"/>
      </w:pPr>
      <w:r w:rsidRPr="00CF791A">
        <w:t>consider progressive collapse mechanisms, ensuring that detailing and connectivity between elements limit cascading failures.</w:t>
      </w:r>
    </w:p>
    <w:p w14:paraId="756910E7" w14:textId="77777777" w:rsidR="00E243D0" w:rsidRPr="00CF791A" w:rsidRDefault="00E243D0" w:rsidP="00E243D0">
      <w:pPr>
        <w:pStyle w:val="Paragraph"/>
      </w:pPr>
      <w:r w:rsidRPr="00CF791A">
        <w:t>Account for beyond-design-basis scenarios, where structural resilience may involve controlled failure modes that suitably limit radiological consequences.</w:t>
      </w:r>
    </w:p>
    <w:p w14:paraId="5ABA7310" w14:textId="33DC7977" w:rsidR="00E243D0" w:rsidRPr="00AA159A" w:rsidRDefault="00E243D0" w:rsidP="009B7D05">
      <w:pPr>
        <w:pStyle w:val="SAPHeading"/>
      </w:pPr>
      <w:r w:rsidRPr="00AA159A">
        <w:lastRenderedPageBreak/>
        <w:t>ECE.</w:t>
      </w:r>
      <w:r w:rsidR="004E5C29" w:rsidRPr="00AA159A">
        <w:t>2</w:t>
      </w:r>
      <w:r w:rsidRPr="00AA159A">
        <w:t xml:space="preserve"> — Site characterisation and geotechnical data</w:t>
      </w:r>
    </w:p>
    <w:p w14:paraId="3DDD2479" w14:textId="30FC0B7A" w:rsidR="00E243D0" w:rsidRPr="00AA159A" w:rsidRDefault="00C305AE" w:rsidP="006C4609">
      <w:pPr>
        <w:pStyle w:val="SAPBodyText"/>
      </w:pPr>
      <w:r w:rsidRPr="00C305AE">
        <w:t>Site characterisation should provide sufficient reliable geotechnical information, data and interpretation to establish a justified understanding of site conditions and their variability</w:t>
      </w:r>
      <w:r w:rsidR="00E243D0" w:rsidRPr="00AA159A">
        <w:t>.</w:t>
      </w:r>
    </w:p>
    <w:p w14:paraId="67CD12DE" w14:textId="2533833D" w:rsidR="00E243D0" w:rsidRPr="00CF791A" w:rsidRDefault="00E243D0" w:rsidP="00E243D0">
      <w:pPr>
        <w:pStyle w:val="Paragraph"/>
      </w:pPr>
      <w:r w:rsidRPr="00CF791A">
        <w:t>For some applications the use of existing data may be appropriate or due to site constraints may be the only option available. In these situations, desktop studies can be used to collate and critically review existing information, including historical records, previous investigations and interpretations. The quality, completeness, and relevance of this existing data should be assessed to determine its suitability for informing modelling and design decisions. Where existing data is used for assessment purposes, uncertainties and limitations should be explicitly acknowledged and addressed through appropriate conservative assumptions or bounding analysis.</w:t>
      </w:r>
    </w:p>
    <w:p w14:paraId="4159B17B" w14:textId="77777777" w:rsidR="00E243D0" w:rsidRPr="00CF791A" w:rsidRDefault="00E243D0" w:rsidP="00E243D0">
      <w:pPr>
        <w:pStyle w:val="Paragraph"/>
      </w:pPr>
      <w:r w:rsidRPr="00CF791A">
        <w:t>For larger scale projects where collection of new data is deemed proportionate or a full characterisation of a new build site is required, the following points should be considered as appropriate:</w:t>
      </w:r>
    </w:p>
    <w:p w14:paraId="28FA8591" w14:textId="77777777" w:rsidR="00E243D0" w:rsidRPr="00AA159A" w:rsidRDefault="00E243D0" w:rsidP="00134698">
      <w:pPr>
        <w:pStyle w:val="NumList2"/>
        <w:numPr>
          <w:ilvl w:val="1"/>
          <w:numId w:val="37"/>
        </w:numPr>
      </w:pPr>
      <w:r w:rsidRPr="00AA159A">
        <w:t>the investigation strategy should be updated iteratively as the design evolves, with feedback loops to refine understanding and reduce uncertainty;</w:t>
      </w:r>
    </w:p>
    <w:p w14:paraId="2DE2C2E6" w14:textId="77777777" w:rsidR="00E243D0" w:rsidRPr="00AA159A" w:rsidRDefault="00E243D0" w:rsidP="00134698">
      <w:pPr>
        <w:pStyle w:val="NumList2"/>
        <w:numPr>
          <w:ilvl w:val="1"/>
          <w:numId w:val="37"/>
        </w:numPr>
      </w:pPr>
      <w:r w:rsidRPr="00AA159A">
        <w:t xml:space="preserve">investigations should follow codes and standards and provide adequate spatial and temporal resolution to capture the variability of ground and groundwater conditions, such as stratigraphy, strength, stiffness, permeability, and pore pressure regimes; </w:t>
      </w:r>
    </w:p>
    <w:p w14:paraId="6F5BC65F" w14:textId="4CD1CAEA" w:rsidR="00E243D0" w:rsidRPr="00AA159A" w:rsidRDefault="00E243D0" w:rsidP="00134698">
      <w:pPr>
        <w:pStyle w:val="NumList2"/>
        <w:numPr>
          <w:ilvl w:val="1"/>
          <w:numId w:val="37"/>
        </w:numPr>
      </w:pPr>
      <w:r w:rsidRPr="00AA159A">
        <w:t xml:space="preserve">attention should be given to site-specific factors that could affect durability and </w:t>
      </w:r>
      <w:r w:rsidR="0080112F" w:rsidRPr="00AA159A">
        <w:t>long-term</w:t>
      </w:r>
      <w:r w:rsidRPr="00AA159A">
        <w:t xml:space="preserve"> performance, or safety, including aggressive ground conditions (for example, sulphate-rich soils, or acidic/alkaline environments); </w:t>
      </w:r>
    </w:p>
    <w:p w14:paraId="2ED61C08" w14:textId="77777777" w:rsidR="00E243D0" w:rsidRPr="00AA159A" w:rsidRDefault="00E243D0" w:rsidP="00134698">
      <w:pPr>
        <w:pStyle w:val="NumList2"/>
        <w:numPr>
          <w:ilvl w:val="1"/>
          <w:numId w:val="37"/>
        </w:numPr>
      </w:pPr>
      <w:r w:rsidRPr="00AA159A">
        <w:t>unstable ground conditions, such as expansive clays, collapsible soils, karstic features, or areas prone to landslides or subsidence, should be identified and assessed for their impact on structural stability and constructability;</w:t>
      </w:r>
    </w:p>
    <w:p w14:paraId="66FE1993" w14:textId="77777777" w:rsidR="00E243D0" w:rsidRPr="00AA159A" w:rsidRDefault="00E243D0" w:rsidP="00134698">
      <w:pPr>
        <w:pStyle w:val="NumList2"/>
        <w:numPr>
          <w:ilvl w:val="1"/>
          <w:numId w:val="37"/>
        </w:numPr>
      </w:pPr>
      <w:r w:rsidRPr="00AA159A">
        <w:t>seismic hazard assessments should include evaluation of liquefaction potential, fault rupture risk, and dynamic soil behaviour, supported by appropriate geophysical and geotechnical testing;</w:t>
      </w:r>
    </w:p>
    <w:p w14:paraId="3D27FEDC" w14:textId="77777777" w:rsidR="00E243D0" w:rsidRPr="00AA159A" w:rsidRDefault="00E243D0" w:rsidP="00134698">
      <w:pPr>
        <w:pStyle w:val="NumList2"/>
        <w:numPr>
          <w:ilvl w:val="1"/>
          <w:numId w:val="37"/>
        </w:numPr>
      </w:pPr>
      <w:r w:rsidRPr="00AA159A">
        <w:t>the potential presence of radon gas and unexploded ordnance (UXO) should be assessed based on site history, with appropriate surveys and mitigation strategies implemented where necessary;</w:t>
      </w:r>
    </w:p>
    <w:p w14:paraId="42690B53" w14:textId="77777777" w:rsidR="00E243D0" w:rsidRPr="00AA159A" w:rsidRDefault="00E243D0" w:rsidP="00134698">
      <w:pPr>
        <w:pStyle w:val="NumList2"/>
        <w:numPr>
          <w:ilvl w:val="1"/>
          <w:numId w:val="37"/>
        </w:numPr>
      </w:pPr>
      <w:r w:rsidRPr="00AA159A">
        <w:t>where appropriate data should support the identification of uncertainties—such as ranges, bounding values, and distributions—without embedding conservatism into the characterisation itself; and</w:t>
      </w:r>
    </w:p>
    <w:p w14:paraId="52E43AFB" w14:textId="77777777" w:rsidR="00E243D0" w:rsidRPr="00AA159A" w:rsidRDefault="00E243D0" w:rsidP="00134698">
      <w:pPr>
        <w:pStyle w:val="NumList2"/>
        <w:numPr>
          <w:ilvl w:val="1"/>
          <w:numId w:val="37"/>
        </w:numPr>
      </w:pPr>
      <w:r w:rsidRPr="00AA159A">
        <w:lastRenderedPageBreak/>
        <w:t>data acquisition should be traceable, quality-assured, and sufficient to support the development, calibration, and validation of geotechnical and structural models.</w:t>
      </w:r>
    </w:p>
    <w:p w14:paraId="18B78222" w14:textId="2C2C9F80" w:rsidR="00E243D0" w:rsidRPr="00AA159A" w:rsidRDefault="00E243D0" w:rsidP="009B7D05">
      <w:pPr>
        <w:pStyle w:val="SAPHeading"/>
      </w:pPr>
      <w:r w:rsidRPr="00AA159A">
        <w:t>ECE.</w:t>
      </w:r>
      <w:r w:rsidR="004E5C29" w:rsidRPr="00AA159A">
        <w:t>3</w:t>
      </w:r>
      <w:r w:rsidRPr="00AA159A">
        <w:t xml:space="preserve"> — Geotechnical and structural modelling and analysis</w:t>
      </w:r>
    </w:p>
    <w:p w14:paraId="530808C0" w14:textId="50511BD7" w:rsidR="00E243D0" w:rsidRPr="00AA159A" w:rsidRDefault="009F6648" w:rsidP="006C4609">
      <w:pPr>
        <w:pStyle w:val="SAPBodyText"/>
      </w:pPr>
      <w:r w:rsidRPr="009F6648">
        <w:t>Modelling and analysis should appropriately represent physical conditions and geotechnical and structural behaviour</w:t>
      </w:r>
      <w:r w:rsidR="00E243D0" w:rsidRPr="00AA159A">
        <w:t>.</w:t>
      </w:r>
    </w:p>
    <w:p w14:paraId="764482A4" w14:textId="77777777" w:rsidR="00E243D0" w:rsidRPr="00CF791A" w:rsidRDefault="00E243D0" w:rsidP="00E243D0">
      <w:pPr>
        <w:pStyle w:val="Paragraph"/>
      </w:pPr>
      <w:r w:rsidRPr="00CF791A">
        <w:t xml:space="preserve">Modelling and analysis should where practicable be based on a rigorous understanding of the physical system, including geometry, boundary conditions, material properties and behaviours, and loading scenarios. </w:t>
      </w:r>
    </w:p>
    <w:p w14:paraId="3D54C610" w14:textId="46EFC01A" w:rsidR="00E243D0" w:rsidRPr="00CF791A" w:rsidRDefault="00E243D0" w:rsidP="00E243D0">
      <w:pPr>
        <w:pStyle w:val="Paragraph"/>
      </w:pPr>
      <w:r w:rsidRPr="00CF791A">
        <w:t>Geotechnical models should incorporate site-specific data and account for spatial variability, groundwater conditions, and time-dependent behaviours such as consolidation or creep as appropriate. Integration of geotechnical and structural models may be necessary to capture soil-structure and structure-soil-structure interaction effects.</w:t>
      </w:r>
    </w:p>
    <w:p w14:paraId="783F30A5" w14:textId="2F03DCE4" w:rsidR="00E243D0" w:rsidRPr="00CF791A" w:rsidRDefault="00E243D0" w:rsidP="00E243D0">
      <w:pPr>
        <w:pStyle w:val="Paragraph"/>
      </w:pPr>
      <w:r w:rsidRPr="00CF791A">
        <w:t>Models should be capable of adequately predicting the response of the civil structure for the relevant plant state being considered. The selection of modelling approaches (</w:t>
      </w:r>
      <w:r w:rsidR="00C12072" w:rsidRPr="00CF791A">
        <w:t>for example</w:t>
      </w:r>
      <w:r w:rsidR="00C12072">
        <w:t>,</w:t>
      </w:r>
      <w:r w:rsidR="00C12072" w:rsidRPr="00CF791A">
        <w:t xml:space="preserve"> </w:t>
      </w:r>
      <w:r w:rsidRPr="00CF791A">
        <w:t xml:space="preserve">analytical, numerical, or empirical) should be proportionate to the complexity and safety significance of the structure or system and the objective. </w:t>
      </w:r>
    </w:p>
    <w:p w14:paraId="2B3A2C2B" w14:textId="52A5DCBF" w:rsidR="00E243D0" w:rsidRPr="00CF791A" w:rsidRDefault="00E243D0" w:rsidP="00E243D0">
      <w:pPr>
        <w:pStyle w:val="Paragraph"/>
      </w:pPr>
      <w:r w:rsidRPr="00CF791A">
        <w:t xml:space="preserve">Models should be verified and validated to ensure they are fit for purpose, with assumptions, limitations, and uncertainties clearly identified and managed. Sensitivity studies and uncertainty quantification should be used to explore the </w:t>
      </w:r>
      <w:r w:rsidR="00FE405B">
        <w:t>appropriateness</w:t>
      </w:r>
      <w:r w:rsidR="00FE405B" w:rsidRPr="00CF791A">
        <w:t xml:space="preserve"> </w:t>
      </w:r>
      <w:r w:rsidRPr="00CF791A">
        <w:t>of conclusions and support decision-making.</w:t>
      </w:r>
    </w:p>
    <w:p w14:paraId="71BD3BC5" w14:textId="5A416495" w:rsidR="00E243D0" w:rsidRPr="00CF791A" w:rsidRDefault="00E243D0" w:rsidP="00E243D0">
      <w:pPr>
        <w:pStyle w:val="Paragraph"/>
      </w:pPr>
      <w:r w:rsidRPr="00CF791A">
        <w:t>While modelling approaches may differ by analyst or software, analysis should generally follow codified design principles and use validated methods to ensure consistency and repeatability. Where data and understanding is limited and the use of engineering or expert judgement is required, this should be made explicit and justified.</w:t>
      </w:r>
    </w:p>
    <w:p w14:paraId="03AADFB8" w14:textId="40127CD4" w:rsidR="00E243D0" w:rsidRPr="00CF791A" w:rsidRDefault="00E243D0" w:rsidP="00E243D0">
      <w:pPr>
        <w:pStyle w:val="Paragraph"/>
      </w:pPr>
      <w:r w:rsidRPr="00CF791A">
        <w:t xml:space="preserve">In the case of </w:t>
      </w:r>
      <w:r w:rsidR="0080112F" w:rsidRPr="00CF791A">
        <w:t>large-scale</w:t>
      </w:r>
      <w:r w:rsidRPr="00CF791A">
        <w:t xml:space="preserve"> design projects, the overall modelling architecture should be clearly established and articulated. This includes defining the purpose of each model, its formulation, and how it integrates and interacts within the broader modelling and analysis framework. A systematic process for verification, validation and sensitivity exploration should be embedded within the modelling strategy to ensure that the design is </w:t>
      </w:r>
      <w:r w:rsidR="006A7980">
        <w:t>appropriately substantiated</w:t>
      </w:r>
      <w:r w:rsidRPr="00CF791A">
        <w:t>. The use of local and global models should be strategically justified based on the characteristics of the SSCs. The interface between these models should be clearly defined, with appropriate assumptions and boundary conditions to ensure consistency and accuracy in the representation of structural behaviour. Where multiple models or software platforms are used, care should be taken to validate data transfer and ensure compatibility between systems. This includes confirming that inputs, outputs, and assumptions are consistently interpreted across platforms to avoid errors.</w:t>
      </w:r>
    </w:p>
    <w:p w14:paraId="4D553FBA" w14:textId="77777777" w:rsidR="00E243D0" w:rsidRPr="00CF791A" w:rsidRDefault="00E243D0" w:rsidP="00E243D0">
      <w:pPr>
        <w:pStyle w:val="Paragraph"/>
      </w:pPr>
      <w:r w:rsidRPr="00CF791A">
        <w:lastRenderedPageBreak/>
        <w:t>Documentation should ensure traceability of modelling inputs, assumptions, methods, and results to support future review, modification, or reuse.</w:t>
      </w:r>
    </w:p>
    <w:p w14:paraId="5A7AB103" w14:textId="76A96DAC" w:rsidR="00E243D0" w:rsidRPr="00AA159A" w:rsidRDefault="00E243D0" w:rsidP="009B7D05">
      <w:pPr>
        <w:pStyle w:val="SAPHeading"/>
      </w:pPr>
      <w:r w:rsidRPr="00AA159A">
        <w:t>ECE.</w:t>
      </w:r>
      <w:r w:rsidR="004E5C29" w:rsidRPr="00AA159A">
        <w:t>4</w:t>
      </w:r>
      <w:r w:rsidRPr="00AA159A">
        <w:t xml:space="preserve"> — Structural design or assessment</w:t>
      </w:r>
    </w:p>
    <w:p w14:paraId="2FE5B641" w14:textId="204BAB02" w:rsidR="00E243D0" w:rsidRPr="00AA159A" w:rsidRDefault="00AD2604" w:rsidP="006C4609">
      <w:pPr>
        <w:pStyle w:val="SAPBodyText"/>
      </w:pPr>
      <w:r w:rsidRPr="00AD2604">
        <w:t>Design or assessment should generally comply with applicable codes and standards and demonstrate that safety margins and relevant structural or geotechnical behaviours are consistent with the requirements placed upon the structure or geotechnical system</w:t>
      </w:r>
      <w:r w:rsidR="00E243D0" w:rsidRPr="00AA159A">
        <w:t>.</w:t>
      </w:r>
    </w:p>
    <w:p w14:paraId="1A8DA040" w14:textId="77777777" w:rsidR="00E243D0" w:rsidRPr="00CF791A" w:rsidRDefault="00E243D0" w:rsidP="00E243D0">
      <w:pPr>
        <w:pStyle w:val="Paragraph"/>
      </w:pPr>
      <w:r w:rsidRPr="00CF791A">
        <w:t xml:space="preserve">Deviations from design codes and standards should be clearly justified and substantiated. </w:t>
      </w:r>
    </w:p>
    <w:p w14:paraId="46497969" w14:textId="77777777" w:rsidR="00E243D0" w:rsidRPr="00CF791A" w:rsidRDefault="00E243D0" w:rsidP="00E243D0">
      <w:pPr>
        <w:pStyle w:val="Paragraph"/>
      </w:pPr>
      <w:r w:rsidRPr="00CF791A">
        <w:t>Structural behaviour should be evaluated under combined actions, including static, dynamic, thermal, and environmental loads, with appropriate consideration of load combinations and interaction effects.</w:t>
      </w:r>
    </w:p>
    <w:p w14:paraId="0BC399E6" w14:textId="77777777" w:rsidR="00E243D0" w:rsidRPr="00CF791A" w:rsidRDefault="00E243D0" w:rsidP="00E243D0">
      <w:pPr>
        <w:pStyle w:val="Paragraph"/>
      </w:pPr>
      <w:r w:rsidRPr="00CF791A">
        <w:t>Where standard methods are not applicable or sufficient (for example, novel structural types or materials, discontinuous regions, extreme hazards), more rigorous or bespoke methods should be developed using validated approaches and appropriate assumptions.</w:t>
      </w:r>
    </w:p>
    <w:p w14:paraId="69F3BD7B" w14:textId="5A84FA70" w:rsidR="00E243D0" w:rsidRPr="00CF791A" w:rsidRDefault="00E243D0" w:rsidP="00E243D0">
      <w:pPr>
        <w:pStyle w:val="Paragraph"/>
      </w:pPr>
      <w:r w:rsidRPr="00CF791A">
        <w:t>Assessment of existing structures should consider changes to the original codes and standards, material</w:t>
      </w:r>
      <w:r w:rsidR="00834936" w:rsidRPr="00CF791A">
        <w:t>s</w:t>
      </w:r>
      <w:r w:rsidRPr="00CF791A">
        <w:t xml:space="preserve"> degradation, damage, and changes in loading, use or site conditions. This consideration should be informed by appropriate inspection and testing data commensurate with the </w:t>
      </w:r>
      <w:r w:rsidR="0091161F" w:rsidRPr="00CF791A">
        <w:t>structure’s</w:t>
      </w:r>
      <w:r w:rsidRPr="00CF791A">
        <w:t xml:space="preserve"> safety significance.</w:t>
      </w:r>
    </w:p>
    <w:p w14:paraId="46B908FA" w14:textId="77777777" w:rsidR="00E243D0" w:rsidRPr="00CF791A" w:rsidRDefault="00E243D0" w:rsidP="00E243D0">
      <w:pPr>
        <w:pStyle w:val="Paragraph"/>
      </w:pPr>
      <w:r w:rsidRPr="00CF791A">
        <w:t xml:space="preserve">Margins should be evaluated for all relevant loading conditions and should appropriately consider ultimate and serviceability limit states, ensuring structural integrity, stability, and functionality. </w:t>
      </w:r>
    </w:p>
    <w:p w14:paraId="439A2ADF" w14:textId="11EC24FA" w:rsidR="00E243D0" w:rsidRPr="00CF791A" w:rsidRDefault="00E243D0" w:rsidP="00E243D0">
      <w:pPr>
        <w:pStyle w:val="Paragraph"/>
      </w:pPr>
      <w:r w:rsidRPr="00CF791A">
        <w:t xml:space="preserve">For structures </w:t>
      </w:r>
      <w:r w:rsidR="008E38B8">
        <w:t xml:space="preserve">that deliver a safety function </w:t>
      </w:r>
      <w:r w:rsidRPr="00CF791A">
        <w:t xml:space="preserve">greater insight can be obtained using </w:t>
      </w:r>
      <w:r w:rsidR="0091161F" w:rsidRPr="00CF791A">
        <w:t>risk-based</w:t>
      </w:r>
      <w:r w:rsidRPr="00CF791A">
        <w:t xml:space="preserve"> methods to evaluate system fragility and express margins and performance in terms of the high confidence low probability of failure capacity or other suitable </w:t>
      </w:r>
      <w:r w:rsidR="0091161F" w:rsidRPr="00CF791A">
        <w:t>risk-based</w:t>
      </w:r>
      <w:r w:rsidRPr="00CF791A">
        <w:t xml:space="preserve"> metric. Such methods can also be used to calibrate the extent of conservatism incorporated via the design process.</w:t>
      </w:r>
    </w:p>
    <w:p w14:paraId="0C6B94DE" w14:textId="77777777" w:rsidR="00E243D0" w:rsidRDefault="00E243D0" w:rsidP="00E243D0">
      <w:pPr>
        <w:pStyle w:val="Paragraph"/>
      </w:pPr>
      <w:r w:rsidRPr="00CF791A">
        <w:t>The design or assessment should be traceable, with clear documentation of inputs, assumptions, calculations, and conclusions to support independent review, repeatability, and future modification.</w:t>
      </w:r>
    </w:p>
    <w:p w14:paraId="163AB2B0" w14:textId="5CE16395" w:rsidR="00E243D0" w:rsidRPr="00AA159A" w:rsidRDefault="00E243D0" w:rsidP="009B7D05">
      <w:pPr>
        <w:pStyle w:val="SAPHeading"/>
      </w:pPr>
      <w:r w:rsidRPr="00AA159A">
        <w:t>ECE.</w:t>
      </w:r>
      <w:r w:rsidR="00B4681B" w:rsidRPr="00AA159A">
        <w:t>5</w:t>
      </w:r>
      <w:r w:rsidRPr="00AA159A">
        <w:t xml:space="preserve"> — Civil engineering material</w:t>
      </w:r>
      <w:r w:rsidR="00465845" w:rsidRPr="00AA159A">
        <w:t>s</w:t>
      </w:r>
      <w:r w:rsidRPr="00AA159A">
        <w:t xml:space="preserve"> specification and validation</w:t>
      </w:r>
    </w:p>
    <w:p w14:paraId="64E5B997" w14:textId="2B53359B" w:rsidR="00E243D0" w:rsidRPr="00AA159A" w:rsidRDefault="00A12860" w:rsidP="006C4609">
      <w:pPr>
        <w:pStyle w:val="SAPBodyText"/>
      </w:pPr>
      <w:r w:rsidRPr="00A12860">
        <w:t>Structural and geotechnical engineering materials should be selected, specified and where necessary validated to ensure long-term durability and performance under site-specific conditions, taking appropriate account of their as-built properties and configuration</w:t>
      </w:r>
      <w:r w:rsidR="00E243D0" w:rsidRPr="00AA159A">
        <w:t>.</w:t>
      </w:r>
    </w:p>
    <w:p w14:paraId="5C0DC3C6" w14:textId="77777777" w:rsidR="00E243D0" w:rsidRPr="00CF791A" w:rsidRDefault="00E243D0" w:rsidP="00E243D0">
      <w:pPr>
        <w:pStyle w:val="Paragraph"/>
        <w:rPr>
          <w:lang w:bidi="ar-SA"/>
        </w:rPr>
      </w:pPr>
      <w:r w:rsidRPr="00CF791A">
        <w:rPr>
          <w:lang w:bidi="ar-SA"/>
        </w:rPr>
        <w:lastRenderedPageBreak/>
        <w:t>The durability and fitness-for-purpose of materials should be assessed in the context of site-specific environmental and operational conditions, including:</w:t>
      </w:r>
    </w:p>
    <w:p w14:paraId="31DEA0D5" w14:textId="5BBD5D58" w:rsidR="00E243D0" w:rsidRPr="002B5F96" w:rsidRDefault="00E243D0" w:rsidP="00134698">
      <w:pPr>
        <w:pStyle w:val="NumList2"/>
        <w:numPr>
          <w:ilvl w:val="1"/>
          <w:numId w:val="38"/>
        </w:numPr>
      </w:pPr>
      <w:r w:rsidRPr="002B5F96">
        <w:t>aggressive ground conditions such as sulphate-rich soils, acidic or alkaline environments, or if applicable other contaminated land factors; exposure to groundwater, including potential for chemical attack, leaching, or corrosion; coastal and estuarine environments; thermal, radiation, and mechanical loading throughout the facility lifecycle; and compatibility with adjacent systems and components (for example, mechanical fixings, coatings, embedded items) to avoid adverse interactions or accelerated degradation.</w:t>
      </w:r>
      <w:r w:rsidR="007304DC">
        <w:t xml:space="preserve"> </w:t>
      </w:r>
      <w:r w:rsidRPr="002B5F96">
        <w:t>Where materials are reused or repurposed (for example, use of natural site materials for backfill or sea defences, or the reuse of structural components in decommissioning or refurbishment), appraisal of the residual/as-built properties and confirmation of fitness-for-purpose should be undertaken.</w:t>
      </w:r>
    </w:p>
    <w:p w14:paraId="7DF6F649" w14:textId="610E003F" w:rsidR="00E243D0" w:rsidRPr="00AA159A" w:rsidRDefault="00E243D0" w:rsidP="009B7D05">
      <w:pPr>
        <w:pStyle w:val="SAPHeading"/>
      </w:pPr>
      <w:r w:rsidRPr="00AA159A">
        <w:t>ECE.</w:t>
      </w:r>
      <w:r w:rsidR="00B4681B" w:rsidRPr="00AA159A">
        <w:t>6</w:t>
      </w:r>
      <w:r w:rsidRPr="00AA159A">
        <w:t xml:space="preserve"> — Structural defects and degradation management</w:t>
      </w:r>
    </w:p>
    <w:p w14:paraId="06535565" w14:textId="323C4A49" w:rsidR="00E243D0" w:rsidRPr="00AA159A" w:rsidRDefault="0057154B" w:rsidP="006C4609">
      <w:pPr>
        <w:pStyle w:val="SAPBodyText"/>
      </w:pPr>
      <w:r w:rsidRPr="0057154B">
        <w:t>Civil SSCs should be managed to prevent, detect, assess, and address defects and degradation so that structural behaviour, performance, and safety margins remain adequate and justified</w:t>
      </w:r>
      <w:r w:rsidR="00E243D0" w:rsidRPr="00AA159A">
        <w:t>.</w:t>
      </w:r>
    </w:p>
    <w:p w14:paraId="45FFB55E" w14:textId="77777777" w:rsidR="00E243D0" w:rsidRPr="00CF791A" w:rsidRDefault="00E243D0" w:rsidP="00E243D0">
      <w:pPr>
        <w:pStyle w:val="Paragraph"/>
        <w:rPr>
          <w:rFonts w:ascii="Aptos" w:hAnsi="Aptos"/>
          <w:szCs w:val="24"/>
          <w:lang w:bidi="ar-SA"/>
        </w:rPr>
      </w:pPr>
      <w:r w:rsidRPr="00CF791A">
        <w:rPr>
          <w:color w:val="000000"/>
        </w:rPr>
        <w:t xml:space="preserve">Civil structures should be designed, constructed, and maintained with explicit </w:t>
      </w:r>
      <w:r w:rsidRPr="00CF791A">
        <w:t>consideration</w:t>
      </w:r>
      <w:r w:rsidRPr="00CF791A">
        <w:rPr>
          <w:color w:val="000000"/>
        </w:rPr>
        <w:t xml:space="preserve"> of structural ageing and degradation mechanisms, and their effects on load paths, stiffness, ductility, and overall capacity.</w:t>
      </w:r>
    </w:p>
    <w:p w14:paraId="7DDDC165" w14:textId="4DFA973A" w:rsidR="00E243D0" w:rsidRPr="00CF791A" w:rsidRDefault="00E243D0" w:rsidP="00E243D0">
      <w:pPr>
        <w:pStyle w:val="Paragraph"/>
      </w:pPr>
      <w:r w:rsidRPr="00CF791A">
        <w:rPr>
          <w:color w:val="000000"/>
        </w:rPr>
        <w:t>A preventative approach should be adopted through detailing, construction quality, and protective measures that minimise the introduction of defects and reduce the likelihood of adverse structural behaviour in service.</w:t>
      </w:r>
    </w:p>
    <w:p w14:paraId="3F512F43" w14:textId="77777777" w:rsidR="00E243D0" w:rsidRPr="00CF791A" w:rsidRDefault="00E243D0" w:rsidP="00E243D0">
      <w:pPr>
        <w:pStyle w:val="Paragraph"/>
      </w:pPr>
      <w:r w:rsidRPr="00CF791A">
        <w:rPr>
          <w:color w:val="000000"/>
        </w:rPr>
        <w:t xml:space="preserve">Latent defects should be mitigated through rigorous quality assurance during design and </w:t>
      </w:r>
      <w:r w:rsidRPr="00CF791A">
        <w:t xml:space="preserve">construction. Where appropriate provision should be made for in-service inspection, testing and monitoring strategies that </w:t>
      </w:r>
      <w:r w:rsidRPr="00CF791A">
        <w:rPr>
          <w:color w:val="000000"/>
        </w:rPr>
        <w:t>recognise the limited accessibility and embedded nature of many civil structural elements.</w:t>
      </w:r>
    </w:p>
    <w:p w14:paraId="288EE2A6" w14:textId="3A222814" w:rsidR="00E243D0" w:rsidRPr="00CF791A" w:rsidRDefault="00BE7B7F" w:rsidP="00E243D0">
      <w:pPr>
        <w:pStyle w:val="Paragraph"/>
      </w:pPr>
      <w:r>
        <w:rPr>
          <w:color w:val="000000"/>
        </w:rPr>
        <w:t>EMIT</w:t>
      </w:r>
      <w:r w:rsidR="00E243D0" w:rsidRPr="00CF791A">
        <w:rPr>
          <w:color w:val="000000"/>
        </w:rPr>
        <w:t xml:space="preserve"> activities should detect early signs of structural degradation or defect development, with scope and frequency based on the structural and safety significance, degradation mechanisms, and the time available before safety margins could be challenged. Monitoring should account for uncertainties inherent in examining large or inaccessible structures.</w:t>
      </w:r>
    </w:p>
    <w:p w14:paraId="0C99D4D2" w14:textId="1C98490C" w:rsidR="00E243D0" w:rsidRPr="00CF791A" w:rsidRDefault="00E243D0" w:rsidP="00E243D0">
      <w:pPr>
        <w:pStyle w:val="Paragraph"/>
      </w:pPr>
      <w:r w:rsidRPr="00CF791A">
        <w:t>Assessment</w:t>
      </w:r>
      <w:r w:rsidRPr="00CF791A">
        <w:rPr>
          <w:color w:val="000000"/>
        </w:rPr>
        <w:t xml:space="preserve"> methods should evaluate the impact of identified defects or degradation on structural performance under normal operation, faults, accidents and external hazards. This may include structural modelling, capacity assessment, in</w:t>
      </w:r>
      <w:r w:rsidRPr="00CF791A">
        <w:rPr>
          <w:color w:val="000000"/>
        </w:rPr>
        <w:noBreakHyphen/>
        <w:t>service monitoring, and intrusive or non</w:t>
      </w:r>
      <w:r w:rsidRPr="00CF791A">
        <w:rPr>
          <w:color w:val="000000"/>
        </w:rPr>
        <w:noBreakHyphen/>
        <w:t>intrusive testing.</w:t>
      </w:r>
    </w:p>
    <w:p w14:paraId="04863FF4" w14:textId="77777777" w:rsidR="00E243D0" w:rsidRPr="00CF791A" w:rsidRDefault="00E243D0" w:rsidP="00E243D0">
      <w:pPr>
        <w:pStyle w:val="Paragraph"/>
      </w:pPr>
      <w:r w:rsidRPr="00CF791A">
        <w:rPr>
          <w:color w:val="000000"/>
        </w:rPr>
        <w:t>Repair or mitigation measures should be implemented where appropriate and should remain compatible with the original design intent, structural behaviour, and long</w:t>
      </w:r>
      <w:r w:rsidRPr="00CF791A">
        <w:rPr>
          <w:color w:val="000000"/>
        </w:rPr>
        <w:noBreakHyphen/>
        <w:t>term performance requirements. Changes should be controlled to avoid introducing new defects or altering load paths.</w:t>
      </w:r>
    </w:p>
    <w:p w14:paraId="2D5027F1" w14:textId="712C4E78" w:rsidR="00E243D0" w:rsidRPr="00AA159A" w:rsidRDefault="00E243D0" w:rsidP="009B7D05">
      <w:pPr>
        <w:pStyle w:val="SAPHeading"/>
      </w:pPr>
      <w:r w:rsidRPr="00AA159A">
        <w:lastRenderedPageBreak/>
        <w:t>ECE.</w:t>
      </w:r>
      <w:r w:rsidR="00B4681B" w:rsidRPr="00AA159A">
        <w:t>7</w:t>
      </w:r>
      <w:r w:rsidRPr="00AA159A">
        <w:t xml:space="preserve"> — Structural monitoring</w:t>
      </w:r>
    </w:p>
    <w:p w14:paraId="77191A25" w14:textId="31A6CBC0" w:rsidR="00E243D0" w:rsidRPr="00AA159A" w:rsidRDefault="00CB2E76" w:rsidP="006C4609">
      <w:pPr>
        <w:pStyle w:val="SAPBodyText"/>
      </w:pPr>
      <w:r w:rsidRPr="00CB2E76">
        <w:t>Civil SSCs should be appropriately monitored where observations or data are needed to validate design or assessment predictions, support important assumptions, or reduce uncertainty regarding structural performance and behaviour</w:t>
      </w:r>
      <w:r w:rsidR="00E243D0" w:rsidRPr="00AA159A">
        <w:t>.</w:t>
      </w:r>
    </w:p>
    <w:p w14:paraId="6082FF73" w14:textId="2EA7F42A" w:rsidR="00D8763B" w:rsidRDefault="00E243D0" w:rsidP="00765804">
      <w:pPr>
        <w:pStyle w:val="Paragraph"/>
      </w:pPr>
      <w:r w:rsidRPr="00CF791A">
        <w:t>Structural monitoring should be implemented for civil structures where real-time or long-term data is necessary to validate analytical predictions, confirm construction-stage assumptions, or manage risks associated with ageing, degradation, or transitional activities such as demolition. In all cases the monitoring regimes should be proportionate to the safety significance and risk profile of the civil structure.</w:t>
      </w:r>
    </w:p>
    <w:p w14:paraId="214EE16B" w14:textId="77777777" w:rsidR="00E243D0" w:rsidRPr="00CF791A" w:rsidRDefault="00E243D0" w:rsidP="00E243D0">
      <w:pPr>
        <w:pStyle w:val="Paragraph"/>
      </w:pPr>
      <w:r w:rsidRPr="00CF791A">
        <w:t>Typical applications where structural monitoring should be considered include:</w:t>
      </w:r>
    </w:p>
    <w:p w14:paraId="6A2A913F" w14:textId="77777777" w:rsidR="00E243D0" w:rsidRPr="00AA159A" w:rsidRDefault="00E243D0" w:rsidP="00134698">
      <w:pPr>
        <w:pStyle w:val="NumList2"/>
        <w:numPr>
          <w:ilvl w:val="1"/>
          <w:numId w:val="39"/>
        </w:numPr>
      </w:pPr>
      <w:r w:rsidRPr="00AA159A">
        <w:t>monitoring of foundation systems (for example, piles, rafts, ground improvement zones) to validate settlement predictions and confirm ground-structure interaction assumptions, particularly where differential movements could affect functional performance;</w:t>
      </w:r>
    </w:p>
    <w:p w14:paraId="16A67CAE" w14:textId="193709A2" w:rsidR="004E2BCC" w:rsidRPr="00AA159A" w:rsidRDefault="00E243D0" w:rsidP="00134698">
      <w:pPr>
        <w:pStyle w:val="NumList2"/>
        <w:numPr>
          <w:ilvl w:val="1"/>
          <w:numId w:val="39"/>
        </w:numPr>
      </w:pPr>
      <w:r w:rsidRPr="00AA159A">
        <w:t>use of strain gauges, displacement sensors, or other embedded instrumentation in containment structures or other complex structural components to validate staged construction analysis, monitor stress redistribution, and confirm structural behaviour under normal operational and test states;</w:t>
      </w:r>
      <w:r w:rsidR="00A25FDA">
        <w:t xml:space="preserve"> </w:t>
      </w:r>
    </w:p>
    <w:p w14:paraId="16B3E21D" w14:textId="6F794F22" w:rsidR="004E2BCC" w:rsidRPr="00AA159A" w:rsidRDefault="00E243D0" w:rsidP="00134698">
      <w:pPr>
        <w:pStyle w:val="NumList2"/>
        <w:numPr>
          <w:ilvl w:val="1"/>
          <w:numId w:val="39"/>
        </w:numPr>
      </w:pPr>
      <w:r w:rsidRPr="00AA159A">
        <w:t>monitoring of structures during demolition or deconstruction, to confirm stability, validate temporary works assumptions, and ensure safe sequencing of removal activities;</w:t>
      </w:r>
    </w:p>
    <w:p w14:paraId="2D0CE60D" w14:textId="77777777" w:rsidR="004E2BCC" w:rsidRDefault="00E243D0" w:rsidP="00134698">
      <w:pPr>
        <w:pStyle w:val="NumList2"/>
        <w:numPr>
          <w:ilvl w:val="1"/>
          <w:numId w:val="39"/>
        </w:numPr>
      </w:pPr>
      <w:r w:rsidRPr="00AA159A">
        <w:t>long-term monitoring of ageing structures, such as buried concrete, retaining walls, shielding structures, to detect signs of degradation (for example, cracking, corrosion, creep) and inform maintenance or replacement strategies; and</w:t>
      </w:r>
      <w:r w:rsidR="000E04DD" w:rsidRPr="00EC318B">
        <w:t xml:space="preserve"> </w:t>
      </w:r>
    </w:p>
    <w:p w14:paraId="7979752A" w14:textId="77777777" w:rsidR="00FF067C" w:rsidRPr="00FF067C" w:rsidRDefault="00E243D0" w:rsidP="00134698">
      <w:pPr>
        <w:pStyle w:val="NumList2"/>
        <w:numPr>
          <w:ilvl w:val="1"/>
          <w:numId w:val="39"/>
        </w:numPr>
      </w:pPr>
      <w:r w:rsidRPr="00FF067C">
        <w:t>monitoring of coastline and coastal flood defences for erosion related effects.</w:t>
      </w:r>
    </w:p>
    <w:p w14:paraId="056189C4" w14:textId="77777777" w:rsidR="00E243D0" w:rsidRPr="00AA159A" w:rsidRDefault="00E243D0" w:rsidP="009B7D05">
      <w:pPr>
        <w:pStyle w:val="Heading2"/>
      </w:pPr>
      <w:r w:rsidRPr="00AA159A">
        <w:t>Human factors</w:t>
      </w:r>
    </w:p>
    <w:p w14:paraId="09EEC7F3" w14:textId="41B131E3" w:rsidR="00E243D0" w:rsidRPr="00CF791A" w:rsidRDefault="00E243D0" w:rsidP="00E243D0">
      <w:pPr>
        <w:pStyle w:val="Paragraph"/>
      </w:pPr>
      <w:r w:rsidRPr="00CF791A">
        <w:t>A nuclear facility is a complex socio-technical system comprising both engineered and human elements. The human contribution to safety can be positive or negative, occurring throughout the facility’s lifecycle. A systematic approach is needed to understand the factors that affect human performance. This approach should be risk informed by proportionate analysis and aim to reduce the potential for</w:t>
      </w:r>
      <w:r w:rsidR="00687567">
        <w:t>,</w:t>
      </w:r>
      <w:r w:rsidRPr="00CF791A">
        <w:t xml:space="preserve"> </w:t>
      </w:r>
      <w:r w:rsidR="000F5D0D">
        <w:t>and consequences of,</w:t>
      </w:r>
      <w:r w:rsidRPr="00CF791A">
        <w:t xml:space="preserve"> human</w:t>
      </w:r>
      <w:r w:rsidR="00BD4631">
        <w:t xml:space="preserve"> failures</w:t>
      </w:r>
      <w:r w:rsidRPr="00CF791A">
        <w:t xml:space="preserve">. The allocation of safety actions to human or engineered systems should take account of their differing capabilities and limitations. Assessments of the way in which individual, team, and organisational performance can impact safety should influence the design of the plant, staffing arrangements and processes, including emergency arrangements. Safety cases should articulate the human contribution to safety, demonstrating that human actions impacting safety </w:t>
      </w:r>
      <w:r w:rsidRPr="00CF791A">
        <w:lastRenderedPageBreak/>
        <w:t xml:space="preserve">and </w:t>
      </w:r>
      <w:r w:rsidR="003A7140" w:rsidRPr="00CF791A">
        <w:t xml:space="preserve">human based safety claims </w:t>
      </w:r>
      <w:r w:rsidRPr="00CF791A">
        <w:t>(HBSCs) are identified, assessed and substantiated with proportionate evidence.</w:t>
      </w:r>
    </w:p>
    <w:p w14:paraId="2C607DE0" w14:textId="77777777" w:rsidR="00E243D0" w:rsidRPr="00AA159A" w:rsidRDefault="00E243D0" w:rsidP="009B7D05">
      <w:pPr>
        <w:pStyle w:val="SAPHeading"/>
      </w:pPr>
      <w:r w:rsidRPr="00AA159A">
        <w:t>EHF.1 – Human factors integration</w:t>
      </w:r>
    </w:p>
    <w:p w14:paraId="52A67D73" w14:textId="77777777" w:rsidR="00E243D0" w:rsidRPr="00AA159A" w:rsidRDefault="00E243D0" w:rsidP="006C4609">
      <w:pPr>
        <w:pStyle w:val="SAPBodyText"/>
      </w:pPr>
      <w:r w:rsidRPr="00AA159A">
        <w:t>A systematic approach to integrating human factors within the design, assessment and management of systems and processes should be applied throughout the facility’s lifecycle.</w:t>
      </w:r>
    </w:p>
    <w:p w14:paraId="5827976B" w14:textId="77777777" w:rsidR="00E243D0" w:rsidRPr="00CF791A" w:rsidRDefault="00E243D0" w:rsidP="00E243D0">
      <w:pPr>
        <w:pStyle w:val="Paragraph"/>
      </w:pPr>
      <w:r w:rsidRPr="00CF791A">
        <w:t>Timely and proportionate human factors integration is expected throughout all lifecycle phases. Proportionate human factors analysis should commence early in the design process, prior to the foreclosure of options, to influence the design and safety analysis. Evidence to demonstrate the achievability of human factors aspects of the safety case should be developed as proposals mature.</w:t>
      </w:r>
    </w:p>
    <w:p w14:paraId="01E8BA44" w14:textId="77777777" w:rsidR="00E243D0" w:rsidRPr="00AA159A" w:rsidRDefault="00E243D0" w:rsidP="009B7D05">
      <w:pPr>
        <w:pStyle w:val="SAPHeading"/>
      </w:pPr>
      <w:r w:rsidRPr="00AA159A">
        <w:t>EHF.2 – Allocation of safety actions to humans</w:t>
      </w:r>
    </w:p>
    <w:p w14:paraId="583E86BD" w14:textId="77777777" w:rsidR="00E243D0" w:rsidRPr="00AA159A" w:rsidRDefault="00E243D0" w:rsidP="006C4609">
      <w:pPr>
        <w:pStyle w:val="SAPBodyText"/>
      </w:pPr>
      <w:r w:rsidRPr="00AA159A">
        <w:t>Decisions to place reliance on humans to deliver safety functions should be informed by the hierarchy of controls, compatible with human capabilities and supported by optioneering.</w:t>
      </w:r>
    </w:p>
    <w:p w14:paraId="71C3D7CD" w14:textId="49E04FAC" w:rsidR="00E243D0" w:rsidRPr="00CF791A" w:rsidRDefault="00E243D0" w:rsidP="00E243D0">
      <w:pPr>
        <w:pStyle w:val="Paragraph"/>
      </w:pPr>
      <w:r w:rsidRPr="00CF791A">
        <w:t xml:space="preserve">The need for human intervention to maintain safety should be informed by the hierarchy of </w:t>
      </w:r>
      <w:r w:rsidR="006D2E49" w:rsidRPr="00CF791A">
        <w:t xml:space="preserve">safety characteristics </w:t>
      </w:r>
      <w:r w:rsidR="007A50AA">
        <w:t>(refer to</w:t>
      </w:r>
      <w:r w:rsidR="00A9013E">
        <w:t xml:space="preserve"> </w:t>
      </w:r>
      <w:r w:rsidRPr="00CF791A">
        <w:t>KP.</w:t>
      </w:r>
      <w:r w:rsidR="00FB606A">
        <w:t>7</w:t>
      </w:r>
      <w:r w:rsidRPr="00CF791A">
        <w:t xml:space="preserve">) and minimise the requirement for human intervention in short timescales </w:t>
      </w:r>
      <w:r w:rsidR="007A50AA">
        <w:t>(refer to</w:t>
      </w:r>
      <w:r w:rsidR="00A9013E">
        <w:t xml:space="preserve"> </w:t>
      </w:r>
      <w:r w:rsidRPr="00CF791A">
        <w:t>E</w:t>
      </w:r>
      <w:r w:rsidR="009C4EF1" w:rsidRPr="00CF791A">
        <w:t>D</w:t>
      </w:r>
      <w:r w:rsidR="00EA2891" w:rsidRPr="00CF791A">
        <w:t>S</w:t>
      </w:r>
      <w:r w:rsidR="009C4EF1" w:rsidRPr="00CF791A">
        <w:t>.11</w:t>
      </w:r>
      <w:r w:rsidRPr="00CF791A">
        <w:t>). Optioneering informed by proportionate human factors analysis should demonstrate that anticipated human actions necessary to deliver safety functions are feasible in the time available</w:t>
      </w:r>
      <w:r w:rsidR="00EE42C4">
        <w:t xml:space="preserve"> </w:t>
      </w:r>
      <w:r w:rsidR="00D8763B">
        <w:br/>
      </w:r>
      <w:r w:rsidR="007A50AA">
        <w:t>(refer to</w:t>
      </w:r>
      <w:r w:rsidR="00EE42C4">
        <w:t xml:space="preserve"> DBA.3)</w:t>
      </w:r>
      <w:r w:rsidRPr="00CF791A">
        <w:t>.</w:t>
      </w:r>
    </w:p>
    <w:p w14:paraId="013ACDD6" w14:textId="04F26984" w:rsidR="00E243D0" w:rsidRPr="00CF791A" w:rsidRDefault="00E243D0" w:rsidP="00E243D0">
      <w:pPr>
        <w:pStyle w:val="Paragraph"/>
      </w:pPr>
      <w:r w:rsidRPr="00CF791A">
        <w:t>The need for humans to monitor automated functions and assume manual control, following failure, should be a design consideration. The time and information required for personnel to establish or maintain situational awareness should be accounted for.</w:t>
      </w:r>
    </w:p>
    <w:p w14:paraId="47F72FAF" w14:textId="77777777" w:rsidR="00E243D0" w:rsidRPr="00AA159A" w:rsidRDefault="00E243D0" w:rsidP="009B7D05">
      <w:pPr>
        <w:pStyle w:val="SAPHeading"/>
      </w:pPr>
      <w:r w:rsidRPr="00AA159A">
        <w:t>EHF.3 – Human actions impacting safety</w:t>
      </w:r>
    </w:p>
    <w:p w14:paraId="70ED151A" w14:textId="45D3B5F2" w:rsidR="00E243D0" w:rsidRPr="00AA159A" w:rsidRDefault="00E243D0" w:rsidP="006C4609">
      <w:pPr>
        <w:pStyle w:val="SAPBodyText"/>
      </w:pPr>
      <w:r w:rsidRPr="00AA159A">
        <w:t>A systematic approach should be taken to identify human actions that can impact safety.</w:t>
      </w:r>
    </w:p>
    <w:p w14:paraId="571961C5" w14:textId="51658576" w:rsidR="00AE211F" w:rsidRDefault="005753B2" w:rsidP="00E243D0">
      <w:pPr>
        <w:pStyle w:val="Paragraph"/>
      </w:pPr>
      <w:r w:rsidRPr="005753B2">
        <w:t>Tasks, where human</w:t>
      </w:r>
      <w:r w:rsidR="00842805">
        <w:t xml:space="preserve"> failures</w:t>
      </w:r>
      <w:r w:rsidRPr="005753B2">
        <w:t xml:space="preserve"> potentially impact safety, should be systematically identified to ensure risk can be assessed and appropriately managed. This should include the actions of personnel who control, monitor, maintain and manage operations and may extend beyond persons who directly interact with plant and equipment (i.e.</w:t>
      </w:r>
      <w:r w:rsidR="00D8763B">
        <w:t>,</w:t>
      </w:r>
      <w:r w:rsidRPr="005753B2">
        <w:t xml:space="preserve"> those making safety-implicated decisions).</w:t>
      </w:r>
    </w:p>
    <w:p w14:paraId="3904B535" w14:textId="6B8646F9" w:rsidR="00E243D0" w:rsidRPr="00CF791A" w:rsidRDefault="009C0313" w:rsidP="00E243D0">
      <w:pPr>
        <w:pStyle w:val="Paragraph"/>
      </w:pPr>
      <w:r>
        <w:t>The approach should consider</w:t>
      </w:r>
      <w:r w:rsidR="00E243D0" w:rsidRPr="00CF791A">
        <w:t xml:space="preserve"> permitted operating modes, fault and accident conditions identified in the safety case, including severe accidents.</w:t>
      </w:r>
    </w:p>
    <w:p w14:paraId="2953EED3" w14:textId="213A580F" w:rsidR="00064C41" w:rsidRPr="00CF791A" w:rsidRDefault="00064C41" w:rsidP="00E243D0">
      <w:pPr>
        <w:pStyle w:val="Paragraph"/>
      </w:pPr>
      <w:r>
        <w:t>Output should inform fault analysis</w:t>
      </w:r>
      <w:r w:rsidR="008C3C51">
        <w:t xml:space="preserve">, specifically fault identification, and human factors </w:t>
      </w:r>
      <w:r w:rsidR="002C4784">
        <w:t>integration.</w:t>
      </w:r>
    </w:p>
    <w:p w14:paraId="04A8819B" w14:textId="77777777" w:rsidR="00E243D0" w:rsidRPr="00AA159A" w:rsidRDefault="00E243D0" w:rsidP="009B7D05">
      <w:pPr>
        <w:pStyle w:val="SAPHeading"/>
      </w:pPr>
      <w:r w:rsidRPr="00AA159A">
        <w:lastRenderedPageBreak/>
        <w:t>EHF.4 – Human based safety claims</w:t>
      </w:r>
    </w:p>
    <w:p w14:paraId="4F80D87F" w14:textId="77777777" w:rsidR="00E243D0" w:rsidRPr="00AA159A" w:rsidRDefault="00E243D0" w:rsidP="006C4609">
      <w:pPr>
        <w:pStyle w:val="SAPBodyText"/>
      </w:pPr>
      <w:r w:rsidRPr="00AA159A">
        <w:t>Where human action is an important contributor to reduce risk, the action should be identified and defined as a HBSC.</w:t>
      </w:r>
    </w:p>
    <w:p w14:paraId="1CFE5B07" w14:textId="29CE7319" w:rsidR="00E243D0" w:rsidRPr="00CF791A" w:rsidRDefault="00E243D0" w:rsidP="00E243D0">
      <w:pPr>
        <w:pStyle w:val="Paragraph"/>
      </w:pPr>
      <w:r w:rsidRPr="00CF791A">
        <w:t xml:space="preserve">HBSCs (including pre initiators, initiators and preventative, protective or mitigative measures) should be identified by structured analysis (for example, part of the </w:t>
      </w:r>
      <w:r w:rsidR="002D420C" w:rsidRPr="00CF791A">
        <w:t>fault analysis</w:t>
      </w:r>
      <w:r w:rsidR="00D75531" w:rsidRPr="00CF791A">
        <w:t>)</w:t>
      </w:r>
      <w:r w:rsidRPr="00CF791A">
        <w:t xml:space="preserve"> and credited in the safety case.</w:t>
      </w:r>
    </w:p>
    <w:p w14:paraId="64F6DBAE" w14:textId="381FE748" w:rsidR="00E243D0" w:rsidRPr="00CF791A" w:rsidRDefault="00E243D0" w:rsidP="00E243D0">
      <w:pPr>
        <w:pStyle w:val="Paragraph"/>
      </w:pPr>
      <w:r w:rsidRPr="00CF791A">
        <w:t>HBSCs should clearly define the expected human action and its contribution to safety function delivery. HBSCs should be classified based on their significance to safety and appropriately represented in the fault schedule.</w:t>
      </w:r>
    </w:p>
    <w:p w14:paraId="6D568EA1" w14:textId="77777777" w:rsidR="00E243D0" w:rsidRPr="00AA159A" w:rsidRDefault="00E243D0" w:rsidP="009B7D05">
      <w:pPr>
        <w:pStyle w:val="SAPHeading"/>
      </w:pPr>
      <w:r w:rsidRPr="00AA159A">
        <w:t>EHF.5 – Task analysis</w:t>
      </w:r>
    </w:p>
    <w:p w14:paraId="2CAAB053" w14:textId="77777777" w:rsidR="00E243D0" w:rsidRPr="00AA159A" w:rsidRDefault="00E243D0" w:rsidP="006C4609">
      <w:pPr>
        <w:pStyle w:val="SAPBodyText"/>
      </w:pPr>
      <w:r w:rsidRPr="00AA159A">
        <w:t>Actions impacting safety and HBSCs should be proportionately analysed to demonstrate the achievability of associated tasks and to identify design requirements.</w:t>
      </w:r>
    </w:p>
    <w:p w14:paraId="2B3B211E" w14:textId="7020C83A" w:rsidR="00E243D0" w:rsidRPr="00CF791A" w:rsidRDefault="00E243D0" w:rsidP="00E243D0">
      <w:pPr>
        <w:pStyle w:val="Paragraph"/>
      </w:pPr>
      <w:r w:rsidRPr="00CF791A">
        <w:t xml:space="preserve">Analysis should be undertaken to identify and understand the human actions </w:t>
      </w:r>
      <w:r w:rsidR="000F22A7">
        <w:t>impacting safety</w:t>
      </w:r>
      <w:r w:rsidRPr="00CF791A">
        <w:t xml:space="preserve"> and HBSCs in their task context. </w:t>
      </w:r>
    </w:p>
    <w:p w14:paraId="167241E2" w14:textId="7D3DBBE0" w:rsidR="00E243D0" w:rsidRPr="00CF791A" w:rsidRDefault="00E243D0" w:rsidP="00E243D0">
      <w:pPr>
        <w:pStyle w:val="Paragraph"/>
      </w:pPr>
      <w:r w:rsidRPr="00CF791A">
        <w:t>Associated task demands, including requirements for perception, decision making and action should be assessed. Physical and psychological factors which could affect human performance should also be evaluated to demonstrate timescales and performance standards expected by the safety case are achievable. Opportunities to improve human performance should be identified and addressed</w:t>
      </w:r>
      <w:r w:rsidR="003443D0" w:rsidRPr="00CF791A">
        <w:t>.</w:t>
      </w:r>
    </w:p>
    <w:p w14:paraId="3856479B" w14:textId="166FC0F6" w:rsidR="00E243D0" w:rsidRPr="00CF791A" w:rsidRDefault="00E243D0" w:rsidP="00E243D0">
      <w:pPr>
        <w:pStyle w:val="Paragraph"/>
      </w:pPr>
      <w:r w:rsidRPr="00CF791A">
        <w:t>The analysis should identify design requirements for workspaces and work environments, tools, equipment and user interfaces, personnel competence, procedures, staffing concept, and fitness for duty, which underpin task performance.</w:t>
      </w:r>
    </w:p>
    <w:p w14:paraId="6105CA3E" w14:textId="77777777" w:rsidR="00E243D0" w:rsidRPr="00AA159A" w:rsidRDefault="00E243D0" w:rsidP="009B7D05">
      <w:pPr>
        <w:pStyle w:val="SAPHeading"/>
        <w:rPr>
          <w:lang w:bidi="ar-SA"/>
        </w:rPr>
      </w:pPr>
      <w:r w:rsidRPr="00AA159A">
        <w:rPr>
          <w:lang w:bidi="ar-SA"/>
        </w:rPr>
        <w:t>EHF.6 – Workspaces and work environment</w:t>
      </w:r>
    </w:p>
    <w:p w14:paraId="362C8A8F" w14:textId="77777777" w:rsidR="00E243D0" w:rsidRPr="00AA159A" w:rsidRDefault="00E243D0" w:rsidP="006C4609">
      <w:pPr>
        <w:pStyle w:val="SAPBodyText"/>
      </w:pPr>
      <w:r w:rsidRPr="00AA159A">
        <w:t>Workspaces and work environments should support safe and reliable task performance.</w:t>
      </w:r>
    </w:p>
    <w:p w14:paraId="65CC6836" w14:textId="6FB65808" w:rsidR="00E243D0" w:rsidRPr="00CF791A" w:rsidRDefault="001D2B49" w:rsidP="00E243D0">
      <w:pPr>
        <w:pStyle w:val="Paragraph"/>
      </w:pPr>
      <w:r w:rsidRPr="00CF791A">
        <w:t>Task analysis</w:t>
      </w:r>
      <w:r w:rsidR="00E243D0" w:rsidRPr="00CF791A">
        <w:t xml:space="preserve"> and ergonomics good practice should be used to inform the design and ensure workspaces support safe and reliable completion of operations and maintenance activities. </w:t>
      </w:r>
    </w:p>
    <w:p w14:paraId="6DC6DEC5" w14:textId="77777777" w:rsidR="00E243D0" w:rsidRPr="00CF791A" w:rsidRDefault="00E243D0" w:rsidP="00E243D0">
      <w:pPr>
        <w:pStyle w:val="Paragraph"/>
      </w:pPr>
      <w:r w:rsidRPr="00CF791A">
        <w:t>Account should be taken of the physical and psychological characteristics of intended users. Where practicable, any negative impacts on human performance arising from foreseeable environmental conditions (for example, visual, thermal, auditory) should be minimised.</w:t>
      </w:r>
    </w:p>
    <w:p w14:paraId="015D0EC7" w14:textId="77777777" w:rsidR="00E243D0" w:rsidRPr="00AA159A" w:rsidRDefault="00E243D0" w:rsidP="009B7D05">
      <w:pPr>
        <w:pStyle w:val="SAPHeading"/>
        <w:rPr>
          <w:lang w:bidi="ar-SA"/>
        </w:rPr>
      </w:pPr>
      <w:r w:rsidRPr="00AA159A">
        <w:rPr>
          <w:lang w:bidi="ar-SA"/>
        </w:rPr>
        <w:lastRenderedPageBreak/>
        <w:t>EHF.7 – Tools, equipment and user interfaces</w:t>
      </w:r>
    </w:p>
    <w:p w14:paraId="6A0C8849" w14:textId="77777777" w:rsidR="00E243D0" w:rsidRPr="00AA159A" w:rsidRDefault="00E243D0" w:rsidP="006C4609">
      <w:pPr>
        <w:pStyle w:val="SAPBodyText"/>
      </w:pPr>
      <w:r w:rsidRPr="00AA159A">
        <w:t>Suitable and sufficient tools, equipment and user interfaces should be provided to support safe and reliable task performance.</w:t>
      </w:r>
    </w:p>
    <w:p w14:paraId="1742B898" w14:textId="195DA377" w:rsidR="0031441B" w:rsidRDefault="00FF484E" w:rsidP="00E243D0">
      <w:pPr>
        <w:pStyle w:val="Paragraph"/>
      </w:pPr>
      <w:r w:rsidRPr="00CF791A">
        <w:t>Task analysis</w:t>
      </w:r>
      <w:r w:rsidR="00E243D0" w:rsidRPr="00CF791A">
        <w:t xml:space="preserve"> and ergonomics good practice should be used to</w:t>
      </w:r>
      <w:r w:rsidR="0031441B">
        <w:t>:</w:t>
      </w:r>
    </w:p>
    <w:p w14:paraId="10975279" w14:textId="3854BA03" w:rsidR="00F24DA9" w:rsidRDefault="00E243D0" w:rsidP="00134698">
      <w:pPr>
        <w:pStyle w:val="NumList2"/>
        <w:numPr>
          <w:ilvl w:val="1"/>
          <w:numId w:val="43"/>
        </w:numPr>
      </w:pPr>
      <w:r w:rsidRPr="000474FA">
        <w:t>inform the design/selection of tools, equipment and user interfaces</w:t>
      </w:r>
      <w:r w:rsidR="00F24DA9">
        <w:t>;</w:t>
      </w:r>
    </w:p>
    <w:p w14:paraId="4D2E9352" w14:textId="2570DE42" w:rsidR="00A73466" w:rsidRDefault="00DC35B7" w:rsidP="00134698">
      <w:pPr>
        <w:pStyle w:val="NumList2"/>
        <w:numPr>
          <w:ilvl w:val="1"/>
          <w:numId w:val="43"/>
        </w:numPr>
      </w:pPr>
      <w:r>
        <w:t>o</w:t>
      </w:r>
      <w:r w:rsidR="008F6E84">
        <w:t>ptimise</w:t>
      </w:r>
      <w:r w:rsidR="00E243D0" w:rsidRPr="000474FA">
        <w:t xml:space="preserve"> human performance</w:t>
      </w:r>
      <w:r w:rsidR="00A73466">
        <w:t>; and</w:t>
      </w:r>
    </w:p>
    <w:p w14:paraId="7DD547DC" w14:textId="6EBF5F96" w:rsidR="00E243D0" w:rsidRPr="008C5D2A" w:rsidRDefault="00E243D0" w:rsidP="00134698">
      <w:pPr>
        <w:pStyle w:val="NumList2"/>
        <w:numPr>
          <w:ilvl w:val="1"/>
          <w:numId w:val="43"/>
        </w:numPr>
      </w:pPr>
      <w:r w:rsidRPr="00AA159A">
        <w:t xml:space="preserve">minimise human </w:t>
      </w:r>
      <w:r w:rsidR="00065437">
        <w:t>failure</w:t>
      </w:r>
      <w:r w:rsidRPr="00AA159A">
        <w:t xml:space="preserve"> potential.</w:t>
      </w:r>
    </w:p>
    <w:p w14:paraId="7A32CB70" w14:textId="77777777" w:rsidR="00E243D0" w:rsidRPr="00CF791A" w:rsidRDefault="00E243D0" w:rsidP="00E243D0">
      <w:pPr>
        <w:pStyle w:val="Paragraph"/>
      </w:pPr>
      <w:r w:rsidRPr="00CF791A">
        <w:t xml:space="preserve">Compatibility between the following should be ensured: </w:t>
      </w:r>
    </w:p>
    <w:p w14:paraId="09B38618" w14:textId="00241DED" w:rsidR="00E243D0" w:rsidRPr="00AA159A" w:rsidRDefault="00E243D0" w:rsidP="00134698">
      <w:pPr>
        <w:pStyle w:val="NumList2"/>
        <w:numPr>
          <w:ilvl w:val="1"/>
          <w:numId w:val="56"/>
        </w:numPr>
      </w:pPr>
      <w:r w:rsidRPr="00AA159A">
        <w:t>task demands, including the workspace and environment where the task is completed; and</w:t>
      </w:r>
    </w:p>
    <w:p w14:paraId="472C0AAE" w14:textId="77777777" w:rsidR="00E243D0" w:rsidRPr="00AA159A" w:rsidRDefault="00E243D0" w:rsidP="00134698">
      <w:pPr>
        <w:pStyle w:val="NumList2"/>
        <w:numPr>
          <w:ilvl w:val="1"/>
          <w:numId w:val="56"/>
        </w:numPr>
      </w:pPr>
      <w:r w:rsidRPr="00AA159A">
        <w:t>physical and psychological characteristics of those charged with task completion.</w:t>
      </w:r>
    </w:p>
    <w:p w14:paraId="7FA28561" w14:textId="77777777" w:rsidR="00E243D0" w:rsidRPr="00AA159A" w:rsidRDefault="00E243D0" w:rsidP="009B7D05">
      <w:pPr>
        <w:pStyle w:val="SAPHeading"/>
        <w:rPr>
          <w:lang w:bidi="ar-SA"/>
        </w:rPr>
      </w:pPr>
      <w:r w:rsidRPr="00AA159A">
        <w:rPr>
          <w:lang w:bidi="ar-SA"/>
        </w:rPr>
        <w:t>EHF.8 – Personnel competence</w:t>
      </w:r>
    </w:p>
    <w:p w14:paraId="18E3E815" w14:textId="77777777" w:rsidR="00E243D0" w:rsidRPr="00AA159A" w:rsidRDefault="00E243D0" w:rsidP="006C4609">
      <w:pPr>
        <w:pStyle w:val="SAPBodyText"/>
      </w:pPr>
      <w:r w:rsidRPr="00AA159A">
        <w:t>A systematic approach to the development and maintenance of necessary personnel competence should be applied.</w:t>
      </w:r>
    </w:p>
    <w:p w14:paraId="7A4B1B42" w14:textId="716DE571" w:rsidR="00E243D0" w:rsidRPr="00CF791A" w:rsidRDefault="00E243D0" w:rsidP="00E243D0">
      <w:pPr>
        <w:pStyle w:val="Paragraph"/>
      </w:pPr>
      <w:r w:rsidRPr="00CF791A">
        <w:t xml:space="preserve">A systematic approach to competence management (including applying a systematic approach to training) should be employed, which ensures only competent persons undertake actions impacting safety and HBSCs. </w:t>
      </w:r>
      <w:r w:rsidR="00A4581C" w:rsidRPr="00CF791A">
        <w:t>Task analysis</w:t>
      </w:r>
      <w:r w:rsidRPr="00CF791A">
        <w:t xml:space="preserve"> and ergonomics good practice should inform this approach.</w:t>
      </w:r>
    </w:p>
    <w:p w14:paraId="2E61A492" w14:textId="4B31F14E" w:rsidR="00E243D0" w:rsidRPr="00CF791A" w:rsidRDefault="00E243D0" w:rsidP="00E243D0">
      <w:pPr>
        <w:pStyle w:val="Paragraph"/>
      </w:pPr>
      <w:r w:rsidRPr="00CF791A">
        <w:t>The competence of all individuals whose actions could affect safety should be considered. This should include employees and contractors and extends to those who may influence the behaviour of personnel directly interacting with plant and equipment, such as managers and supervisors</w:t>
      </w:r>
      <w:r w:rsidR="00750696" w:rsidRPr="00CF791A">
        <w:t>.</w:t>
      </w:r>
    </w:p>
    <w:p w14:paraId="72F33699" w14:textId="77777777" w:rsidR="00E243D0" w:rsidRPr="00CF791A" w:rsidRDefault="00E243D0" w:rsidP="00E243D0">
      <w:pPr>
        <w:pStyle w:val="Paragraph"/>
      </w:pPr>
      <w:r w:rsidRPr="00CF791A">
        <w:t>Close supervision and monitoring should be maintained until individuals are demonstrably competent to perform their tasks.</w:t>
      </w:r>
    </w:p>
    <w:p w14:paraId="7782894F" w14:textId="77777777" w:rsidR="00E243D0" w:rsidRPr="00AA159A" w:rsidRDefault="00E243D0" w:rsidP="009B7D05">
      <w:pPr>
        <w:pStyle w:val="SAPHeading"/>
      </w:pPr>
      <w:r w:rsidRPr="00AA159A">
        <w:t>EHF.9 – Procedures</w:t>
      </w:r>
    </w:p>
    <w:p w14:paraId="65DA941B" w14:textId="241585BD" w:rsidR="00E243D0" w:rsidRPr="00AA159A" w:rsidRDefault="00E243D0" w:rsidP="006C4609">
      <w:pPr>
        <w:pStyle w:val="SAPBodyText"/>
      </w:pPr>
      <w:r w:rsidRPr="00AA159A">
        <w:t>Procedures should support users to complete actions impacting safety and HBSCs in a safe and reliable manner.</w:t>
      </w:r>
    </w:p>
    <w:p w14:paraId="0D70CC1E" w14:textId="72CAEBC5" w:rsidR="00E243D0" w:rsidRPr="00CF791A" w:rsidRDefault="00E243D0" w:rsidP="00E243D0">
      <w:pPr>
        <w:pStyle w:val="Paragraph"/>
      </w:pPr>
      <w:r w:rsidRPr="00CF791A">
        <w:t xml:space="preserve">The </w:t>
      </w:r>
      <w:r w:rsidR="00ED0EF4" w:rsidRPr="00CF791A">
        <w:t>task</w:t>
      </w:r>
      <w:r w:rsidRPr="00CF791A">
        <w:t xml:space="preserve"> analysis and </w:t>
      </w:r>
      <w:r w:rsidR="00A0227A" w:rsidRPr="00CF791A">
        <w:t>safety case content</w:t>
      </w:r>
      <w:r w:rsidRPr="00CF791A">
        <w:t xml:space="preserve"> should be used to ensure procedures are accurate and designed/presented so they:</w:t>
      </w:r>
    </w:p>
    <w:p w14:paraId="3B535B7D" w14:textId="77777777" w:rsidR="00E243D0" w:rsidRPr="00AA159A" w:rsidRDefault="00E243D0" w:rsidP="00134698">
      <w:pPr>
        <w:pStyle w:val="NumList2"/>
        <w:numPr>
          <w:ilvl w:val="1"/>
          <w:numId w:val="44"/>
        </w:numPr>
      </w:pPr>
      <w:r w:rsidRPr="00AA159A">
        <w:t>meet the needs of all intended users;</w:t>
      </w:r>
    </w:p>
    <w:p w14:paraId="07E993EB" w14:textId="77777777" w:rsidR="00E243D0" w:rsidRPr="00AA159A" w:rsidRDefault="00E243D0" w:rsidP="00134698">
      <w:pPr>
        <w:pStyle w:val="NumList2"/>
        <w:numPr>
          <w:ilvl w:val="1"/>
          <w:numId w:val="44"/>
        </w:numPr>
      </w:pPr>
      <w:r w:rsidRPr="00AA159A">
        <w:lastRenderedPageBreak/>
        <w:t xml:space="preserve">meet the demands of the task, in the environment the procedure is to be enacted; </w:t>
      </w:r>
    </w:p>
    <w:p w14:paraId="26DC591E" w14:textId="77777777" w:rsidR="00E243D0" w:rsidRPr="00AA159A" w:rsidRDefault="00E243D0" w:rsidP="00134698">
      <w:pPr>
        <w:pStyle w:val="NumList2"/>
        <w:numPr>
          <w:ilvl w:val="1"/>
          <w:numId w:val="44"/>
        </w:numPr>
      </w:pPr>
      <w:r w:rsidRPr="00AA159A">
        <w:t>facilitate the safe and effective completion of tasks; and</w:t>
      </w:r>
    </w:p>
    <w:p w14:paraId="6E5396F5" w14:textId="77777777" w:rsidR="00E243D0" w:rsidRPr="00AA159A" w:rsidRDefault="00E243D0" w:rsidP="00134698">
      <w:pPr>
        <w:pStyle w:val="NumList2"/>
        <w:numPr>
          <w:ilvl w:val="1"/>
          <w:numId w:val="44"/>
        </w:numPr>
      </w:pPr>
      <w:r w:rsidRPr="00AA159A">
        <w:t>ensure compliance with the safety case.</w:t>
      </w:r>
    </w:p>
    <w:p w14:paraId="17D324A6" w14:textId="292192BA" w:rsidR="00E243D0" w:rsidRPr="00CF791A" w:rsidRDefault="00E243D0" w:rsidP="00E243D0">
      <w:pPr>
        <w:pStyle w:val="Paragraph"/>
      </w:pPr>
      <w:r w:rsidRPr="00CF791A">
        <w:t>The production of procedures should be controlled and their design should align with ergonomics good practice.</w:t>
      </w:r>
    </w:p>
    <w:p w14:paraId="1A31C0A9" w14:textId="77777777" w:rsidR="00E243D0" w:rsidRPr="00CF791A" w:rsidRDefault="00E243D0" w:rsidP="00E243D0">
      <w:pPr>
        <w:pStyle w:val="Paragraph"/>
      </w:pPr>
      <w:r w:rsidRPr="00CF791A">
        <w:t>Fault and accident response procedures should take account of the additional physical and psychological stressors which users may experience during their use.</w:t>
      </w:r>
    </w:p>
    <w:p w14:paraId="01B8CA65" w14:textId="68B85C61" w:rsidR="00E243D0" w:rsidRPr="00AA159A" w:rsidRDefault="00E243D0" w:rsidP="009B7D05">
      <w:pPr>
        <w:pStyle w:val="SAPHeading"/>
      </w:pPr>
      <w:r w:rsidRPr="00AA159A">
        <w:t>EHF.1</w:t>
      </w:r>
      <w:r w:rsidR="00B4681B" w:rsidRPr="00AA159A">
        <w:t>0</w:t>
      </w:r>
      <w:r w:rsidRPr="00AA159A">
        <w:t xml:space="preserve"> – Staffing concept</w:t>
      </w:r>
    </w:p>
    <w:p w14:paraId="2939449B" w14:textId="77777777" w:rsidR="00E243D0" w:rsidRPr="00AA159A" w:rsidRDefault="00E243D0" w:rsidP="006C4609">
      <w:pPr>
        <w:pStyle w:val="SAPBodyText"/>
      </w:pPr>
      <w:r w:rsidRPr="00AA159A">
        <w:t>Suitable organisational arrangements and competent staff should be in place to ensure the safety of the facility in all operational states.</w:t>
      </w:r>
    </w:p>
    <w:p w14:paraId="1509C5D5" w14:textId="24578F27" w:rsidR="00E243D0" w:rsidRPr="00CF791A" w:rsidRDefault="00E243D0" w:rsidP="00E243D0">
      <w:pPr>
        <w:pStyle w:val="Paragraph"/>
      </w:pPr>
      <w:r w:rsidRPr="00CF791A">
        <w:t xml:space="preserve">The </w:t>
      </w:r>
      <w:r w:rsidR="00847386" w:rsidRPr="00CF791A">
        <w:t>task</w:t>
      </w:r>
      <w:r w:rsidRPr="00CF791A">
        <w:t xml:space="preserve"> analysis</w:t>
      </w:r>
      <w:r w:rsidR="006653FE" w:rsidRPr="00CF791A">
        <w:t>, safety case content</w:t>
      </w:r>
      <w:r w:rsidR="00310747" w:rsidRPr="00CF791A">
        <w:t>,</w:t>
      </w:r>
      <w:r w:rsidRPr="00CF791A">
        <w:t xml:space="preserve"> and ergonomics good practice, should be used to inform staffing levels and the organisational design for normal operation, fault and accident conditions.</w:t>
      </w:r>
    </w:p>
    <w:p w14:paraId="38716DAE" w14:textId="62A90210" w:rsidR="001A7E9D" w:rsidRPr="00CF791A" w:rsidRDefault="0051327F" w:rsidP="00E243D0">
      <w:pPr>
        <w:pStyle w:val="Paragraph"/>
      </w:pPr>
      <w:r w:rsidRPr="0051327F">
        <w:t>The workload of personnel required to undertake human actions impacting safety and HBSCs should be analysed and demonstrated to be achievable.</w:t>
      </w:r>
    </w:p>
    <w:p w14:paraId="32F7267D" w14:textId="03BCE256" w:rsidR="00E243D0" w:rsidRPr="00AA159A" w:rsidRDefault="00E243D0" w:rsidP="009B7D05">
      <w:pPr>
        <w:pStyle w:val="SAPHeading"/>
      </w:pPr>
      <w:r w:rsidRPr="00AA159A">
        <w:t>EHF.1</w:t>
      </w:r>
      <w:r w:rsidR="00DC3C76" w:rsidRPr="00AA159A">
        <w:t>1</w:t>
      </w:r>
      <w:r w:rsidRPr="00AA159A">
        <w:t xml:space="preserve"> – Fitness for duty</w:t>
      </w:r>
    </w:p>
    <w:p w14:paraId="4E8C6665" w14:textId="18C2AE3F" w:rsidR="00E243D0" w:rsidRPr="00AA159A" w:rsidRDefault="00E243D0" w:rsidP="006C4609">
      <w:pPr>
        <w:pStyle w:val="SAPBodyText"/>
      </w:pPr>
      <w:r w:rsidRPr="00AA159A">
        <w:t>A management process should be in place to ensure the fitness for duty of personnel who perform actions impacting safety and HBSCs.</w:t>
      </w:r>
    </w:p>
    <w:p w14:paraId="7B411A7D" w14:textId="77777777" w:rsidR="00E243D0" w:rsidRPr="00CF791A" w:rsidRDefault="00E243D0" w:rsidP="00E243D0">
      <w:pPr>
        <w:pStyle w:val="Paragraph"/>
      </w:pPr>
      <w:r w:rsidRPr="00CF791A">
        <w:t>Controls should be established to manage factors, which may negatively impact an individual’s ability to fulfil their duties. This should include fatigue, injury/illness, stress or cognitive impairment arising from drugs/alcohol use.</w:t>
      </w:r>
    </w:p>
    <w:p w14:paraId="0BA21989" w14:textId="7FA36CA4" w:rsidR="00E243D0" w:rsidRPr="00AA159A" w:rsidRDefault="00E243D0" w:rsidP="009B7D05">
      <w:pPr>
        <w:pStyle w:val="SAPHeading"/>
      </w:pPr>
      <w:r w:rsidRPr="00AA159A">
        <w:t>EHF.1</w:t>
      </w:r>
      <w:r w:rsidR="00DC3C76" w:rsidRPr="00AA159A">
        <w:t>2</w:t>
      </w:r>
      <w:r w:rsidRPr="00AA159A">
        <w:t xml:space="preserve"> – Human reliability analysis</w:t>
      </w:r>
    </w:p>
    <w:p w14:paraId="64BA5470" w14:textId="77777777" w:rsidR="00E243D0" w:rsidRPr="00AA159A" w:rsidRDefault="00E243D0" w:rsidP="006C4609">
      <w:pPr>
        <w:pStyle w:val="SAPBodyText"/>
      </w:pPr>
      <w:r w:rsidRPr="00AA159A">
        <w:t>Human actions impacting safety and HBSCs should be substantiated using proportionate human reliability analysis.</w:t>
      </w:r>
    </w:p>
    <w:p w14:paraId="5B464B51" w14:textId="6E5FD8A1" w:rsidR="00E243D0" w:rsidRPr="00CF791A" w:rsidRDefault="00E243D0" w:rsidP="00E243D0">
      <w:pPr>
        <w:pStyle w:val="Paragraph"/>
      </w:pPr>
      <w:r w:rsidRPr="00CF791A">
        <w:t xml:space="preserve">Proportionate qualitative and, where required quantitative </w:t>
      </w:r>
      <w:r w:rsidR="00551760" w:rsidRPr="00CF791A">
        <w:t>h</w:t>
      </w:r>
      <w:r w:rsidRPr="00CF791A">
        <w:t xml:space="preserve">uman </w:t>
      </w:r>
      <w:r w:rsidR="00551760" w:rsidRPr="00CF791A">
        <w:t>r</w:t>
      </w:r>
      <w:r w:rsidRPr="00CF791A">
        <w:t xml:space="preserve">eliability </w:t>
      </w:r>
      <w:r w:rsidR="00551760" w:rsidRPr="00CF791A">
        <w:t>a</w:t>
      </w:r>
      <w:r w:rsidRPr="00CF791A">
        <w:t>nalysis (HRA), should be conducted as part of the fault analysis, for example DBA, PSA and SAA, to substantiate the claims and assumptions regarding human behaviour made in the safety case.</w:t>
      </w:r>
    </w:p>
    <w:p w14:paraId="32C43B38" w14:textId="74DD51DD" w:rsidR="00E243D0" w:rsidRPr="00CF791A" w:rsidRDefault="00E243D0" w:rsidP="00E243D0">
      <w:pPr>
        <w:pStyle w:val="Paragraph"/>
      </w:pPr>
      <w:r w:rsidRPr="00CF791A">
        <w:t>Quantitative HRA should be conducted using appropriately justified techniques and underpinned by qualitative analysis and/or operational experience data.</w:t>
      </w:r>
    </w:p>
    <w:p w14:paraId="2D209030" w14:textId="3D5D61EF" w:rsidR="00E243D0" w:rsidRPr="00CF791A" w:rsidRDefault="00E243D0" w:rsidP="00E243D0">
      <w:pPr>
        <w:pStyle w:val="Paragraph"/>
      </w:pPr>
      <w:r w:rsidRPr="00CF791A">
        <w:t xml:space="preserve">The HRA should give due consideration to task characteristics, the potential for </w:t>
      </w:r>
      <w:r w:rsidR="00336E78">
        <w:t>human failure</w:t>
      </w:r>
      <w:r w:rsidRPr="00CF791A">
        <w:t xml:space="preserve"> and the impact of performance shaping factors on task performance</w:t>
      </w:r>
      <w:r w:rsidR="00716C1A">
        <w:t xml:space="preserve"> </w:t>
      </w:r>
      <w:r w:rsidR="007A50AA">
        <w:t>(refer to</w:t>
      </w:r>
      <w:r w:rsidR="00716C1A">
        <w:t xml:space="preserve"> EHF.5)</w:t>
      </w:r>
      <w:r w:rsidRPr="00CF791A">
        <w:t>.</w:t>
      </w:r>
    </w:p>
    <w:p w14:paraId="554847CB" w14:textId="06E7546D" w:rsidR="00E243D0" w:rsidRPr="00CF791A" w:rsidRDefault="00E243D0" w:rsidP="00E243D0">
      <w:pPr>
        <w:pStyle w:val="Paragraph"/>
      </w:pPr>
      <w:r w:rsidRPr="00CF791A">
        <w:lastRenderedPageBreak/>
        <w:t xml:space="preserve">Consideration should be given to the impact of dependency on reliability. </w:t>
      </w:r>
      <w:r w:rsidR="00A80F81">
        <w:br/>
      </w:r>
      <w:r w:rsidRPr="00CF791A">
        <w:t>The potential impact of within-person, between-persons and human-system dependency should be assessed, to ensure HBSCs remain realistic and common cause failures considered. Measures to avoid unrealistically low single or combined human error probabilities being propagated through the fault analysis should be enacted.</w:t>
      </w:r>
    </w:p>
    <w:p w14:paraId="50F72617" w14:textId="77777777" w:rsidR="00E243D0" w:rsidRPr="00AA159A" w:rsidRDefault="00E243D0" w:rsidP="009B7D05">
      <w:pPr>
        <w:pStyle w:val="Heading2"/>
      </w:pPr>
      <w:r w:rsidRPr="00AA159A">
        <w:t>Chemical (process) engineering</w:t>
      </w:r>
    </w:p>
    <w:p w14:paraId="347D170C" w14:textId="6E069996" w:rsidR="00E243D0" w:rsidRPr="00CF791A" w:rsidRDefault="00E243D0" w:rsidP="00E243D0">
      <w:pPr>
        <w:pStyle w:val="Paragraph"/>
      </w:pPr>
      <w:r w:rsidRPr="00CF791A">
        <w:t>Chemical engineering (known as process engineering) links the underpinning science of processes to the engineering that delivers the required plant functionality. Whilst it is primarily focussed on fuel cycle facilities there are principles which can also be applied to ancillary processes on power reactors and to mechanical processing facilities.</w:t>
      </w:r>
    </w:p>
    <w:p w14:paraId="3DEA0745" w14:textId="5F588B40" w:rsidR="00E243D0" w:rsidRPr="00CF791A" w:rsidRDefault="00E243D0" w:rsidP="00E243D0">
      <w:pPr>
        <w:pStyle w:val="Paragraph"/>
      </w:pPr>
      <w:r w:rsidRPr="00CF791A">
        <w:t xml:space="preserve">The nature of fuel cycle facilities is different to power reactors in that the radioactive material is often deliberately placed in a mobile form in order to allow separation and physical changes. As a consequence, one of the major drivers will be to control the energy within the process in order to minimise potential challenges to containment. Another major difference between a fuel cycle facility and a power reactor is that there can often be a greater choice of processes to deliver safe and effective outcomes. This means there will be greater focus on the extent to which the optioneering (for example, in the safety case) achieves the underpinning intent of the key principles (KP). </w:t>
      </w:r>
    </w:p>
    <w:p w14:paraId="5625A8B9" w14:textId="77777777" w:rsidR="00E243D0" w:rsidRPr="00CF791A" w:rsidRDefault="00E243D0" w:rsidP="00E243D0">
      <w:pPr>
        <w:pStyle w:val="Paragraph"/>
      </w:pPr>
      <w:r w:rsidRPr="00CF791A">
        <w:t>Chemical engineering is also concerned with designing facilities to achieve appropriate levels of throughput. Whilst clearly an economic matter, throughput can also be a significant safety issue at radioactive waste processing facilities and at facilities being decommissioned, particularly where there are degradation mechanisms for the radioactive contents, the process equipment or the facility structure.</w:t>
      </w:r>
    </w:p>
    <w:p w14:paraId="7DC6A60F" w14:textId="69369413" w:rsidR="00E243D0" w:rsidRPr="00CF791A" w:rsidRDefault="00E243D0" w:rsidP="00E243D0">
      <w:pPr>
        <w:pStyle w:val="Paragraph"/>
      </w:pPr>
      <w:r w:rsidRPr="00CF791A">
        <w:t xml:space="preserve">Although </w:t>
      </w:r>
      <w:r w:rsidR="004F5747">
        <w:t>SAA</w:t>
      </w:r>
      <w:r w:rsidRPr="00CF791A">
        <w:t xml:space="preserve"> has traditionally been focused on power reactors, the hazards posed by some fuel cycle facilities mean that these meet the SAPs criteria defining a severe accident and so should also be subject to </w:t>
      </w:r>
      <w:r w:rsidR="00335549">
        <w:t>SAA</w:t>
      </w:r>
      <w:r w:rsidRPr="00CF791A">
        <w:t xml:space="preserve"> and then assessed as per principles </w:t>
      </w:r>
      <w:r w:rsidR="00243A19" w:rsidRPr="00CF791A">
        <w:t>SAA.</w:t>
      </w:r>
      <w:r w:rsidR="006B6415" w:rsidRPr="00CF791A">
        <w:t>1-3</w:t>
      </w:r>
      <w:r w:rsidRPr="00CF791A">
        <w:t>.</w:t>
      </w:r>
    </w:p>
    <w:p w14:paraId="48DD7A05" w14:textId="77777777" w:rsidR="00E243D0" w:rsidRPr="00AA159A" w:rsidRDefault="00E243D0" w:rsidP="009B7D05">
      <w:pPr>
        <w:pStyle w:val="SAPHeading"/>
      </w:pPr>
      <w:r w:rsidRPr="00AA159A">
        <w:t>EPE.1 – Design and operation</w:t>
      </w:r>
    </w:p>
    <w:p w14:paraId="739EF34C" w14:textId="6DDB7BE9" w:rsidR="00E243D0" w:rsidRPr="00AA159A" w:rsidRDefault="00E243D0" w:rsidP="006C4609">
      <w:pPr>
        <w:pStyle w:val="SAPBodyText"/>
      </w:pPr>
      <w:r w:rsidRPr="00AA159A">
        <w:t>The design and operation of nuclear chemical processes and facilities should be fault tolerant and ensure safety functions are delivered with suitable capability and sufficient reliability.</w:t>
      </w:r>
    </w:p>
    <w:p w14:paraId="33E89083" w14:textId="4282EF9B" w:rsidR="00E243D0" w:rsidRPr="00CF791A" w:rsidRDefault="00E243D0" w:rsidP="00E243D0">
      <w:pPr>
        <w:pStyle w:val="Paragraph"/>
      </w:pPr>
      <w:r w:rsidRPr="00CF791A">
        <w:t xml:space="preserve">The process design should be developed in tandem with the safety case to ensure they are mutually consistent. In line with the inherent safety key principles </w:t>
      </w:r>
      <w:r w:rsidR="007A50AA">
        <w:t>(refer to</w:t>
      </w:r>
      <w:r w:rsidRPr="00CF791A">
        <w:t xml:space="preserve"> KP.</w:t>
      </w:r>
      <w:r w:rsidR="00FB606A">
        <w:t>5</w:t>
      </w:r>
      <w:r w:rsidRPr="00CF791A">
        <w:t>), operations should aim to be as close to being inherently safe as possible, for example:</w:t>
      </w:r>
    </w:p>
    <w:p w14:paraId="1BF4627F" w14:textId="0806B46D" w:rsidR="006729B1" w:rsidRPr="00AA159A" w:rsidRDefault="00E243D0" w:rsidP="00134698">
      <w:pPr>
        <w:pStyle w:val="NumList2"/>
        <w:numPr>
          <w:ilvl w:val="1"/>
          <w:numId w:val="45"/>
        </w:numPr>
      </w:pPr>
      <w:r w:rsidRPr="00AA159A">
        <w:t xml:space="preserve">sources of energy within the process should be minimised; </w:t>
      </w:r>
    </w:p>
    <w:p w14:paraId="34E817C0" w14:textId="04447EAF" w:rsidR="00FA591E" w:rsidRPr="00AA159A" w:rsidRDefault="00E243D0" w:rsidP="00134698">
      <w:pPr>
        <w:pStyle w:val="NumList2"/>
        <w:numPr>
          <w:ilvl w:val="1"/>
          <w:numId w:val="45"/>
        </w:numPr>
      </w:pPr>
      <w:r w:rsidRPr="00AA159A">
        <w:lastRenderedPageBreak/>
        <w:t xml:space="preserve">processes should be tolerant of the widest range of feedstock (in terms of physical, chemical and radiochemical properties) and throughputs justified by the safety case; </w:t>
      </w:r>
    </w:p>
    <w:p w14:paraId="178D35B8" w14:textId="52BCC52F" w:rsidR="00FA591E" w:rsidRDefault="00E243D0" w:rsidP="00134698">
      <w:pPr>
        <w:pStyle w:val="NumList2"/>
        <w:numPr>
          <w:ilvl w:val="1"/>
          <w:numId w:val="45"/>
        </w:numPr>
      </w:pPr>
      <w:r w:rsidRPr="00AA159A">
        <w:t>design documents such as flow sheets should be based on normal expected operating conditions, but also include the most restrictive conditions justified in the safety case, including during fault conditions and foreseen subsequent faults;</w:t>
      </w:r>
    </w:p>
    <w:p w14:paraId="51E8AF1E" w14:textId="257B49A7" w:rsidR="00790D19" w:rsidRPr="00AA159A" w:rsidRDefault="00E243D0" w:rsidP="00134698">
      <w:pPr>
        <w:pStyle w:val="NumList2"/>
        <w:numPr>
          <w:ilvl w:val="1"/>
          <w:numId w:val="45"/>
        </w:numPr>
      </w:pPr>
      <w:r w:rsidRPr="00AA159A">
        <w:t xml:space="preserve">chemical reactions should be </w:t>
      </w:r>
      <w:r w:rsidR="00D46BC3" w:rsidRPr="00AA159A">
        <w:t>controllable,</w:t>
      </w:r>
      <w:r w:rsidRPr="00AA159A">
        <w:t xml:space="preserve"> and either be endothermic, or have reaction properties that change relatively slowly in terms of equipment response times. The thermodynamics and kinetics should be analysed for all normal operation and fault conditions identified in the safety case. </w:t>
      </w:r>
      <w:r w:rsidR="00A80F81">
        <w:br/>
      </w:r>
      <w:r w:rsidRPr="00AA159A">
        <w:t>Side reactions, interactions with adventitious materials and the potential for cliff edge effects should also be considered in the analysis;</w:t>
      </w:r>
      <w:r w:rsidRPr="00CF791A">
        <w:t xml:space="preserve"> </w:t>
      </w:r>
    </w:p>
    <w:p w14:paraId="3051A827" w14:textId="77777777" w:rsidR="00790D19" w:rsidRPr="00AA159A" w:rsidRDefault="00E243D0" w:rsidP="00134698">
      <w:pPr>
        <w:pStyle w:val="NumList2"/>
        <w:numPr>
          <w:ilvl w:val="1"/>
          <w:numId w:val="45"/>
        </w:numPr>
      </w:pPr>
      <w:r w:rsidRPr="00AA159A">
        <w:t>the design should tolerate the effects of process degradation or malfunction for example, side reactions, accumulation of by-products, degradation products, and accumulation of solids; and</w:t>
      </w:r>
      <w:r w:rsidRPr="00CF791A">
        <w:t xml:space="preserve"> </w:t>
      </w:r>
    </w:p>
    <w:p w14:paraId="59497C2A" w14:textId="513318F7" w:rsidR="00D73313" w:rsidRDefault="00E243D0" w:rsidP="00134698">
      <w:pPr>
        <w:pStyle w:val="NumList2"/>
        <w:numPr>
          <w:ilvl w:val="1"/>
          <w:numId w:val="45"/>
        </w:numPr>
      </w:pPr>
      <w:r w:rsidRPr="00AA159A">
        <w:t xml:space="preserve">circumstances leading to significant deviations from the original design intent should be identified and suitably analysed to evaluate their effect on safety. The design intent may need to be revised to account for these. </w:t>
      </w:r>
    </w:p>
    <w:p w14:paraId="01ED1941" w14:textId="2868DC08" w:rsidR="00E243D0" w:rsidRDefault="00E243D0" w:rsidP="009B7D05">
      <w:pPr>
        <w:pStyle w:val="SAPHeading"/>
      </w:pPr>
      <w:r w:rsidRPr="00AA159A">
        <w:t>EPE.2 – Process stability</w:t>
      </w:r>
      <w:r w:rsidR="00DD767B">
        <w:t xml:space="preserve"> </w:t>
      </w:r>
    </w:p>
    <w:p w14:paraId="3FDA1C52" w14:textId="10EF12F0" w:rsidR="00B77254" w:rsidRPr="00B77254" w:rsidRDefault="00E243D0" w:rsidP="006C4609">
      <w:pPr>
        <w:pStyle w:val="SAPBodyText"/>
        <w:rPr>
          <w:szCs w:val="22"/>
        </w:rPr>
      </w:pPr>
      <w:r w:rsidRPr="00B77254">
        <w:t xml:space="preserve">Nuclear chemical </w:t>
      </w:r>
      <w:r w:rsidR="00962685">
        <w:t>proc</w:t>
      </w:r>
      <w:r w:rsidRPr="00B77254">
        <w:t>esses should be designed and operated so as to maintain suitable and sufficient stability.</w:t>
      </w:r>
    </w:p>
    <w:p w14:paraId="06BCAA01" w14:textId="56240B80" w:rsidR="00D46BC3" w:rsidRDefault="00E243D0" w:rsidP="00E243D0">
      <w:pPr>
        <w:pStyle w:val="Paragraph"/>
      </w:pPr>
      <w:r w:rsidRPr="00CF791A">
        <w:t>Systematic techniques such as Hazard and Operability Study (HAZOP) should be used to improve operability as well as for fault identification.</w:t>
      </w:r>
    </w:p>
    <w:p w14:paraId="736D1AD6" w14:textId="6EEFF5FC" w:rsidR="00E243D0" w:rsidRPr="00CF791A" w:rsidRDefault="00E243D0" w:rsidP="00E243D0">
      <w:pPr>
        <w:pStyle w:val="Paragraph"/>
      </w:pPr>
      <w:r w:rsidRPr="00CF791A">
        <w:t>Safe, stable, reliable and predictable operation should be promoted by:</w:t>
      </w:r>
    </w:p>
    <w:p w14:paraId="3BAB80A6" w14:textId="77777777" w:rsidR="00E243D0" w:rsidRPr="00AA159A" w:rsidRDefault="00E243D0" w:rsidP="00134698">
      <w:pPr>
        <w:pStyle w:val="NumList2"/>
        <w:numPr>
          <w:ilvl w:val="1"/>
          <w:numId w:val="46"/>
        </w:numPr>
      </w:pPr>
      <w:r w:rsidRPr="00AA159A">
        <w:t xml:space="preserve">process choices made according to the degree of confidence in their safety and effectiveness; </w:t>
      </w:r>
    </w:p>
    <w:p w14:paraId="3D73325A" w14:textId="2B7CCB79" w:rsidR="00E243D0" w:rsidRPr="00AA159A" w:rsidRDefault="00E243D0" w:rsidP="00134698">
      <w:pPr>
        <w:pStyle w:val="NumList2"/>
        <w:numPr>
          <w:ilvl w:val="1"/>
          <w:numId w:val="46"/>
        </w:numPr>
      </w:pPr>
      <w:r w:rsidRPr="00AA159A">
        <w:t>design and operation of individual processes that are integrated with other processes in the facility, applying suitable interstage buffering;</w:t>
      </w:r>
    </w:p>
    <w:p w14:paraId="075F7C91" w14:textId="77777777" w:rsidR="00E243D0" w:rsidRPr="00AA159A" w:rsidRDefault="00E243D0" w:rsidP="00134698">
      <w:pPr>
        <w:pStyle w:val="NumList2"/>
        <w:numPr>
          <w:ilvl w:val="1"/>
          <w:numId w:val="46"/>
        </w:numPr>
      </w:pPr>
      <w:r w:rsidRPr="00AA159A">
        <w:t>minimising the need within the design for manual interventions into the process or workarounds;</w:t>
      </w:r>
    </w:p>
    <w:p w14:paraId="753A804B" w14:textId="342EE8B9" w:rsidR="00E243D0" w:rsidRPr="00AA159A" w:rsidRDefault="00E243D0" w:rsidP="00134698">
      <w:pPr>
        <w:pStyle w:val="NumList2"/>
        <w:numPr>
          <w:ilvl w:val="1"/>
          <w:numId w:val="46"/>
        </w:numPr>
      </w:pPr>
      <w:r w:rsidRPr="00AA159A">
        <w:t>a design which is tolerant of differing plant availabilities</w:t>
      </w:r>
      <w:r w:rsidR="00C176B7">
        <w:t>,</w:t>
      </w:r>
      <w:r w:rsidRPr="00AA159A">
        <w:t xml:space="preserve"> </w:t>
      </w:r>
      <w:r w:rsidR="00C176B7">
        <w:t>t</w:t>
      </w:r>
      <w:r w:rsidRPr="00AA159A">
        <w:t xml:space="preserve">his may also involve interstage buffering </w:t>
      </w:r>
      <w:r w:rsidR="007A50AA">
        <w:t>(refer to</w:t>
      </w:r>
      <w:r w:rsidRPr="00AA159A">
        <w:t xml:space="preserve"> above);</w:t>
      </w:r>
    </w:p>
    <w:p w14:paraId="6058B13C" w14:textId="0823728D" w:rsidR="00E243D0" w:rsidRPr="00AA159A" w:rsidRDefault="00E243D0" w:rsidP="00134698">
      <w:pPr>
        <w:pStyle w:val="NumList2"/>
        <w:numPr>
          <w:ilvl w:val="1"/>
          <w:numId w:val="46"/>
        </w:numPr>
      </w:pPr>
      <w:r w:rsidRPr="00AA159A">
        <w:t xml:space="preserve">simplifying plant and equipment design with due regard to the required functionality for example, minimising penetrations, avoiding dead legs, minimising the number of instruments in contact with radioactive materials, minimising the need for </w:t>
      </w:r>
      <w:r w:rsidR="00C176B7">
        <w:t>EMIT</w:t>
      </w:r>
      <w:r w:rsidRPr="00AA159A">
        <w:t>;</w:t>
      </w:r>
    </w:p>
    <w:p w14:paraId="45942B87" w14:textId="77777777" w:rsidR="00E243D0" w:rsidRPr="00AA159A" w:rsidRDefault="00E243D0" w:rsidP="00134698">
      <w:pPr>
        <w:pStyle w:val="NumList2"/>
        <w:numPr>
          <w:ilvl w:val="1"/>
          <w:numId w:val="46"/>
        </w:numPr>
      </w:pPr>
      <w:r w:rsidRPr="00AA159A">
        <w:lastRenderedPageBreak/>
        <w:t xml:space="preserve">appropriate consideration of facility start up, shutdown, restart and maintenance; and </w:t>
      </w:r>
    </w:p>
    <w:p w14:paraId="6056C6FD" w14:textId="77777777" w:rsidR="00E243D0" w:rsidRPr="00AA159A" w:rsidRDefault="00E243D0" w:rsidP="00134698">
      <w:pPr>
        <w:pStyle w:val="NumList2"/>
        <w:numPr>
          <w:ilvl w:val="1"/>
          <w:numId w:val="46"/>
        </w:numPr>
      </w:pPr>
      <w:r w:rsidRPr="00AA159A">
        <w:t>minimising or controlling process drift.</w:t>
      </w:r>
    </w:p>
    <w:p w14:paraId="61A6BD35" w14:textId="6FB6D275" w:rsidR="00E243D0" w:rsidRPr="00AA159A" w:rsidRDefault="00E243D0" w:rsidP="009B7D05">
      <w:pPr>
        <w:pStyle w:val="SAPHeading"/>
      </w:pPr>
      <w:r w:rsidRPr="00AA159A">
        <w:t>EPE.</w:t>
      </w:r>
      <w:r w:rsidR="005173D1">
        <w:t>3</w:t>
      </w:r>
      <w:r w:rsidRPr="00AA159A">
        <w:t xml:space="preserve"> – Process design and commissioning</w:t>
      </w:r>
    </w:p>
    <w:p w14:paraId="54B593F0" w14:textId="77777777" w:rsidR="00E243D0" w:rsidRPr="00AA159A" w:rsidRDefault="00E243D0" w:rsidP="006C4609">
      <w:pPr>
        <w:pStyle w:val="SAPBodyText"/>
      </w:pPr>
      <w:r w:rsidRPr="00AA159A">
        <w:t>The process design and commissioning should provide inputs to operational safety parameters defining limits and conditions necessary in the interests of safety (operating rules).</w:t>
      </w:r>
    </w:p>
    <w:p w14:paraId="54F9376D" w14:textId="77777777" w:rsidR="00E243D0" w:rsidRPr="00CF791A" w:rsidRDefault="00E243D0" w:rsidP="00E243D0">
      <w:pPr>
        <w:pStyle w:val="Paragraph"/>
      </w:pPr>
      <w:r w:rsidRPr="00CF791A">
        <w:t>Limits or conditions necessary for the safe operation of the facility from a chemical engineering perspective should be identified in the safety case. These may include:</w:t>
      </w:r>
    </w:p>
    <w:p w14:paraId="77D0373F" w14:textId="77777777" w:rsidR="00E243D0" w:rsidRPr="00CF791A" w:rsidRDefault="00E243D0" w:rsidP="00A31B0A">
      <w:pPr>
        <w:pStyle w:val="Bulletlist1"/>
      </w:pPr>
      <w:r w:rsidRPr="00CF791A">
        <w:t>the feedstock specification used for the process design specification;</w:t>
      </w:r>
    </w:p>
    <w:p w14:paraId="09E46640" w14:textId="77777777" w:rsidR="00E243D0" w:rsidRPr="00CF791A" w:rsidRDefault="00E243D0" w:rsidP="00A31B0A">
      <w:pPr>
        <w:pStyle w:val="Bulletlist1"/>
      </w:pPr>
      <w:r w:rsidRPr="00CF791A">
        <w:t>operational limits derived from the design, for example, temperatures, pressures, chemical compositions; and</w:t>
      </w:r>
    </w:p>
    <w:p w14:paraId="1A334A31" w14:textId="77777777" w:rsidR="00E243D0" w:rsidRPr="00CF791A" w:rsidRDefault="00E243D0" w:rsidP="00A31B0A">
      <w:pPr>
        <w:pStyle w:val="Bulletlist1"/>
      </w:pPr>
      <w:r w:rsidRPr="00CF791A">
        <w:t>time dependent conditions or limits based on transient modelling, relevant operational experience or commissioning for example, for the degradation of feedstock, reagents or process materials, the build-up of undesirable by-products or energetic reactions.</w:t>
      </w:r>
    </w:p>
    <w:p w14:paraId="3CB20255" w14:textId="77777777" w:rsidR="00E243D0" w:rsidRPr="00AA159A" w:rsidRDefault="00E243D0" w:rsidP="009B7D05">
      <w:pPr>
        <w:pStyle w:val="Heading2"/>
      </w:pPr>
      <w:r w:rsidRPr="00AA159A">
        <w:t>Chemistry</w:t>
      </w:r>
    </w:p>
    <w:p w14:paraId="14104A21" w14:textId="77777777" w:rsidR="00E243D0" w:rsidRPr="00CF791A" w:rsidRDefault="00E243D0" w:rsidP="00E243D0">
      <w:pPr>
        <w:pStyle w:val="Paragraph"/>
      </w:pPr>
      <w:r w:rsidRPr="00CF791A">
        <w:t xml:space="preserve">The safety assessment principles described in this sub-section are concerned with how chemistry can affect nuclear safety, radiological protection or radioactive waste management. In the principles that follow, the term ‘chemistry’ should be interpreted to mean chemical or radiochemical parameters or effects. </w:t>
      </w:r>
    </w:p>
    <w:p w14:paraId="4FF87FE5" w14:textId="18A8EE91" w:rsidR="00E243D0" w:rsidRPr="00CF791A" w:rsidRDefault="00E243D0" w:rsidP="00E243D0">
      <w:pPr>
        <w:pStyle w:val="Paragraph"/>
      </w:pPr>
      <w:r w:rsidRPr="00CF791A">
        <w:t xml:space="preserve">Chemistry can affect materials, systems and processes and their associated hazards in a variety of ways. For example, it can have an influence on reactivity, radioactivity, radioactive waste and radiation doses to the public and workers; it can influence the performance of </w:t>
      </w:r>
      <w:r w:rsidR="00603D21">
        <w:t>SSCs</w:t>
      </w:r>
      <w:r w:rsidRPr="00CF791A">
        <w:t>, for example the integrity of vessels and fuel cladding; and it can lead to the generation of undesirable products, such as combustible gases. Adequate control of chemistry, therefore, needs planning in design, consideration in safety cases, and may demand rigorous controls over certain operations. The effects of chemistry may be important throughout the full lifecycle of the facility.</w:t>
      </w:r>
    </w:p>
    <w:p w14:paraId="0B4F5EF8" w14:textId="382AAA63" w:rsidR="00E243D0" w:rsidRPr="00CF791A" w:rsidRDefault="00E243D0" w:rsidP="00E243D0">
      <w:pPr>
        <w:pStyle w:val="Paragraph"/>
      </w:pPr>
      <w:r w:rsidRPr="00CF791A">
        <w:t xml:space="preserve">This section is not intended to be used standalone; chemistry will be important to safety in a </w:t>
      </w:r>
      <w:r w:rsidR="00E11CE1">
        <w:t xml:space="preserve">wide </w:t>
      </w:r>
      <w:r w:rsidRPr="00CF791A">
        <w:t xml:space="preserve">range of areas. </w:t>
      </w:r>
    </w:p>
    <w:p w14:paraId="1CA48C69" w14:textId="77777777" w:rsidR="00CE4E41" w:rsidRDefault="00CE4E41" w:rsidP="009B7D05">
      <w:pPr>
        <w:pStyle w:val="SAPHeading"/>
        <w:sectPr w:rsidR="00CE4E41" w:rsidSect="00E243D0">
          <w:pgSz w:w="11906" w:h="16838" w:code="9"/>
          <w:pgMar w:top="1440" w:right="1440" w:bottom="1440" w:left="1440" w:header="397" w:footer="397" w:gutter="0"/>
          <w:cols w:space="312"/>
          <w:docGrid w:linePitch="360"/>
        </w:sectPr>
      </w:pPr>
    </w:p>
    <w:p w14:paraId="7EFAFD59" w14:textId="77777777" w:rsidR="00E243D0" w:rsidRPr="00AA159A" w:rsidRDefault="00E243D0" w:rsidP="009B7D05">
      <w:pPr>
        <w:pStyle w:val="SAPHeading"/>
      </w:pPr>
      <w:r w:rsidRPr="00AA159A">
        <w:lastRenderedPageBreak/>
        <w:t>ECH.1 – Chemistry</w:t>
      </w:r>
    </w:p>
    <w:p w14:paraId="7DD63471" w14:textId="77777777" w:rsidR="00E243D0" w:rsidRPr="00AA159A" w:rsidRDefault="00E243D0" w:rsidP="006C4609">
      <w:pPr>
        <w:pStyle w:val="SAPBodyText"/>
      </w:pPr>
      <w:r w:rsidRPr="00AA159A">
        <w:t>All chemistry effects important to safety should be systematically reviewed, with demonstration that an appropriate balance for safety has been achieved.</w:t>
      </w:r>
    </w:p>
    <w:p w14:paraId="1DA6CFA9" w14:textId="465CA8BF" w:rsidR="00E243D0" w:rsidRPr="00CF791A" w:rsidRDefault="00E243D0" w:rsidP="00E243D0">
      <w:pPr>
        <w:pStyle w:val="Paragraph"/>
      </w:pPr>
      <w:r w:rsidRPr="00CF791A">
        <w:t>All chemistry effects important to safety should be systematically analysed, across normal operations</w:t>
      </w:r>
      <w:r w:rsidR="00B6133A">
        <w:t>,</w:t>
      </w:r>
      <w:r w:rsidRPr="00CF791A">
        <w:t xml:space="preserve"> fault and accident conditions. This should encompass a thorough and structured review of all relevant chemical reactions involving the facility’s materials and their environment, and the safety consequences of these. The breadth and depth of the analysis should be in proportion to the complexity of the system and </w:t>
      </w:r>
      <w:r w:rsidR="00A61925">
        <w:t>the nuclear safety risks</w:t>
      </w:r>
      <w:r w:rsidRPr="00CF791A">
        <w:t>. The analysis should distinguish between chemistry limits and conditions (operating rules) that need to be applied in the interests of safety, and that need</w:t>
      </w:r>
      <w:r w:rsidR="00566B88" w:rsidRPr="00CF791A">
        <w:t>ed</w:t>
      </w:r>
      <w:r w:rsidRPr="00CF791A">
        <w:t xml:space="preserve"> to be applied for other reasons, such as asset protection or commercial benefit. Where conflict may arise between chemistry parameters, an appropriate balance should be demonstrated.</w:t>
      </w:r>
    </w:p>
    <w:p w14:paraId="23793C92" w14:textId="34B08747" w:rsidR="00E243D0" w:rsidRPr="00AA159A" w:rsidRDefault="00E243D0" w:rsidP="009B7D05">
      <w:pPr>
        <w:pStyle w:val="SAPHeading"/>
      </w:pPr>
      <w:r w:rsidRPr="00AA159A">
        <w:t>ECH.</w:t>
      </w:r>
      <w:r w:rsidR="00991B98" w:rsidRPr="00AA159A">
        <w:t>2</w:t>
      </w:r>
      <w:r w:rsidRPr="00AA159A">
        <w:t xml:space="preserve"> – Control of chemistry</w:t>
      </w:r>
    </w:p>
    <w:p w14:paraId="7D156D06" w14:textId="77777777" w:rsidR="00E243D0" w:rsidRPr="00AA159A" w:rsidRDefault="00E243D0" w:rsidP="006C4609">
      <w:pPr>
        <w:pStyle w:val="SAPBodyText"/>
      </w:pPr>
      <w:r w:rsidRPr="00AA159A">
        <w:t>Suitable and sufficient systems, processes and procedures should be provided to maintain chemistry parameters within the limits and conditions identified in the safety case.</w:t>
      </w:r>
    </w:p>
    <w:p w14:paraId="3A048407" w14:textId="722D7959" w:rsidR="00E243D0" w:rsidRPr="00CF791A" w:rsidRDefault="00E243D0" w:rsidP="00E243D0">
      <w:pPr>
        <w:pStyle w:val="Paragraph"/>
      </w:pPr>
      <w:r w:rsidRPr="00CF791A">
        <w:t>Consideration should be given to the safe and effective addition and/or removal of chemicals to/from the system. This should include chemical quality assurance and control. The safety, effectiveness, and reliability of the system to control the chemistry should be demonstrated in all normal operational, fault or accident conditions where the system provides such a safety function. The system design should incorporate appropriate levels of redundancy, diversity and segregation.</w:t>
      </w:r>
    </w:p>
    <w:p w14:paraId="5A49DC54" w14:textId="5A864043" w:rsidR="00E243D0" w:rsidRPr="00AA159A" w:rsidRDefault="00E243D0" w:rsidP="009B7D05">
      <w:pPr>
        <w:pStyle w:val="SAPHeading"/>
      </w:pPr>
      <w:r w:rsidRPr="00AA159A">
        <w:t>ECH.</w:t>
      </w:r>
      <w:r w:rsidR="00991B98" w:rsidRPr="00AA159A">
        <w:t>3</w:t>
      </w:r>
      <w:r w:rsidRPr="00AA159A">
        <w:t xml:space="preserve"> – Monitoring, sampling, and analysis</w:t>
      </w:r>
    </w:p>
    <w:p w14:paraId="5E966FE9" w14:textId="77777777" w:rsidR="00E243D0" w:rsidRPr="00AA159A" w:rsidRDefault="00E243D0" w:rsidP="006C4609">
      <w:pPr>
        <w:pStyle w:val="SAPBodyText"/>
      </w:pPr>
      <w:r w:rsidRPr="00AA159A">
        <w:t>Suitable and sufficient systems, processes and procedures should be provided for monitoring, sampling and analysis so that all chemistry parameters important to safety are properly controlled.</w:t>
      </w:r>
    </w:p>
    <w:p w14:paraId="4C501EFA" w14:textId="43383612" w:rsidR="00E243D0" w:rsidRPr="00CF791A" w:rsidRDefault="00E243D0" w:rsidP="00E243D0">
      <w:pPr>
        <w:pStyle w:val="Paragraph"/>
      </w:pPr>
      <w:r w:rsidRPr="00CF791A">
        <w:t xml:space="preserve">In conjunction with chemical addition and removal, an adequate chemistry </w:t>
      </w:r>
      <w:r w:rsidR="00284EE0" w:rsidRPr="00CF791A">
        <w:t xml:space="preserve">surveillance </w:t>
      </w:r>
      <w:r w:rsidRPr="00CF791A">
        <w:t xml:space="preserve">programme should be in place. This should verify both the effectiveness of chemistry control in systems and that SSCs are being operated within specified limits (operating rules). The chemistry </w:t>
      </w:r>
      <w:r w:rsidR="00284EE0" w:rsidRPr="00CF791A">
        <w:t xml:space="preserve">surveillance </w:t>
      </w:r>
      <w:r w:rsidRPr="00CF791A">
        <w:t xml:space="preserve">regime should include consideration of alarms, be performed to a clearly defined scope and periodicity, and adopt an appropriate balance between on-line and laboratory analysis. </w:t>
      </w:r>
      <w:r w:rsidR="00A80F81">
        <w:br/>
      </w:r>
      <w:r w:rsidRPr="00CF791A">
        <w:t>Chemistry monitoring should also be taken under appropriate conditions to ensure representative sampling and utilise appropriate processes and procedures.</w:t>
      </w:r>
    </w:p>
    <w:p w14:paraId="38C134C9" w14:textId="0F7EFEDB" w:rsidR="00E243D0" w:rsidRPr="00AA159A" w:rsidRDefault="00E243D0" w:rsidP="009B7D05">
      <w:pPr>
        <w:pStyle w:val="Heading2"/>
      </w:pPr>
      <w:r w:rsidRPr="00AA159A">
        <w:lastRenderedPageBreak/>
        <w:t>Containment</w:t>
      </w:r>
      <w:r w:rsidR="007B7C05">
        <w:t xml:space="preserve">, </w:t>
      </w:r>
      <w:r w:rsidR="00AE3C7F">
        <w:t>p</w:t>
      </w:r>
      <w:r w:rsidR="007B7C05">
        <w:t>ressure</w:t>
      </w:r>
      <w:r w:rsidRPr="00AA159A">
        <w:t xml:space="preserve"> and ventilation</w:t>
      </w:r>
      <w:r w:rsidR="00AE3C7F">
        <w:t xml:space="preserve"> systems</w:t>
      </w:r>
    </w:p>
    <w:p w14:paraId="6BEA5291" w14:textId="53B4B4A9" w:rsidR="005F7CC1" w:rsidRPr="00C51F09" w:rsidRDefault="005F7CC1" w:rsidP="009B7D05">
      <w:pPr>
        <w:pStyle w:val="SAPHeading"/>
      </w:pPr>
      <w:r w:rsidRPr="00C51F09">
        <w:t>EC</w:t>
      </w:r>
      <w:r w:rsidR="00CD246B">
        <w:t>P</w:t>
      </w:r>
      <w:r w:rsidRPr="00C51F09">
        <w:t xml:space="preserve">.1 </w:t>
      </w:r>
      <w:r>
        <w:t xml:space="preserve">- </w:t>
      </w:r>
      <w:r w:rsidRPr="00C51F09">
        <w:t xml:space="preserve">Containment </w:t>
      </w:r>
      <w:r>
        <w:t>systems and structures</w:t>
      </w:r>
    </w:p>
    <w:p w14:paraId="176E6749" w14:textId="6A74229B" w:rsidR="005F7CC1" w:rsidRDefault="005F7CC1" w:rsidP="006C4609">
      <w:pPr>
        <w:pStyle w:val="SAPBodyText"/>
      </w:pPr>
      <w:r w:rsidRPr="00C51F09">
        <w:t xml:space="preserve">Containment systems </w:t>
      </w:r>
      <w:r>
        <w:t xml:space="preserve">and structures </w:t>
      </w:r>
      <w:r w:rsidRPr="00C51F09">
        <w:t xml:space="preserve">should be designed to </w:t>
      </w:r>
      <w:r w:rsidR="001A00C0">
        <w:t xml:space="preserve">adequately </w:t>
      </w:r>
      <w:r w:rsidRPr="00C51F09">
        <w:t xml:space="preserve">confine and prevent release of radioactive material during normal </w:t>
      </w:r>
      <w:r>
        <w:t>operations,</w:t>
      </w:r>
      <w:r w:rsidRPr="00C51F09">
        <w:t xml:space="preserve"> fault </w:t>
      </w:r>
      <w:r>
        <w:t xml:space="preserve">and accident </w:t>
      </w:r>
      <w:r w:rsidRPr="00C51F09">
        <w:t xml:space="preserve">conditions. </w:t>
      </w:r>
    </w:p>
    <w:p w14:paraId="017D107F" w14:textId="332FD422" w:rsidR="005F7CC1" w:rsidRDefault="005F7CC1" w:rsidP="005F7CC1">
      <w:pPr>
        <w:pStyle w:val="Paragraph"/>
      </w:pPr>
      <w:r w:rsidRPr="00C51F09">
        <w:t xml:space="preserve">Radioactive material should be </w:t>
      </w:r>
      <w:r>
        <w:t xml:space="preserve">appropriately </w:t>
      </w:r>
      <w:r w:rsidRPr="00C51F09">
        <w:t xml:space="preserve">contained, and the </w:t>
      </w:r>
      <w:r>
        <w:t>release</w:t>
      </w:r>
      <w:r w:rsidRPr="00C51F09">
        <w:t xml:space="preserve"> of </w:t>
      </w:r>
      <w:r>
        <w:t xml:space="preserve">radioactive </w:t>
      </w:r>
      <w:r w:rsidRPr="00C51F09">
        <w:t>contamination should be prevented, except under authorised discharge or a planned transfer.</w:t>
      </w:r>
      <w:r>
        <w:t xml:space="preserve"> </w:t>
      </w:r>
      <w:r w:rsidRPr="00C51F09">
        <w:t>Containment and associated systems should be designed to minimise radioactive releases in normal operation, fault, and accident conditions.</w:t>
      </w:r>
      <w:r>
        <w:t xml:space="preserve"> </w:t>
      </w:r>
      <w:r w:rsidRPr="00C51F09">
        <w:t xml:space="preserve">Containment includes a </w:t>
      </w:r>
      <w:r w:rsidR="0025582F">
        <w:t xml:space="preserve">wide </w:t>
      </w:r>
      <w:r w:rsidRPr="00C51F09">
        <w:t xml:space="preserve">range of structures, from reactor buildings to gloveboxes and containers, and their supporting systems, like cooling and sprays. </w:t>
      </w:r>
    </w:p>
    <w:p w14:paraId="0A759B93" w14:textId="1684F39C" w:rsidR="00F83EA6" w:rsidRPr="00C51F09" w:rsidRDefault="000C7DD1" w:rsidP="00134698">
      <w:r w:rsidRPr="00C51F09">
        <w:t xml:space="preserve">Suitable </w:t>
      </w:r>
      <w:r w:rsidR="00E20B41">
        <w:t xml:space="preserve">measures </w:t>
      </w:r>
      <w:r>
        <w:t xml:space="preserve">should be made </w:t>
      </w:r>
      <w:r w:rsidRPr="00AF3A56">
        <w:rPr>
          <w:bCs/>
        </w:rPr>
        <w:t>to control the pressure, temperature and composition of the containment atmosphere.</w:t>
      </w:r>
      <w:r>
        <w:rPr>
          <w:bCs/>
        </w:rPr>
        <w:t xml:space="preserve"> </w:t>
      </w:r>
      <w:r w:rsidR="005F7CC1" w:rsidRPr="00C51F09">
        <w:t xml:space="preserve">Suitable and sufficient monitoring devices with alarms should be provided to detect and assess changes in the </w:t>
      </w:r>
      <w:r w:rsidR="005F7CC1">
        <w:t xml:space="preserve">conditions, </w:t>
      </w:r>
      <w:r w:rsidR="005F7CC1" w:rsidRPr="00C51F09">
        <w:t>materials and substances within the containment.</w:t>
      </w:r>
    </w:p>
    <w:p w14:paraId="23790E1A" w14:textId="77777777" w:rsidR="005F7CC1" w:rsidRPr="00C51F09" w:rsidRDefault="005F7CC1" w:rsidP="00134698">
      <w:r w:rsidRPr="00C51F09">
        <w:t>Appropriate sampling and monitoring systems should be provided outside the containment to detect, locate, quantify and monitor for leakages or escapes of radioactive material from the containment boundaries.</w:t>
      </w:r>
    </w:p>
    <w:p w14:paraId="158A9E7B" w14:textId="21096CFC" w:rsidR="005F7CC1" w:rsidRPr="00C51F09" w:rsidRDefault="005F7CC1" w:rsidP="005F7CC1">
      <w:pPr>
        <w:pStyle w:val="Paragraph"/>
      </w:pPr>
      <w:r w:rsidRPr="00C51F09">
        <w:t>The need for access by personnel to the containment should be minimised.</w:t>
      </w:r>
      <w:r>
        <w:t xml:space="preserve"> </w:t>
      </w:r>
      <w:r w:rsidR="00A80F81">
        <w:br/>
      </w:r>
      <w:r w:rsidRPr="00C51F09">
        <w:t>Where appropriate, remote handling devices and means to facilitate their operation, decontamination and repair should be provided</w:t>
      </w:r>
      <w:r>
        <w:t>.</w:t>
      </w:r>
    </w:p>
    <w:p w14:paraId="01EEA157" w14:textId="77777777" w:rsidR="005F7CC1" w:rsidRPr="008B0EFF" w:rsidRDefault="005F7CC1" w:rsidP="008B0EFF">
      <w:pPr>
        <w:pStyle w:val="Paragraph"/>
      </w:pPr>
      <w:r w:rsidRPr="008B0EFF">
        <w:t>Where appropriate, plant items that act as containment for radioactive material, should be provided with further containment barrier(s) that have sufficient capacity to deal safely with the leakage resulting from any design basis fault. For example, the provision of containment cells for waste storage and process vessels, piping, and ducting.</w:t>
      </w:r>
    </w:p>
    <w:p w14:paraId="3AB0331D" w14:textId="05826CE9" w:rsidR="005F7CC1" w:rsidRDefault="005F7CC1" w:rsidP="009B7D05">
      <w:pPr>
        <w:pStyle w:val="SAPHeading"/>
      </w:pPr>
      <w:r w:rsidRPr="00C51F09">
        <w:t>E</w:t>
      </w:r>
      <w:r w:rsidR="00CD246B">
        <w:t>C</w:t>
      </w:r>
      <w:r w:rsidRPr="00C51F09">
        <w:t xml:space="preserve">P.2 </w:t>
      </w:r>
      <w:r>
        <w:t>– Pressure Systems</w:t>
      </w:r>
    </w:p>
    <w:p w14:paraId="14A5B555" w14:textId="77777777" w:rsidR="005F7CC1" w:rsidRPr="00C51F09" w:rsidRDefault="005F7CC1" w:rsidP="006C4609">
      <w:pPr>
        <w:pStyle w:val="SAPBodyText"/>
      </w:pPr>
      <w:r>
        <w:t>Where</w:t>
      </w:r>
      <w:r w:rsidRPr="00C51F09">
        <w:t xml:space="preserve"> pressure systems contain radioactive material, or where there is the potential to affect systems that contain radioactive material, the design should </w:t>
      </w:r>
      <w:r>
        <w:t>be appropriately substantiated</w:t>
      </w:r>
      <w:r w:rsidRPr="00C51F09">
        <w:t>.</w:t>
      </w:r>
    </w:p>
    <w:p w14:paraId="342A4789" w14:textId="3BE9B493" w:rsidR="005F7CC1" w:rsidRPr="008B0EFF" w:rsidRDefault="005F7CC1" w:rsidP="00334E8F">
      <w:pPr>
        <w:pStyle w:val="Paragraph"/>
      </w:pPr>
      <w:r w:rsidRPr="008B0EFF">
        <w:t xml:space="preserve">The design and operation of any pressure system should be cognisant of the requirements of the Pressure Systems Safety Regulations. </w:t>
      </w:r>
    </w:p>
    <w:p w14:paraId="55071B73" w14:textId="77777777" w:rsidR="005F7CC1" w:rsidRPr="005F7CC1" w:rsidRDefault="005F7CC1" w:rsidP="00334E8F">
      <w:pPr>
        <w:pStyle w:val="Paragraph"/>
      </w:pPr>
      <w:r w:rsidRPr="005F7CC1">
        <w:t xml:space="preserve">Where a removable closure is present, the failure of a removable closure to a pressurised component or system that could lead to a significant release of radioactivity should be prevented. In such situations: </w:t>
      </w:r>
    </w:p>
    <w:p w14:paraId="0CB4EBF6" w14:textId="77777777" w:rsidR="005F7CC1" w:rsidRPr="00C51F09" w:rsidRDefault="005F7CC1" w:rsidP="00134698">
      <w:pPr>
        <w:pStyle w:val="NumList2"/>
        <w:numPr>
          <w:ilvl w:val="1"/>
          <w:numId w:val="57"/>
        </w:numPr>
      </w:pPr>
      <w:r w:rsidRPr="00C51F09">
        <w:t xml:space="preserve">adequate redundancy and, where appropriate, diversity of the closure method should be provided; and </w:t>
      </w:r>
    </w:p>
    <w:p w14:paraId="13CD0666" w14:textId="77777777" w:rsidR="005F7CC1" w:rsidRPr="00C51F09" w:rsidRDefault="005F7CC1" w:rsidP="00134698">
      <w:pPr>
        <w:pStyle w:val="NumList2"/>
        <w:numPr>
          <w:ilvl w:val="1"/>
          <w:numId w:val="57"/>
        </w:numPr>
      </w:pPr>
      <w:r w:rsidRPr="00C51F09">
        <w:lastRenderedPageBreak/>
        <w:t>provision should be made to ensure closures cannot be removed when it is unsafe to do so.</w:t>
      </w:r>
    </w:p>
    <w:p w14:paraId="3B7B3C37" w14:textId="2BE81C49" w:rsidR="005F7CC1" w:rsidRPr="00C51F09" w:rsidRDefault="005F7CC1" w:rsidP="009B7D05">
      <w:pPr>
        <w:pStyle w:val="SAPHeading"/>
      </w:pPr>
      <w:r w:rsidRPr="00C51F09">
        <w:t>E</w:t>
      </w:r>
      <w:r w:rsidR="00CD246B">
        <w:t>C</w:t>
      </w:r>
      <w:r w:rsidRPr="00C51F09">
        <w:t>P.</w:t>
      </w:r>
      <w:r w:rsidR="00CD246B">
        <w:t>3</w:t>
      </w:r>
      <w:r w:rsidRPr="00C51F09">
        <w:t xml:space="preserve"> – Pressure relief</w:t>
      </w:r>
    </w:p>
    <w:p w14:paraId="01C1D690" w14:textId="77777777" w:rsidR="005F7CC1" w:rsidRPr="00C51F09" w:rsidRDefault="005F7CC1" w:rsidP="006C4609">
      <w:pPr>
        <w:pStyle w:val="SAPBodyText"/>
      </w:pPr>
      <w:r w:rsidRPr="00C51F09">
        <w:t>Adequate pressure relief systems, consistent with any pressure-temperature limits of operation, should be provided for pressurised systems and provision should be made for periodic testing.</w:t>
      </w:r>
    </w:p>
    <w:p w14:paraId="0450F7DB" w14:textId="77777777" w:rsidR="005F7CC1" w:rsidRPr="005F7CC1" w:rsidRDefault="005F7CC1" w:rsidP="005F7CC1">
      <w:pPr>
        <w:pStyle w:val="Paragraph"/>
      </w:pPr>
      <w:r w:rsidRPr="005F7CC1">
        <w:t>Pressure discharge routes should be provided with suitable means to ensure that any release of radioactivity or toxic material from the facility to the environment is minimised. The potential to create an explosive atmosphere from the discharge should also be considered.</w:t>
      </w:r>
    </w:p>
    <w:p w14:paraId="3141401D" w14:textId="77777777" w:rsidR="005F7CC1" w:rsidRPr="005F7CC1" w:rsidRDefault="005F7CC1" w:rsidP="005F7CC1">
      <w:pPr>
        <w:pStyle w:val="Paragraph"/>
      </w:pPr>
      <w:r w:rsidRPr="005F7CC1">
        <w:t>The design should consider potential faults in the pressure discharge route which could prevent it delivering its safety functions. These might include blocking of or bypassing of filters, leakages and escapes and the reliability of the system in fault or accident conditions.</w:t>
      </w:r>
    </w:p>
    <w:p w14:paraId="13C5FF28" w14:textId="4F1A73A5" w:rsidR="005F7CC1" w:rsidRPr="00C51F09" w:rsidRDefault="005F7CC1" w:rsidP="009B7D05">
      <w:pPr>
        <w:pStyle w:val="SAPHeading"/>
      </w:pPr>
      <w:r w:rsidRPr="00C51F09">
        <w:t>EC</w:t>
      </w:r>
      <w:r w:rsidR="00CD246B">
        <w:t>P</w:t>
      </w:r>
      <w:r w:rsidRPr="00C51F09">
        <w:t>.</w:t>
      </w:r>
      <w:r w:rsidR="00CB3968">
        <w:t>4</w:t>
      </w:r>
      <w:r w:rsidRPr="00C51F09">
        <w:t xml:space="preserve"> – Ventilation system</w:t>
      </w:r>
      <w:r>
        <w:t>s</w:t>
      </w:r>
    </w:p>
    <w:p w14:paraId="2DDA5F29" w14:textId="77777777" w:rsidR="005F7CC1" w:rsidRPr="00C51F09" w:rsidRDefault="005F7CC1" w:rsidP="006C4609">
      <w:pPr>
        <w:pStyle w:val="SAPBodyText"/>
      </w:pPr>
      <w:r w:rsidRPr="00B01956">
        <w:t xml:space="preserve">Ventilation systems should be provided, as appropriate, to manage air flow within a facility to ensure that potentially airborne radioactive material is contained and managed. </w:t>
      </w:r>
    </w:p>
    <w:p w14:paraId="2D817DE0" w14:textId="6940AA37" w:rsidR="005F7CC1" w:rsidRPr="004D657A" w:rsidRDefault="005F7CC1" w:rsidP="004D657A">
      <w:pPr>
        <w:pStyle w:val="Paragraph"/>
      </w:pPr>
      <w:r w:rsidRPr="005F7CC1">
        <w:t xml:space="preserve">Ventilation systems use pressure gradients to direct airflow from low to high radioactive contamination zones, allowing radioactive material to be safely managed. </w:t>
      </w:r>
      <w:r w:rsidRPr="004D657A">
        <w:t>Ventilation system should include appropriate treatment</w:t>
      </w:r>
      <w:r w:rsidR="007304DC">
        <w:t>/</w:t>
      </w:r>
      <w:r w:rsidRPr="00396BE7">
        <w:t>filtration to remove and contain airborne radioactive material.</w:t>
      </w:r>
      <w:r w:rsidR="007304DC">
        <w:t xml:space="preserve"> </w:t>
      </w:r>
    </w:p>
    <w:p w14:paraId="5BC6D1A1" w14:textId="77777777" w:rsidR="005F7CC1" w:rsidRPr="005F7CC1" w:rsidRDefault="005F7CC1" w:rsidP="004D657A">
      <w:pPr>
        <w:pStyle w:val="Paragraph"/>
      </w:pPr>
      <w:r w:rsidRPr="005F7CC1">
        <w:t xml:space="preserve">The risk of fire within a facility can impact the design and function of ventilation systems and this should be considered during design and operation. For example, the position, type and number of fire and smoke dampers. </w:t>
      </w:r>
    </w:p>
    <w:p w14:paraId="7564E81C" w14:textId="400A7D95" w:rsidR="005F7CC1" w:rsidRPr="005F7CC1" w:rsidRDefault="005F7CC1" w:rsidP="004D657A">
      <w:pPr>
        <w:pStyle w:val="Paragraph"/>
      </w:pPr>
      <w:r w:rsidRPr="005F7CC1">
        <w:t>The location of ventilation filters should minimise the dose rates to facility personnel</w:t>
      </w:r>
      <w:r w:rsidR="00FB5902">
        <w:t>,</w:t>
      </w:r>
      <w:r w:rsidRPr="005F7CC1">
        <w:t xml:space="preserve"> where necessary shielding should be provided. There should be provision for the safe replacement of filter elements and the safe storage of contaminated filters. Provision should also be made to enable filters to be changed, in accordance with a defined replacement regime, while maintaining the effectiveness of the ventilation system.</w:t>
      </w:r>
    </w:p>
    <w:p w14:paraId="79014C37" w14:textId="48B2A43A" w:rsidR="00E243D0" w:rsidRPr="00AA159A" w:rsidRDefault="00E243D0" w:rsidP="009B7D05">
      <w:pPr>
        <w:pStyle w:val="Heading2"/>
      </w:pPr>
      <w:r w:rsidRPr="00AA159A">
        <w:t>Reactor core</w:t>
      </w:r>
    </w:p>
    <w:p w14:paraId="41D5D011" w14:textId="3AEB3BFF" w:rsidR="00E243D0" w:rsidRPr="00CF791A" w:rsidRDefault="00E243D0" w:rsidP="00E243D0">
      <w:pPr>
        <w:pStyle w:val="Paragraph"/>
      </w:pPr>
      <w:r w:rsidRPr="00CF791A">
        <w:t xml:space="preserve">The principles in this sub-section apply to the reactor core as an assembly and to its main elements (including the fuel, moderator, coolant, neutron absorbers, core restraints/supports, and also breeder assemblies in fast reactors). </w:t>
      </w:r>
    </w:p>
    <w:p w14:paraId="429C0035" w14:textId="77777777" w:rsidR="00E243D0" w:rsidRPr="00AA159A" w:rsidRDefault="00E243D0" w:rsidP="009B7D05">
      <w:pPr>
        <w:pStyle w:val="SAPHeading"/>
      </w:pPr>
      <w:r w:rsidRPr="00AA159A">
        <w:lastRenderedPageBreak/>
        <w:t>ERC.1 – Design and operation of reactors</w:t>
      </w:r>
    </w:p>
    <w:p w14:paraId="75C0B789" w14:textId="6D6976B5" w:rsidR="00E243D0" w:rsidRPr="00AA159A" w:rsidRDefault="00E243D0" w:rsidP="006C4609">
      <w:pPr>
        <w:pStyle w:val="SAPBodyText"/>
      </w:pPr>
      <w:r w:rsidRPr="00AA159A">
        <w:t>The design and operation of the reactor should ensure the fundamental safety functions are delivered with an appropriate degree of confidence.</w:t>
      </w:r>
    </w:p>
    <w:p w14:paraId="7D4DEB24" w14:textId="389E5088" w:rsidR="00E243D0" w:rsidRPr="00CF791A" w:rsidRDefault="00E243D0" w:rsidP="00E243D0">
      <w:pPr>
        <w:pStyle w:val="Paragraph"/>
      </w:pPr>
      <w:r w:rsidRPr="00CF791A">
        <w:t>This principle covers normal operation</w:t>
      </w:r>
      <w:r w:rsidR="00956A30">
        <w:t xml:space="preserve"> for permitted</w:t>
      </w:r>
      <w:r w:rsidR="00B77CB5" w:rsidRPr="00B77CB5">
        <w:t xml:space="preserve"> operating modes</w:t>
      </w:r>
      <w:r w:rsidRPr="00CF791A">
        <w:t>, refuelling, testing</w:t>
      </w:r>
      <w:r w:rsidR="00DE002B">
        <w:t>,</w:t>
      </w:r>
      <w:r w:rsidRPr="00CF791A">
        <w:t xml:space="preserve"> shutdown, and design basis fault conditions. The fundamental safety functions are: </w:t>
      </w:r>
    </w:p>
    <w:p w14:paraId="3142C555" w14:textId="77777777" w:rsidR="00E243D0" w:rsidRPr="00AA159A" w:rsidRDefault="00E243D0" w:rsidP="00134698">
      <w:pPr>
        <w:pStyle w:val="NumList2"/>
        <w:numPr>
          <w:ilvl w:val="1"/>
          <w:numId w:val="47"/>
        </w:numPr>
      </w:pPr>
      <w:r w:rsidRPr="00AA159A">
        <w:t xml:space="preserve">control of reactivity (including re-criticality following an event); </w:t>
      </w:r>
    </w:p>
    <w:p w14:paraId="69990E17" w14:textId="77777777" w:rsidR="00E243D0" w:rsidRPr="00AA159A" w:rsidRDefault="00E243D0" w:rsidP="00134698">
      <w:pPr>
        <w:pStyle w:val="NumList2"/>
        <w:numPr>
          <w:ilvl w:val="1"/>
          <w:numId w:val="47"/>
        </w:numPr>
      </w:pPr>
      <w:r w:rsidRPr="00AA159A">
        <w:t>removal of heat from the core; and</w:t>
      </w:r>
    </w:p>
    <w:p w14:paraId="2FBE7BBF" w14:textId="77777777" w:rsidR="00E243D0" w:rsidRPr="00AA159A" w:rsidRDefault="00E243D0" w:rsidP="00134698">
      <w:pPr>
        <w:pStyle w:val="NumList2"/>
        <w:numPr>
          <w:ilvl w:val="1"/>
          <w:numId w:val="47"/>
        </w:numPr>
      </w:pPr>
      <w:r w:rsidRPr="00AA159A">
        <w:t>confinement of radioactive material.</w:t>
      </w:r>
    </w:p>
    <w:p w14:paraId="399E1DBD" w14:textId="2C844122" w:rsidR="00E243D0" w:rsidRPr="00CF791A" w:rsidRDefault="00E243D0" w:rsidP="00E243D0">
      <w:pPr>
        <w:pStyle w:val="Paragraph"/>
      </w:pPr>
      <w:r w:rsidRPr="00CF791A">
        <w:t>There should be suitable and sufficient margins between the normal operational values of safety parameters and the values at which safety functions are challenged.</w:t>
      </w:r>
    </w:p>
    <w:p w14:paraId="7870E891" w14:textId="1CF51397" w:rsidR="00961F43" w:rsidRDefault="00961F43" w:rsidP="00E243D0">
      <w:pPr>
        <w:pStyle w:val="Paragraph"/>
      </w:pPr>
      <w:r w:rsidRPr="00961F43">
        <w:t xml:space="preserve">The design for a reactor facility shall include provisions for the safe handling and storage of new and irradiated fuel and core components. </w:t>
      </w:r>
      <w:r w:rsidR="003814E2">
        <w:t>F</w:t>
      </w:r>
      <w:r w:rsidRPr="00961F43">
        <w:t>uel handling and storage systems should ensure that the integrity and properties of the fuel are maintained</w:t>
      </w:r>
      <w:r w:rsidR="003814E2">
        <w:t xml:space="preserve"> </w:t>
      </w:r>
      <w:r w:rsidR="00395592">
        <w:t>whilst outside of the reactor</w:t>
      </w:r>
      <w:r w:rsidRPr="00961F43">
        <w:t>. Appropriate core management and fuel handling procedures should be established.</w:t>
      </w:r>
    </w:p>
    <w:p w14:paraId="01E79CDA" w14:textId="2F0703CB" w:rsidR="00E243D0" w:rsidRPr="00CF791A" w:rsidRDefault="00E243D0" w:rsidP="00E243D0">
      <w:pPr>
        <w:pStyle w:val="Paragraph"/>
      </w:pPr>
      <w:r w:rsidRPr="00CF791A">
        <w:t>The requirements for core monitoring and the criteria and strategy for dealing with fuel failures should be specified.</w:t>
      </w:r>
    </w:p>
    <w:p w14:paraId="2D790BB9" w14:textId="0853182B" w:rsidR="00E243D0" w:rsidRPr="00AA159A" w:rsidRDefault="00E243D0" w:rsidP="009B7D05">
      <w:pPr>
        <w:pStyle w:val="SAPHeading"/>
      </w:pPr>
      <w:r w:rsidRPr="00AA159A">
        <w:t>ERC.2 – Shutdown systems</w:t>
      </w:r>
    </w:p>
    <w:p w14:paraId="17C3785A" w14:textId="77777777" w:rsidR="00E243D0" w:rsidRPr="00AA159A" w:rsidRDefault="00E243D0" w:rsidP="006C4609">
      <w:pPr>
        <w:pStyle w:val="SAPBodyText"/>
      </w:pPr>
      <w:r w:rsidRPr="00AA159A">
        <w:t>At least two diverse and independent systems should be provided for shutting down a civil reactor.</w:t>
      </w:r>
    </w:p>
    <w:p w14:paraId="40ECCB65" w14:textId="41076F64" w:rsidR="00E243D0" w:rsidRPr="00CF791A" w:rsidRDefault="00E243D0" w:rsidP="00E243D0">
      <w:pPr>
        <w:pStyle w:val="Paragraph"/>
      </w:pPr>
      <w:r w:rsidRPr="00CF791A">
        <w:t xml:space="preserve">A suitable and sufficient shutdown margin should be maintained at all times. </w:t>
      </w:r>
      <w:r w:rsidR="00A80F81">
        <w:br/>
      </w:r>
      <w:r w:rsidRPr="00CF791A">
        <w:t xml:space="preserve">The margin should be chosen to maintain sub-criticality in the most reactive conditions permitted by the safety case and should include appropriate allowances for uncertainties. </w:t>
      </w:r>
    </w:p>
    <w:p w14:paraId="5743AC18" w14:textId="3092C566" w:rsidR="00E243D0" w:rsidRPr="00CF791A" w:rsidRDefault="008E4725" w:rsidP="00E243D0">
      <w:pPr>
        <w:pStyle w:val="Paragraph"/>
      </w:pPr>
      <w:r w:rsidRPr="00CF791A">
        <w:t xml:space="preserve">The effectiveness, speed of action and shutdown margin for each shutdown system should be such that acceptable fuel safety conditions are maintained. </w:t>
      </w:r>
      <w:r w:rsidR="00F20D37">
        <w:t>E</w:t>
      </w:r>
      <w:r w:rsidR="00E243D0" w:rsidRPr="00CF791A">
        <w:t>ach system should, by itself, be sufficient to ensure that the process of shutdown is completed in a timely manner and under the positive control of the operators.</w:t>
      </w:r>
    </w:p>
    <w:p w14:paraId="5A2DFCB8" w14:textId="77777777" w:rsidR="00E243D0" w:rsidRPr="00CF791A" w:rsidRDefault="00E243D0" w:rsidP="00E243D0">
      <w:pPr>
        <w:pStyle w:val="Paragraph"/>
      </w:pPr>
      <w:r w:rsidRPr="00CF791A">
        <w:t>At least one of the two different shutdown systems should be capable, by itself, of maintaining the reactor subcritical by an adequate margin and with high reliability, even for the most reactive conditions of the reactor core.</w:t>
      </w:r>
    </w:p>
    <w:p w14:paraId="3144FD2E" w14:textId="23DEE03E" w:rsidR="00E243D0" w:rsidRPr="00CF791A" w:rsidRDefault="00E243D0" w:rsidP="00E243D0">
      <w:pPr>
        <w:pStyle w:val="Paragraph"/>
      </w:pPr>
      <w:r w:rsidRPr="00CF791A">
        <w:t>Reactor shutdown and subsequent hold-down should not be inhibited by mechanical failure, distortion, erosion, corrosion of plant components, or by the physical behaviour of the reactor coolant, under normal operation</w:t>
      </w:r>
      <w:r w:rsidR="0087691E">
        <w:t xml:space="preserve">, fault </w:t>
      </w:r>
      <w:r w:rsidRPr="00CF791A">
        <w:t xml:space="preserve">or </w:t>
      </w:r>
      <w:r w:rsidR="0087691E">
        <w:t xml:space="preserve">accident </w:t>
      </w:r>
      <w:r w:rsidRPr="00CF791A">
        <w:t>conditions.</w:t>
      </w:r>
    </w:p>
    <w:p w14:paraId="3EB19B7D" w14:textId="402098B8" w:rsidR="00E243D0" w:rsidRPr="00AA159A" w:rsidRDefault="00E243D0" w:rsidP="009B7D05">
      <w:pPr>
        <w:pStyle w:val="SAPHeading"/>
      </w:pPr>
      <w:r w:rsidRPr="00AA159A">
        <w:lastRenderedPageBreak/>
        <w:t>ERC.3 – Stability in operation</w:t>
      </w:r>
      <w:r w:rsidR="006F0883">
        <w:t>s</w:t>
      </w:r>
    </w:p>
    <w:p w14:paraId="3EA6D2B7" w14:textId="77777777" w:rsidR="00E243D0" w:rsidRPr="00AA159A" w:rsidRDefault="00E243D0" w:rsidP="006C4609">
      <w:pPr>
        <w:pStyle w:val="SAPBodyText"/>
      </w:pPr>
      <w:r w:rsidRPr="00AA159A">
        <w:t>The core should be stable in normal operation and should not undergo sudden changes of condition when operating parameters go outside their permitted range.</w:t>
      </w:r>
    </w:p>
    <w:p w14:paraId="20EE9B30" w14:textId="77777777" w:rsidR="00E243D0" w:rsidRPr="00CF791A" w:rsidRDefault="00E243D0" w:rsidP="00E243D0">
      <w:pPr>
        <w:pStyle w:val="Paragraph"/>
      </w:pPr>
      <w:r w:rsidRPr="00CF791A">
        <w:t xml:space="preserve">An increase in reactivity or reduction in coolant flow, caused by unplanned: </w:t>
      </w:r>
    </w:p>
    <w:p w14:paraId="7CC438B5" w14:textId="77777777" w:rsidR="00E243D0" w:rsidRPr="00AA159A" w:rsidRDefault="00E243D0" w:rsidP="00134698">
      <w:pPr>
        <w:pStyle w:val="NumList2"/>
        <w:numPr>
          <w:ilvl w:val="1"/>
          <w:numId w:val="48"/>
        </w:numPr>
      </w:pPr>
      <w:r w:rsidRPr="00AA159A">
        <w:t xml:space="preserve">movement within the core; </w:t>
      </w:r>
    </w:p>
    <w:p w14:paraId="0EC06168" w14:textId="77777777" w:rsidR="00E243D0" w:rsidRPr="00AA159A" w:rsidRDefault="00E243D0" w:rsidP="00134698">
      <w:pPr>
        <w:pStyle w:val="NumList2"/>
        <w:numPr>
          <w:ilvl w:val="1"/>
          <w:numId w:val="48"/>
        </w:numPr>
      </w:pPr>
      <w:r w:rsidRPr="00AA159A">
        <w:t xml:space="preserve">loss from the core; or </w:t>
      </w:r>
    </w:p>
    <w:p w14:paraId="05658AC2" w14:textId="77777777" w:rsidR="00E243D0" w:rsidRPr="00AA159A" w:rsidRDefault="00E243D0" w:rsidP="00134698">
      <w:pPr>
        <w:pStyle w:val="NumList2"/>
        <w:numPr>
          <w:ilvl w:val="1"/>
          <w:numId w:val="48"/>
        </w:numPr>
      </w:pPr>
      <w:r w:rsidRPr="00AA159A">
        <w:t xml:space="preserve">addition to the core; </w:t>
      </w:r>
    </w:p>
    <w:p w14:paraId="2388DBE4" w14:textId="77777777" w:rsidR="00E243D0" w:rsidRPr="00CF791A" w:rsidRDefault="00E243D0" w:rsidP="003861BC">
      <w:pPr>
        <w:pStyle w:val="Paragraph"/>
        <w:ind w:left="720"/>
      </w:pPr>
      <w:r w:rsidRPr="00CF791A">
        <w:t>of any component, object or substance should be prevented.</w:t>
      </w:r>
    </w:p>
    <w:p w14:paraId="54688222" w14:textId="77777777" w:rsidR="00E243D0" w:rsidRPr="00CF791A" w:rsidRDefault="00E243D0" w:rsidP="00E243D0">
      <w:pPr>
        <w:pStyle w:val="Paragraph"/>
      </w:pPr>
      <w:r w:rsidRPr="00CF791A">
        <w:t>Changes in temperature, coolant voiding, core geometry, or the nuclear characteristics of components that could occur in normal operation or fault conditions should not cause uncontrollably large or rapid increases in reactivity.</w:t>
      </w:r>
    </w:p>
    <w:p w14:paraId="4855370E" w14:textId="77777777" w:rsidR="00E243D0" w:rsidRPr="00CF791A" w:rsidRDefault="00E243D0" w:rsidP="00E243D0">
      <w:pPr>
        <w:pStyle w:val="Paragraph"/>
      </w:pPr>
      <w:r w:rsidRPr="00CF791A">
        <w:t>The effects of changes in coolant condition or composition on the reactivity of the reactor core should be identified. The consequences of any adverse changes should be limited by the provision of protective systems or by reactor core design parameters.</w:t>
      </w:r>
    </w:p>
    <w:p w14:paraId="082DF2B9" w14:textId="77777777" w:rsidR="00E243D0" w:rsidRPr="00CF791A" w:rsidRDefault="00E243D0" w:rsidP="00E243D0">
      <w:pPr>
        <w:pStyle w:val="Paragraph"/>
      </w:pPr>
      <w:r w:rsidRPr="00CF791A">
        <w:t>There should be suitable and sufficient design margins to ensure that any reactivity changes do not lead to unacceptable consequences. Limits (operating rules) should be set for the maximum degree of positive reactivity.</w:t>
      </w:r>
    </w:p>
    <w:p w14:paraId="65C5667E" w14:textId="1206D478" w:rsidR="00E243D0" w:rsidRPr="00CF791A" w:rsidRDefault="00086E49" w:rsidP="00E243D0">
      <w:pPr>
        <w:pStyle w:val="Paragraph"/>
      </w:pPr>
      <w:r w:rsidRPr="00CF791A">
        <w:t>The design of the core and its components should take account of any factors that could affect safety, including but not limited to:</w:t>
      </w:r>
      <w:r w:rsidR="00E243D0" w:rsidRPr="00CF791A">
        <w:t xml:space="preserve"> </w:t>
      </w:r>
    </w:p>
    <w:p w14:paraId="60F9CDF5" w14:textId="77777777" w:rsidR="00E243D0" w:rsidRPr="00AA159A" w:rsidRDefault="00E243D0" w:rsidP="00134698">
      <w:pPr>
        <w:pStyle w:val="NumList2"/>
        <w:numPr>
          <w:ilvl w:val="1"/>
          <w:numId w:val="49"/>
        </w:numPr>
      </w:pPr>
      <w:r w:rsidRPr="00AA159A">
        <w:t xml:space="preserve">irradiation; </w:t>
      </w:r>
    </w:p>
    <w:p w14:paraId="6A5F1634" w14:textId="77777777" w:rsidR="00E243D0" w:rsidRPr="00AA159A" w:rsidRDefault="00E243D0" w:rsidP="00134698">
      <w:pPr>
        <w:pStyle w:val="NumList2"/>
        <w:numPr>
          <w:ilvl w:val="1"/>
          <w:numId w:val="49"/>
        </w:numPr>
      </w:pPr>
      <w:r w:rsidRPr="00AA159A">
        <w:t xml:space="preserve">chemical and physical processes; </w:t>
      </w:r>
    </w:p>
    <w:p w14:paraId="5CE3BFCD" w14:textId="77777777" w:rsidR="00E243D0" w:rsidRPr="00AA159A" w:rsidRDefault="00E243D0" w:rsidP="00134698">
      <w:pPr>
        <w:pStyle w:val="NumList2"/>
        <w:numPr>
          <w:ilvl w:val="1"/>
          <w:numId w:val="49"/>
        </w:numPr>
      </w:pPr>
      <w:r w:rsidRPr="00AA159A">
        <w:t xml:space="preserve">static and dynamic mechanical loads; </w:t>
      </w:r>
    </w:p>
    <w:p w14:paraId="2841FF6E" w14:textId="77777777" w:rsidR="00E243D0" w:rsidRPr="00AA159A" w:rsidRDefault="00E243D0" w:rsidP="00134698">
      <w:pPr>
        <w:pStyle w:val="NumList2"/>
        <w:numPr>
          <w:ilvl w:val="1"/>
          <w:numId w:val="49"/>
        </w:numPr>
      </w:pPr>
      <w:r w:rsidRPr="00AA159A">
        <w:t xml:space="preserve">thermal distortion; </w:t>
      </w:r>
    </w:p>
    <w:p w14:paraId="06F0DE47" w14:textId="77777777" w:rsidR="00E243D0" w:rsidRPr="00AA159A" w:rsidRDefault="00E243D0" w:rsidP="00134698">
      <w:pPr>
        <w:pStyle w:val="NumList2"/>
        <w:numPr>
          <w:ilvl w:val="1"/>
          <w:numId w:val="49"/>
        </w:numPr>
      </w:pPr>
      <w:r w:rsidRPr="00AA159A">
        <w:t xml:space="preserve">thermally induced stress; and </w:t>
      </w:r>
    </w:p>
    <w:p w14:paraId="618C0FED" w14:textId="77777777" w:rsidR="00E243D0" w:rsidRPr="00AA159A" w:rsidRDefault="00E243D0" w:rsidP="00134698">
      <w:pPr>
        <w:pStyle w:val="NumList2"/>
        <w:numPr>
          <w:ilvl w:val="1"/>
          <w:numId w:val="49"/>
        </w:numPr>
      </w:pPr>
      <w:r w:rsidRPr="00AA159A">
        <w:t>variations in manufacture.</w:t>
      </w:r>
    </w:p>
    <w:p w14:paraId="554BD189" w14:textId="77777777" w:rsidR="00E243D0" w:rsidRPr="00CF791A" w:rsidRDefault="00E243D0" w:rsidP="00E243D0">
      <w:pPr>
        <w:pStyle w:val="Paragraph"/>
      </w:pPr>
      <w:r w:rsidRPr="00CF791A">
        <w:t>The core should be securely supported and positively located with respect to other components in the reactor to prevent gross unplanned movements of the structure of the core or adverse internal movements.</w:t>
      </w:r>
    </w:p>
    <w:p w14:paraId="58B257D3" w14:textId="77777777" w:rsidR="00E243D0" w:rsidRPr="00CF791A" w:rsidRDefault="00E243D0" w:rsidP="00E243D0">
      <w:pPr>
        <w:pStyle w:val="Paragraph"/>
      </w:pPr>
      <w:r w:rsidRPr="00CF791A">
        <w:t>The incorrect location of any core components should be physically inhibited where practicable.</w:t>
      </w:r>
    </w:p>
    <w:p w14:paraId="4CE01870" w14:textId="77777777" w:rsidR="00E243D0" w:rsidRPr="00AA159A" w:rsidRDefault="00E243D0" w:rsidP="009B7D05">
      <w:pPr>
        <w:pStyle w:val="SAPHeading"/>
      </w:pPr>
      <w:r w:rsidRPr="00AA159A">
        <w:lastRenderedPageBreak/>
        <w:t>ERC.4 – Monitoring of parameters important to safety</w:t>
      </w:r>
    </w:p>
    <w:p w14:paraId="4C1651E9" w14:textId="77777777" w:rsidR="00E243D0" w:rsidRPr="00AA159A" w:rsidRDefault="00E243D0" w:rsidP="006C4609">
      <w:pPr>
        <w:pStyle w:val="SAPBodyText"/>
      </w:pPr>
      <w:r w:rsidRPr="00AA159A">
        <w:t>The core should be designed so that parameters and conditions important to safety can be monitored in all operational and design basis fault conditions and appropriate recovery actions taken in the event of adverse conditions being detected.</w:t>
      </w:r>
    </w:p>
    <w:p w14:paraId="0F512D97" w14:textId="77777777" w:rsidR="00E243D0" w:rsidRPr="00CF791A" w:rsidRDefault="00E243D0" w:rsidP="00E243D0">
      <w:pPr>
        <w:pStyle w:val="Paragraph"/>
      </w:pPr>
      <w:r w:rsidRPr="00CF791A">
        <w:t>Fuel assemblies should be designed to permit suitable and sufficient inspection of their structure and components before loading into the core. Provision should be made for in-service monitoring and post-irradiation inspection to confirm fuel behaviour and performance.</w:t>
      </w:r>
    </w:p>
    <w:p w14:paraId="384EBA72" w14:textId="77777777" w:rsidR="00E243D0" w:rsidRPr="00CF791A" w:rsidRDefault="00E243D0" w:rsidP="00E243D0">
      <w:pPr>
        <w:pStyle w:val="Paragraph"/>
      </w:pPr>
      <w:r w:rsidRPr="00CF791A">
        <w:t>The design should allow fuel to be removed from the reactor, despite any in-service damage such as bowing or swelling, or other damage occurring, in normal operation and design basis fault conditions.</w:t>
      </w:r>
    </w:p>
    <w:p w14:paraId="3F5370EB" w14:textId="77777777" w:rsidR="00E243D0" w:rsidRPr="00AA159A" w:rsidRDefault="00E243D0" w:rsidP="009B7D05">
      <w:pPr>
        <w:pStyle w:val="Heading2"/>
      </w:pPr>
      <w:r w:rsidRPr="00AA159A">
        <w:t>Heat transport systems</w:t>
      </w:r>
    </w:p>
    <w:p w14:paraId="7F1FC87A" w14:textId="77777777" w:rsidR="00E243D0" w:rsidRPr="00CF791A" w:rsidRDefault="00E243D0" w:rsidP="00E243D0">
      <w:pPr>
        <w:pStyle w:val="Paragraph"/>
      </w:pPr>
      <w:r w:rsidRPr="00CF791A">
        <w:t>This principle applies to the systems required to transport heat within nuclear facilities, both in normal operation and fault conditions. It is intended to cover the full range of facilities where heat transfer is important to safety.</w:t>
      </w:r>
    </w:p>
    <w:p w14:paraId="4332537B" w14:textId="01716FBC" w:rsidR="00D335AC" w:rsidRPr="00AA159A" w:rsidRDefault="00D335AC" w:rsidP="009B7D05">
      <w:pPr>
        <w:pStyle w:val="SAPHeading"/>
      </w:pPr>
      <w:r w:rsidRPr="00AA159A">
        <w:t xml:space="preserve">EHT.1 – </w:t>
      </w:r>
      <w:r w:rsidR="00EB6E07">
        <w:t>H</w:t>
      </w:r>
      <w:r w:rsidRPr="00AA159A">
        <w:t>eat transport system</w:t>
      </w:r>
      <w:r w:rsidR="00EB6E07">
        <w:t xml:space="preserve"> </w:t>
      </w:r>
      <w:r w:rsidR="00C954EF">
        <w:t>d</w:t>
      </w:r>
      <w:r w:rsidR="00EB6E07">
        <w:t>esign</w:t>
      </w:r>
    </w:p>
    <w:p w14:paraId="15603DBF" w14:textId="4AF16B38" w:rsidR="00E243D0" w:rsidRPr="00AA159A" w:rsidRDefault="00445A55" w:rsidP="006C4609">
      <w:pPr>
        <w:pStyle w:val="SAPBodyText"/>
      </w:pPr>
      <w:r w:rsidRPr="00AA159A">
        <w:t>Where heat transport system</w:t>
      </w:r>
      <w:r w:rsidR="00553C35">
        <w:t>s</w:t>
      </w:r>
      <w:r w:rsidRPr="00AA159A">
        <w:t xml:space="preserve"> </w:t>
      </w:r>
      <w:r w:rsidR="00532DCC">
        <w:t xml:space="preserve">are </w:t>
      </w:r>
      <w:r w:rsidR="00532DCC" w:rsidRPr="00AA159A">
        <w:t xml:space="preserve">required </w:t>
      </w:r>
      <w:r w:rsidR="00532DCC">
        <w:t xml:space="preserve">to deliver a </w:t>
      </w:r>
      <w:r w:rsidR="00532DCC" w:rsidRPr="00AA159A">
        <w:t>safety function</w:t>
      </w:r>
      <w:r w:rsidRPr="00AA159A">
        <w:t xml:space="preserve">, they should have the </w:t>
      </w:r>
      <w:r w:rsidR="00553C35">
        <w:t xml:space="preserve">necessary </w:t>
      </w:r>
      <w:r w:rsidRPr="00AA159A">
        <w:t>capacity, availability, resilience and reliability.</w:t>
      </w:r>
      <w:r w:rsidR="0081491F" w:rsidRPr="00AA159A">
        <w:t xml:space="preserve"> </w:t>
      </w:r>
    </w:p>
    <w:p w14:paraId="59760016" w14:textId="401E32B4" w:rsidR="00B345D5" w:rsidRPr="00134698" w:rsidRDefault="00B345D5" w:rsidP="00134698">
      <w:pPr>
        <w:pStyle w:val="Paragraph"/>
      </w:pPr>
      <w:r w:rsidRPr="00134698">
        <w:t>The capacity, availability</w:t>
      </w:r>
      <w:r w:rsidR="009B02BF" w:rsidRPr="00AA159A">
        <w:t>, resilience</w:t>
      </w:r>
      <w:r w:rsidRPr="00134698">
        <w:t xml:space="preserve"> and reliability of </w:t>
      </w:r>
      <w:r w:rsidR="00553C35">
        <w:t>h</w:t>
      </w:r>
      <w:r w:rsidR="00553C35" w:rsidRPr="00553C35">
        <w:t xml:space="preserve">eat transport systems </w:t>
      </w:r>
      <w:r w:rsidRPr="00134698">
        <w:t xml:space="preserve">and their support systems </w:t>
      </w:r>
      <w:r w:rsidR="00811B9D" w:rsidRPr="00134698">
        <w:t>should</w:t>
      </w:r>
      <w:r w:rsidRPr="00134698">
        <w:t xml:space="preserve"> be analysed and justified in the safety analysis.</w:t>
      </w:r>
      <w:r w:rsidR="00BA46D3">
        <w:t xml:space="preserve"> </w:t>
      </w:r>
      <w:r w:rsidR="00A80F81">
        <w:br/>
      </w:r>
      <w:r w:rsidR="00BA46D3">
        <w:t xml:space="preserve">Where required by the safety analysis </w:t>
      </w:r>
      <w:r w:rsidR="00CF6E72">
        <w:t>back up h</w:t>
      </w:r>
      <w:r w:rsidR="00CF6E72" w:rsidRPr="00CF6E72">
        <w:t xml:space="preserve">eat transport systems </w:t>
      </w:r>
      <w:r w:rsidR="00252DE0">
        <w:t>should</w:t>
      </w:r>
      <w:r w:rsidR="00CF6E72" w:rsidRPr="00CF6E72">
        <w:t xml:space="preserve"> be provided</w:t>
      </w:r>
      <w:r w:rsidR="00753294">
        <w:t xml:space="preserve">, including the ability </w:t>
      </w:r>
      <w:r w:rsidR="00CE4B7A">
        <w:t xml:space="preserve">to make up inventory to the </w:t>
      </w:r>
      <w:r w:rsidR="00BD5CFC">
        <w:t>h</w:t>
      </w:r>
      <w:r w:rsidR="00BD5CFC" w:rsidRPr="00BD5CFC">
        <w:t xml:space="preserve">eat transport </w:t>
      </w:r>
      <w:r w:rsidR="00CE4B7A">
        <w:t xml:space="preserve">systems </w:t>
      </w:r>
      <w:r w:rsidR="00E4469A">
        <w:t xml:space="preserve">in the event of fault conditions </w:t>
      </w:r>
      <w:r w:rsidR="00FB2189">
        <w:t xml:space="preserve">to ensure that </w:t>
      </w:r>
      <w:r w:rsidR="00553C35" w:rsidRPr="00AA159A">
        <w:t>safety function</w:t>
      </w:r>
      <w:r w:rsidR="00553C35">
        <w:t>s are delivered</w:t>
      </w:r>
      <w:r w:rsidR="00CF6E72" w:rsidRPr="00CF6E72">
        <w:t>.</w:t>
      </w:r>
    </w:p>
    <w:p w14:paraId="72F5D5F7" w14:textId="2AAB3337" w:rsidR="00E243D0" w:rsidRPr="00CF791A" w:rsidRDefault="00E243D0" w:rsidP="00E243D0">
      <w:pPr>
        <w:pStyle w:val="Paragraph"/>
      </w:pPr>
      <w:r w:rsidRPr="00CF791A">
        <w:t>The implementation of this principle should consider</w:t>
      </w:r>
      <w:r w:rsidR="007903BB">
        <w:t xml:space="preserve"> </w:t>
      </w:r>
      <w:r w:rsidRPr="00CF791A">
        <w:t xml:space="preserve">the following: </w:t>
      </w:r>
    </w:p>
    <w:p w14:paraId="5C1E6245" w14:textId="77777777" w:rsidR="00E243D0" w:rsidRPr="00AA159A" w:rsidRDefault="00E243D0" w:rsidP="00134698">
      <w:pPr>
        <w:pStyle w:val="NumList2"/>
        <w:numPr>
          <w:ilvl w:val="1"/>
          <w:numId w:val="50"/>
        </w:numPr>
      </w:pPr>
      <w:r w:rsidRPr="00AA159A">
        <w:t xml:space="preserve">sufficient coolant inventory and flow should be provided to maintain cooling within the limits (operating rules) derived for normal operational and design basis fault conditions; </w:t>
      </w:r>
    </w:p>
    <w:p w14:paraId="14ACEB21" w14:textId="77777777" w:rsidR="00E243D0" w:rsidRPr="00AA159A" w:rsidRDefault="00E243D0" w:rsidP="00134698">
      <w:pPr>
        <w:pStyle w:val="NumList2"/>
        <w:numPr>
          <w:ilvl w:val="1"/>
          <w:numId w:val="50"/>
        </w:numPr>
      </w:pPr>
      <w:r w:rsidRPr="00AA159A">
        <w:t xml:space="preserve">a suitable and sufficient heat sink should be provided; </w:t>
      </w:r>
    </w:p>
    <w:p w14:paraId="48C50058" w14:textId="7105971F" w:rsidR="00E243D0" w:rsidRPr="00AA159A" w:rsidRDefault="00E243D0" w:rsidP="00134698">
      <w:pPr>
        <w:pStyle w:val="NumList2"/>
        <w:numPr>
          <w:ilvl w:val="1"/>
          <w:numId w:val="50"/>
        </w:numPr>
      </w:pPr>
      <w:r w:rsidRPr="00AA159A">
        <w:t>prevention of failures of the heat transport system that could adversely affect the heat transfer process; and</w:t>
      </w:r>
    </w:p>
    <w:p w14:paraId="48AB0204" w14:textId="77777777" w:rsidR="00E243D0" w:rsidRPr="00AA159A" w:rsidRDefault="00E243D0" w:rsidP="00134698">
      <w:pPr>
        <w:pStyle w:val="NumList2"/>
        <w:numPr>
          <w:ilvl w:val="1"/>
          <w:numId w:val="50"/>
        </w:numPr>
      </w:pPr>
      <w:r w:rsidRPr="00AA159A">
        <w:t>the heat transport system should be designed to minimise radiological doses.</w:t>
      </w:r>
    </w:p>
    <w:p w14:paraId="63792952" w14:textId="77777777" w:rsidR="00E243D0" w:rsidRPr="00AA159A" w:rsidRDefault="00E243D0" w:rsidP="009B7D05">
      <w:pPr>
        <w:pStyle w:val="Heading2"/>
      </w:pPr>
      <w:r w:rsidRPr="00AA159A">
        <w:lastRenderedPageBreak/>
        <w:t>Criticality safety</w:t>
      </w:r>
    </w:p>
    <w:p w14:paraId="3A330EC6" w14:textId="77777777" w:rsidR="00E243D0" w:rsidRPr="00CF791A" w:rsidRDefault="00E243D0" w:rsidP="00E243D0">
      <w:pPr>
        <w:pStyle w:val="Paragraph"/>
      </w:pPr>
      <w:r w:rsidRPr="00CF791A">
        <w:t xml:space="preserve">Criticality safety principles apply to the processing, handling or storage of fissile materials in significant quantities with respect to the minimum critical mass, and in locations where criticality is not intended. </w:t>
      </w:r>
    </w:p>
    <w:p w14:paraId="53CA8F8E" w14:textId="7E83797E" w:rsidR="00E243D0" w:rsidRPr="00AA159A" w:rsidRDefault="00E243D0" w:rsidP="009B7D05">
      <w:pPr>
        <w:pStyle w:val="SAPHeading"/>
      </w:pPr>
      <w:r w:rsidRPr="00AA159A">
        <w:t xml:space="preserve">ECR.1 – </w:t>
      </w:r>
      <w:r w:rsidR="00112D6A" w:rsidRPr="00AA159A">
        <w:t>Crit</w:t>
      </w:r>
      <w:r w:rsidR="00EB01FD" w:rsidRPr="00AA159A">
        <w:t xml:space="preserve">icality </w:t>
      </w:r>
      <w:r w:rsidR="0061750E">
        <w:t>s</w:t>
      </w:r>
      <w:r w:rsidRPr="00AA159A">
        <w:t>afety measures</w:t>
      </w:r>
    </w:p>
    <w:p w14:paraId="1CF21B52" w14:textId="77777777" w:rsidR="00E243D0" w:rsidRPr="00AA159A" w:rsidRDefault="00E243D0" w:rsidP="006C4609">
      <w:pPr>
        <w:pStyle w:val="SAPBodyText"/>
      </w:pPr>
      <w:r w:rsidRPr="00AA159A">
        <w:t>Wherever a significant amount of fissile material may be present, there should be safety measures to protect against unplanned criticality.</w:t>
      </w:r>
    </w:p>
    <w:p w14:paraId="180B60A7" w14:textId="2E6FC76A" w:rsidR="005C4506" w:rsidRDefault="00E243D0" w:rsidP="00E243D0">
      <w:pPr>
        <w:pStyle w:val="Paragraph"/>
      </w:pPr>
      <w:r w:rsidRPr="00CF791A">
        <w:t xml:space="preserve">The hierarchy of controls </w:t>
      </w:r>
      <w:r w:rsidR="007A50AA">
        <w:t>(refer to</w:t>
      </w:r>
      <w:r w:rsidR="005D038F">
        <w:t xml:space="preserve"> </w:t>
      </w:r>
      <w:r w:rsidRPr="00CF791A">
        <w:t>KP.</w:t>
      </w:r>
      <w:r w:rsidR="00FB606A">
        <w:t>5</w:t>
      </w:r>
      <w:r w:rsidRPr="00CF791A">
        <w:t>)</w:t>
      </w:r>
      <w:r w:rsidRPr="00CF791A" w:rsidDel="00E12608">
        <w:t xml:space="preserve"> </w:t>
      </w:r>
      <w:r w:rsidRPr="00CF791A">
        <w:t>gives preference to minimising the amount of fissile material present, consistent with the process requirements. The principal means of passive engineering control of criticality should be via inherently safe measures such as geometrical constraint.</w:t>
      </w:r>
    </w:p>
    <w:p w14:paraId="0F0EDF60" w14:textId="3A4F876E" w:rsidR="00E243D0" w:rsidRPr="00CF791A" w:rsidRDefault="00E243D0" w:rsidP="00E243D0">
      <w:pPr>
        <w:pStyle w:val="Paragraph"/>
      </w:pPr>
      <w:r w:rsidRPr="00CF791A">
        <w:t>Where sub-criticality cannot be maintained via inherent safety alone, the criticality risk should consider using additional engineered (or administrative) safety measures, such as fixed/soluble neutron absorbers. Reliance on neutron absorbers requires assurance of their continued presence and effectiveness.</w:t>
      </w:r>
    </w:p>
    <w:p w14:paraId="489C1D66" w14:textId="305BF7BD" w:rsidR="00E243D0" w:rsidRPr="00CF791A" w:rsidRDefault="00E243D0" w:rsidP="00E243D0">
      <w:pPr>
        <w:pStyle w:val="Paragraph"/>
      </w:pPr>
      <w:r w:rsidRPr="00CF791A">
        <w:t>Safety measures may need to be provided, for example</w:t>
      </w:r>
      <w:r w:rsidR="00BE0D91">
        <w:t>,</w:t>
      </w:r>
      <w:r w:rsidRPr="00CF791A">
        <w:t xml:space="preserve"> to: </w:t>
      </w:r>
    </w:p>
    <w:p w14:paraId="28209C63" w14:textId="77777777" w:rsidR="00E243D0" w:rsidRPr="00AA159A" w:rsidRDefault="00E243D0" w:rsidP="00134698">
      <w:pPr>
        <w:pStyle w:val="NumList2"/>
        <w:numPr>
          <w:ilvl w:val="1"/>
          <w:numId w:val="51"/>
        </w:numPr>
      </w:pPr>
      <w:r w:rsidRPr="00AA159A">
        <w:t xml:space="preserve">control the mass and isotopic composition of the fissile material present; </w:t>
      </w:r>
    </w:p>
    <w:p w14:paraId="061C3CA3" w14:textId="77777777" w:rsidR="00E243D0" w:rsidRPr="00AA159A" w:rsidRDefault="00E243D0" w:rsidP="00134698">
      <w:pPr>
        <w:pStyle w:val="NumList2"/>
        <w:numPr>
          <w:ilvl w:val="1"/>
          <w:numId w:val="51"/>
        </w:numPr>
      </w:pPr>
      <w:r w:rsidRPr="00AA159A">
        <w:t xml:space="preserve">control the concentration of fissile material in solutions; and </w:t>
      </w:r>
    </w:p>
    <w:p w14:paraId="044EF550" w14:textId="77777777" w:rsidR="00E243D0" w:rsidRPr="00AA159A" w:rsidRDefault="00E243D0" w:rsidP="00134698">
      <w:pPr>
        <w:pStyle w:val="NumList2"/>
        <w:numPr>
          <w:ilvl w:val="1"/>
          <w:numId w:val="51"/>
        </w:numPr>
      </w:pPr>
      <w:r w:rsidRPr="00AA159A">
        <w:t>control the amount of neutron moderating and reflecting material associated with the fissile material.</w:t>
      </w:r>
    </w:p>
    <w:p w14:paraId="6425A519" w14:textId="61080E00" w:rsidR="00E243D0" w:rsidRPr="00CF791A" w:rsidRDefault="00E243D0" w:rsidP="00E243D0">
      <w:pPr>
        <w:pStyle w:val="Paragraph"/>
      </w:pPr>
      <w:r w:rsidRPr="00CF791A">
        <w:t xml:space="preserve">The design and operation of plant and equipment dealing with fissile material should </w:t>
      </w:r>
      <w:r w:rsidR="00050A1A">
        <w:t xml:space="preserve">be able to </w:t>
      </w:r>
      <w:r w:rsidRPr="00CF791A">
        <w:t>facilitate the termination of a criticality incident</w:t>
      </w:r>
      <w:r w:rsidR="00734BA7">
        <w:t xml:space="preserve"> should on</w:t>
      </w:r>
      <w:r w:rsidR="00CA7922">
        <w:t>e</w:t>
      </w:r>
      <w:r w:rsidR="00734BA7">
        <w:t xml:space="preserve"> occur</w:t>
      </w:r>
      <w:r w:rsidRPr="00CF791A">
        <w:t>.</w:t>
      </w:r>
    </w:p>
    <w:p w14:paraId="133BA247" w14:textId="77777777" w:rsidR="00E243D0" w:rsidRPr="00AA159A" w:rsidRDefault="00E243D0" w:rsidP="009B7D05">
      <w:pPr>
        <w:pStyle w:val="SAPHeading"/>
      </w:pPr>
      <w:r w:rsidRPr="00AA159A">
        <w:t>ECR.2 – Double contingency approach</w:t>
      </w:r>
    </w:p>
    <w:p w14:paraId="71CD2A5F" w14:textId="5D268D4A" w:rsidR="00E243D0" w:rsidRPr="00AA159A" w:rsidRDefault="00691B7B" w:rsidP="006C4609">
      <w:pPr>
        <w:pStyle w:val="SAPBodyText"/>
      </w:pPr>
      <w:r>
        <w:t>The c</w:t>
      </w:r>
      <w:r w:rsidR="00E243D0" w:rsidRPr="00AA159A">
        <w:t xml:space="preserve">riticality </w:t>
      </w:r>
      <w:r>
        <w:t>aspect</w:t>
      </w:r>
      <w:r w:rsidR="002E6D16">
        <w:t>s</w:t>
      </w:r>
      <w:r>
        <w:t xml:space="preserve"> of the </w:t>
      </w:r>
      <w:r w:rsidR="00E243D0" w:rsidRPr="00AA159A">
        <w:t>safety case should employ the double contingency approach.</w:t>
      </w:r>
    </w:p>
    <w:p w14:paraId="66DF81A2" w14:textId="77777777" w:rsidR="00E243D0" w:rsidRPr="00CF791A" w:rsidRDefault="00E243D0" w:rsidP="00E243D0">
      <w:pPr>
        <w:pStyle w:val="Paragraph"/>
      </w:pPr>
      <w:r w:rsidRPr="00CF791A">
        <w:t>The double contingency approach involves a demonstration that unintended criticality cannot occur unless at least two unlikely, independent, concurrent changes in the conditions originally specified as essential to criticality safety have occurred.</w:t>
      </w:r>
    </w:p>
    <w:p w14:paraId="277D1F43" w14:textId="77777777" w:rsidR="00E243D0" w:rsidRPr="00CF791A" w:rsidRDefault="00E243D0" w:rsidP="00E243D0">
      <w:pPr>
        <w:pStyle w:val="Paragraph"/>
        <w:sectPr w:rsidR="00E243D0" w:rsidRPr="00CF791A" w:rsidSect="00E243D0">
          <w:pgSz w:w="11906" w:h="16838" w:code="9"/>
          <w:pgMar w:top="1440" w:right="1440" w:bottom="1440" w:left="1440" w:header="397" w:footer="397" w:gutter="0"/>
          <w:cols w:space="312"/>
          <w:docGrid w:linePitch="360"/>
        </w:sectPr>
      </w:pPr>
      <w:r w:rsidRPr="00CF791A">
        <w:t>For long-term storage of radioactive waste containing fissile materials, traditional deterministic criticality assessments can lead to very conservative limits on fissile materials. Consideration should therefore be given to a risk-informed approach that balances the risks from an unplanned criticality against other factors, such as the dose accrued as a result of the preparation of waste packages.</w:t>
      </w:r>
    </w:p>
    <w:p w14:paraId="306B9E38" w14:textId="5B49079E" w:rsidR="00BE6122" w:rsidRPr="00AA159A" w:rsidRDefault="00D3193D" w:rsidP="005364DE">
      <w:pPr>
        <w:pStyle w:val="Heading1"/>
      </w:pPr>
      <w:bookmarkStart w:id="154" w:name="_Toc235711327"/>
      <w:bookmarkStart w:id="155" w:name="_Toc212630697"/>
      <w:bookmarkStart w:id="156" w:name="_Toc219748176"/>
      <w:r w:rsidRPr="00AA159A">
        <w:lastRenderedPageBreak/>
        <w:t xml:space="preserve">Maintaining </w:t>
      </w:r>
      <w:r w:rsidR="00514676" w:rsidRPr="00AA159A">
        <w:t>d</w:t>
      </w:r>
      <w:r w:rsidRPr="00AA159A">
        <w:t xml:space="preserve">esign </w:t>
      </w:r>
      <w:r w:rsidR="00514676" w:rsidRPr="00AA159A">
        <w:t>i</w:t>
      </w:r>
      <w:r w:rsidRPr="00AA159A">
        <w:t xml:space="preserve">ntent </w:t>
      </w:r>
      <w:r w:rsidR="00514676" w:rsidRPr="00AA159A">
        <w:t>t</w:t>
      </w:r>
      <w:r w:rsidRPr="00AA159A">
        <w:t xml:space="preserve">hrough </w:t>
      </w:r>
      <w:r w:rsidR="00514676" w:rsidRPr="00AA159A">
        <w:t>l</w:t>
      </w:r>
      <w:r w:rsidRPr="00AA159A">
        <w:t>ife</w:t>
      </w:r>
      <w:bookmarkEnd w:id="154"/>
      <w:r w:rsidR="0047743F" w:rsidRPr="00AA159A">
        <w:t xml:space="preserve"> </w:t>
      </w:r>
    </w:p>
    <w:p w14:paraId="4A9B4EE3" w14:textId="77777777" w:rsidR="00BE5601" w:rsidRPr="00AA159A" w:rsidRDefault="00BE5601" w:rsidP="009B7D05">
      <w:pPr>
        <w:pStyle w:val="Heading2"/>
      </w:pPr>
      <w:r w:rsidRPr="00AA159A">
        <w:t>Construction, manufacturing, installation, and commissioning</w:t>
      </w:r>
    </w:p>
    <w:p w14:paraId="432E2B9D" w14:textId="63365428" w:rsidR="00BE5601" w:rsidRPr="00AA159A" w:rsidRDefault="00016A4B" w:rsidP="009B7D05">
      <w:pPr>
        <w:pStyle w:val="SAPHeading"/>
      </w:pPr>
      <w:r w:rsidRPr="00AA159A">
        <w:t>CMI</w:t>
      </w:r>
      <w:r w:rsidR="00BE5601" w:rsidRPr="00AA159A">
        <w:t>.1 – Construction Assurance</w:t>
      </w:r>
    </w:p>
    <w:p w14:paraId="5D4BF502" w14:textId="77777777" w:rsidR="00BE5601" w:rsidRPr="00AA159A" w:rsidRDefault="00BE5601" w:rsidP="006C4609">
      <w:pPr>
        <w:pStyle w:val="SAPBodyText"/>
      </w:pPr>
      <w:r w:rsidRPr="00AA159A">
        <w:t>Construction activities should be planned, executed, and assured in a manner that ensures the design intent and functional performance are met, with appropriate communication of design information and application of validated techniques and practices.</w:t>
      </w:r>
    </w:p>
    <w:p w14:paraId="460338CD" w14:textId="77777777" w:rsidR="00BE5601" w:rsidRPr="00CF791A" w:rsidRDefault="00BE5601" w:rsidP="00BE5601">
      <w:pPr>
        <w:pStyle w:val="Paragraph"/>
      </w:pPr>
      <w:r w:rsidRPr="00CF791A">
        <w:t>The design should incorporate practical construction methods, sequencing, and access requirements to ensure that SSCs can be safely and efficiently built. Consideration of future dismantling and demolition should be embedded early in the design process. Where practicable, the design should incorporate sufficient flexibility to accommodate future modifications or operational changes without compromising safety or structural integrity.</w:t>
      </w:r>
    </w:p>
    <w:p w14:paraId="04A6D99B" w14:textId="77777777" w:rsidR="00BE5601" w:rsidRPr="00CF791A" w:rsidRDefault="00BE5601" w:rsidP="00BE5601">
      <w:pPr>
        <w:pStyle w:val="Paragraph"/>
      </w:pPr>
      <w:r w:rsidRPr="00CF791A">
        <w:t>Design documentation should clearly convey critical assumptions, constraints, tolerances, and performance expectations to avoid misinterpretation or deviation from the intended design. Quality expectations – including testing, verification, and validation – should be explicitly defined to ensure functional performance is achieved during construction phases. Effective coordination between disciplines is essential to prevent unintended risks or conflicts during implementation.</w:t>
      </w:r>
    </w:p>
    <w:p w14:paraId="0FF6CD94" w14:textId="44F43C60" w:rsidR="00BE5601" w:rsidRPr="00CF791A" w:rsidRDefault="00BE5601" w:rsidP="00BE5601">
      <w:pPr>
        <w:pStyle w:val="Paragraph"/>
      </w:pPr>
      <w:r w:rsidRPr="00CF791A">
        <w:t xml:space="preserve">The design should account for access routes, lifting points, temporary works, and laydown areas required throughout construction and deconstruction activities. </w:t>
      </w:r>
      <w:r w:rsidR="00A80F81">
        <w:br/>
      </w:r>
      <w:r w:rsidRPr="00CF791A">
        <w:t xml:space="preserve">The use of digital tools can enhance understanding of complex design elements, support planning and sequencing, and improve coordination and control throughout construction phases. </w:t>
      </w:r>
    </w:p>
    <w:p w14:paraId="0A395812" w14:textId="7D84C46F" w:rsidR="00BE5601" w:rsidRPr="00CF791A" w:rsidRDefault="00BE5601" w:rsidP="00BE5601">
      <w:pPr>
        <w:pStyle w:val="Paragraph"/>
      </w:pPr>
      <w:r w:rsidRPr="00CF791A">
        <w:t xml:space="preserve">Lessons learned from previous construction activities should be captured and fed back into the design process to facilitate continuous improvement. Enhanced site supervision, record-keeping, and </w:t>
      </w:r>
      <w:r w:rsidR="00BE7B7F">
        <w:t>EMIT</w:t>
      </w:r>
      <w:r w:rsidRPr="00CF791A">
        <w:t xml:space="preserve"> strategies may be appropriate to establish a baseline for future performance evaluation and operational experience collection.</w:t>
      </w:r>
    </w:p>
    <w:p w14:paraId="54F471F2" w14:textId="5ABAF7D0" w:rsidR="00BE5601" w:rsidRPr="00CF791A" w:rsidRDefault="00BE5601" w:rsidP="00BE5601">
      <w:pPr>
        <w:pStyle w:val="Paragraph"/>
      </w:pPr>
      <w:r w:rsidRPr="00CF791A">
        <w:t>Construction methods should preserve the structural, safety, and operational characteristics defined in the design, including tolerances, load paths, and containment functions. Activities should be planned and controlled to minimise risks to nuclear safety, including inadvertent damage to SSCs, uncontrolled releases, or compromise of functional performance. Where specialist techniques are used</w:t>
      </w:r>
      <w:r w:rsidR="00FD057B">
        <w:t xml:space="preserve"> (</w:t>
      </w:r>
      <w:r w:rsidRPr="00CF791A">
        <w:t>such as</w:t>
      </w:r>
      <w:r w:rsidR="00FD057B">
        <w:t>,</w:t>
      </w:r>
      <w:r w:rsidRPr="00CF791A">
        <w:t xml:space="preserve"> explosives, post-tensioning, heavy lifting, diamond wire cutting, hydro-demolition</w:t>
      </w:r>
      <w:r w:rsidR="00FD057B">
        <w:t>)</w:t>
      </w:r>
      <w:r w:rsidR="00841EDB">
        <w:t xml:space="preserve"> </w:t>
      </w:r>
      <w:r w:rsidRPr="00CF791A">
        <w:t>they should be justified, qualified, and carried out by competent personnel with appropriate supervision.</w:t>
      </w:r>
    </w:p>
    <w:p w14:paraId="40C42EB9" w14:textId="36475B06" w:rsidR="00BE5601" w:rsidRPr="00CF791A" w:rsidRDefault="00BE5601" w:rsidP="00BE5601">
      <w:pPr>
        <w:pStyle w:val="Paragraph"/>
      </w:pPr>
      <w:r w:rsidRPr="00CF791A">
        <w:lastRenderedPageBreak/>
        <w:t xml:space="preserve">For complex construction techniques and challenges such as specialist grouting works or construction of intricate configurations the use of mock-ups to test and validate construction methodologies and assumptions should be </w:t>
      </w:r>
      <w:r w:rsidR="0030251F" w:rsidRPr="00CF791A">
        <w:t>considered</w:t>
      </w:r>
      <w:r w:rsidRPr="00CF791A">
        <w:t>.</w:t>
      </w:r>
    </w:p>
    <w:p w14:paraId="414158EE" w14:textId="77777777" w:rsidR="00BE5601" w:rsidRPr="00CF791A" w:rsidRDefault="00BE5601" w:rsidP="00BE5601">
      <w:pPr>
        <w:pStyle w:val="Paragraph"/>
      </w:pPr>
      <w:r w:rsidRPr="00CF791A">
        <w:t>Sequencing of construction processes should maintain structural stability, facilitate access, and avoid clashes with other disciplines or systems. Techniques should incorporate provisions for real-time structural monitoring, inspection, and verification to confirm that works progress in accordance with design and quality requirements. Plans should allow for adaptation to site-specific challenges such as weather, ground conditions, and radiological constraints, with contingency measures in place to manage deviations or unexpected conditions.</w:t>
      </w:r>
    </w:p>
    <w:p w14:paraId="02FD879E" w14:textId="1142039B" w:rsidR="00BE5601" w:rsidRPr="00CF791A" w:rsidRDefault="00BE5601" w:rsidP="00BE5601">
      <w:pPr>
        <w:pStyle w:val="Paragraph"/>
      </w:pPr>
      <w:r w:rsidRPr="00CF791A">
        <w:t xml:space="preserve">All activities should be </w:t>
      </w:r>
      <w:r w:rsidR="001B215F" w:rsidRPr="00CF791A">
        <w:t xml:space="preserve">appropriately </w:t>
      </w:r>
      <w:r w:rsidRPr="00CF791A">
        <w:t>documented</w:t>
      </w:r>
      <w:r w:rsidR="00966578">
        <w:t xml:space="preserve"> </w:t>
      </w:r>
      <w:r w:rsidR="007A50AA">
        <w:t>(refer to</w:t>
      </w:r>
      <w:r w:rsidR="00966578">
        <w:t xml:space="preserve"> MS.3)</w:t>
      </w:r>
      <w:r w:rsidRPr="00CF791A">
        <w:t>, including as-built records, deviations, and lessons learned, to support design substantiation, future operations, maintenance, and periodic reviews.</w:t>
      </w:r>
    </w:p>
    <w:p w14:paraId="5348741E" w14:textId="27FBC46F" w:rsidR="00BE5601" w:rsidRPr="00AA159A" w:rsidRDefault="00203833" w:rsidP="009B7D05">
      <w:pPr>
        <w:pStyle w:val="SAPHeading"/>
      </w:pPr>
      <w:r w:rsidRPr="00AA159A">
        <w:t>CMI</w:t>
      </w:r>
      <w:r w:rsidR="00BE5601" w:rsidRPr="00AA159A">
        <w:t>.2 – Manufacturing and Installation</w:t>
      </w:r>
    </w:p>
    <w:p w14:paraId="1D9B73D3" w14:textId="77777777" w:rsidR="00BE5601" w:rsidRPr="00AA159A" w:rsidRDefault="00BE5601" w:rsidP="006C4609">
      <w:pPr>
        <w:pStyle w:val="SAPBodyText"/>
      </w:pPr>
      <w:r w:rsidRPr="00AA159A">
        <w:t>Manufacture and installation of engineering materials should achieve the design intent and provide a sound basis of pre- and in-service inspections, operation, and maintenance. Manufacture and installation should also be consistent with the claims and assumptions that are contained in the safety case.</w:t>
      </w:r>
    </w:p>
    <w:p w14:paraId="6FB736B9" w14:textId="77777777" w:rsidR="00BE5601" w:rsidRPr="00CF791A" w:rsidRDefault="00BE5601" w:rsidP="00BE5601">
      <w:pPr>
        <w:pStyle w:val="Paragraph"/>
      </w:pPr>
      <w:r w:rsidRPr="00CF791A">
        <w:t>Manufacture and installation should use techniques and procedures that are properly controlled and minimise the occurrence of defects that might affect the safety function of SSCs. Accordingly, measures should be in place to establish the existence of defects of concern.</w:t>
      </w:r>
    </w:p>
    <w:p w14:paraId="62BB4593" w14:textId="77777777" w:rsidR="00BE5601" w:rsidRPr="00CF791A" w:rsidRDefault="00BE5601" w:rsidP="00BE5601">
      <w:pPr>
        <w:pStyle w:val="Paragraph"/>
      </w:pPr>
      <w:r w:rsidRPr="00CF791A">
        <w:t xml:space="preserve">Materials employed in manufacture and installation should be shown to be suitable for the purpose of enabling an adequate design to be manufactured, operated, examined and maintained throughout the life of the facility. </w:t>
      </w:r>
    </w:p>
    <w:p w14:paraId="456907AC" w14:textId="77777777" w:rsidR="00BE5601" w:rsidRPr="00CF791A" w:rsidRDefault="00BE5601" w:rsidP="00BE5601">
      <w:pPr>
        <w:pStyle w:val="Paragraph"/>
      </w:pPr>
      <w:r w:rsidRPr="00CF791A">
        <w:t>The potential for contamination of materials during manufacture and installation should be controlled to ensure the safety function of the SSC is not compromised.</w:t>
      </w:r>
    </w:p>
    <w:p w14:paraId="69582135" w14:textId="77777777" w:rsidR="00BE5601" w:rsidRPr="00CF791A" w:rsidRDefault="00BE5601" w:rsidP="00BE5601">
      <w:pPr>
        <w:pStyle w:val="Paragraph"/>
      </w:pPr>
      <w:r w:rsidRPr="00CF791A">
        <w:t>To confirm that processes and procedures are being followed, it may be appropriate to subject manufacturing and installation activities to third-party independent inspection. The classification of the SSC will be a key factor in determining whether this level of assurance is appropriate.</w:t>
      </w:r>
    </w:p>
    <w:p w14:paraId="74FED248" w14:textId="2C90F979" w:rsidR="00BE5601" w:rsidRPr="00CF791A" w:rsidRDefault="00BE5601" w:rsidP="00BE5601">
      <w:pPr>
        <w:pStyle w:val="Paragraph"/>
      </w:pPr>
      <w:r w:rsidRPr="00CF791A">
        <w:t>Detailed records of manufacturing, installation and testing activities should be made and be retained in such a way as to allow review at any time during subsequent operation</w:t>
      </w:r>
      <w:r w:rsidR="00333C6C">
        <w:t xml:space="preserve"> </w:t>
      </w:r>
      <w:r w:rsidR="007A50AA">
        <w:t>(refer to</w:t>
      </w:r>
      <w:r w:rsidR="00333C6C">
        <w:t xml:space="preserve"> MS.3)</w:t>
      </w:r>
      <w:r w:rsidRPr="00CF791A">
        <w:t>. Materials identification, storage and issue should also be closely controlled.</w:t>
      </w:r>
    </w:p>
    <w:p w14:paraId="6ED600CD" w14:textId="77777777" w:rsidR="00BE5601" w:rsidRPr="00CF791A" w:rsidRDefault="00BE5601" w:rsidP="00BE5601">
      <w:pPr>
        <w:pStyle w:val="Paragraph"/>
      </w:pPr>
      <w:r w:rsidRPr="00CF791A">
        <w:t>Changes in design, manufacture and installation should be carefully controlled through a formal procedure for change. Communication and control of the effects of change across organisation or technical interfaces warrant particular attention.</w:t>
      </w:r>
    </w:p>
    <w:p w14:paraId="22E9A100" w14:textId="77777777" w:rsidR="00BE5601" w:rsidRPr="00CF791A" w:rsidRDefault="00BE5601" w:rsidP="00BE5601">
      <w:pPr>
        <w:pStyle w:val="Paragraph"/>
      </w:pPr>
      <w:r w:rsidRPr="00CF791A">
        <w:lastRenderedPageBreak/>
        <w:t>Pressure vessels, pipework, and systems require a pressure test at completion of manufacture and after installation. This is an important test of the strength of the materials and section thicknesses. It should not, however, be relied upon as a significant argument for the absence of defects.</w:t>
      </w:r>
    </w:p>
    <w:p w14:paraId="77D23F75" w14:textId="00AB9DCF" w:rsidR="00BE5601" w:rsidRPr="00AA159A" w:rsidRDefault="00203833" w:rsidP="009B7D05">
      <w:pPr>
        <w:pStyle w:val="SAPHeading"/>
        <w:rPr>
          <w:lang w:bidi="ar-SA"/>
        </w:rPr>
      </w:pPr>
      <w:r w:rsidRPr="00AA159A">
        <w:rPr>
          <w:lang w:bidi="ar-SA"/>
        </w:rPr>
        <w:t>CMI</w:t>
      </w:r>
      <w:r w:rsidR="00BE5601" w:rsidRPr="00AA159A">
        <w:rPr>
          <w:lang w:bidi="ar-SA"/>
        </w:rPr>
        <w:t>.3 – Type testing</w:t>
      </w:r>
    </w:p>
    <w:p w14:paraId="57D97020" w14:textId="12DA2D64" w:rsidR="00BE5601" w:rsidRPr="00AA159A" w:rsidRDefault="00C2636D" w:rsidP="006C4609">
      <w:pPr>
        <w:pStyle w:val="SAPBodyText"/>
      </w:pPr>
      <w:r w:rsidRPr="00AA159A">
        <w:t>SSC</w:t>
      </w:r>
      <w:r w:rsidR="00BE5601" w:rsidRPr="00AA159A">
        <w:t>s should</w:t>
      </w:r>
      <w:r w:rsidR="006A1A0F" w:rsidRPr="005774CA">
        <w:t>, where appropriate,</w:t>
      </w:r>
      <w:r w:rsidR="00BE5601" w:rsidRPr="00AA159A">
        <w:t xml:space="preserve"> be type tested before installation under conditions at least as demanding as their design limits.</w:t>
      </w:r>
    </w:p>
    <w:p w14:paraId="4BAF68F2" w14:textId="77777777" w:rsidR="00BE5601" w:rsidRPr="00CF791A" w:rsidRDefault="00BE5601" w:rsidP="00BE5601">
      <w:pPr>
        <w:pStyle w:val="Paragraph"/>
      </w:pPr>
      <w:r w:rsidRPr="00CF791A">
        <w:t>Type testing is a set of tests applied to equipment to:</w:t>
      </w:r>
    </w:p>
    <w:p w14:paraId="2359E648" w14:textId="77777777" w:rsidR="00BE5601" w:rsidRPr="00AA159A" w:rsidRDefault="00BE5601" w:rsidP="00134698">
      <w:pPr>
        <w:pStyle w:val="NumList2"/>
        <w:numPr>
          <w:ilvl w:val="1"/>
          <w:numId w:val="52"/>
        </w:numPr>
      </w:pPr>
      <w:r w:rsidRPr="00AA159A">
        <w:t>confirm it has no design faults affecting performance, lifespan, or reliability;</w:t>
      </w:r>
    </w:p>
    <w:p w14:paraId="4AE40DE1" w14:textId="77777777" w:rsidR="00BE5601" w:rsidRPr="00AA159A" w:rsidRDefault="00BE5601" w:rsidP="00134698">
      <w:pPr>
        <w:pStyle w:val="NumList2"/>
        <w:numPr>
          <w:ilvl w:val="1"/>
          <w:numId w:val="52"/>
        </w:numPr>
      </w:pPr>
      <w:r w:rsidRPr="00AA159A">
        <w:t>verify the manufacturer's production and quality processes are adequate;</w:t>
      </w:r>
    </w:p>
    <w:p w14:paraId="29F553A5" w14:textId="77777777" w:rsidR="00BE5601" w:rsidRPr="00AA159A" w:rsidRDefault="00BE5601" w:rsidP="00134698">
      <w:pPr>
        <w:pStyle w:val="NumList2"/>
        <w:numPr>
          <w:ilvl w:val="1"/>
          <w:numId w:val="52"/>
        </w:numPr>
      </w:pPr>
      <w:r w:rsidRPr="00AA159A">
        <w:t>ensure stability under conditions like voltage changes, temperature, humidity, and electromagnetic interference; and</w:t>
      </w:r>
    </w:p>
    <w:p w14:paraId="4396B1CA" w14:textId="77777777" w:rsidR="00BE5601" w:rsidRPr="00AA159A" w:rsidRDefault="00BE5601" w:rsidP="00134698">
      <w:pPr>
        <w:pStyle w:val="NumList2"/>
        <w:numPr>
          <w:ilvl w:val="1"/>
          <w:numId w:val="52"/>
        </w:numPr>
      </w:pPr>
      <w:r w:rsidRPr="00AA159A">
        <w:t>evidence that the equipment meets its specification.</w:t>
      </w:r>
    </w:p>
    <w:p w14:paraId="072F6BDA" w14:textId="77777777" w:rsidR="00BE5601" w:rsidRPr="00CF791A" w:rsidRDefault="00BE5601" w:rsidP="00BE5601">
      <w:pPr>
        <w:pStyle w:val="Paragraph"/>
      </w:pPr>
      <w:r w:rsidRPr="00CF791A">
        <w:t>Where components cannot be tested under the most onerous conditions, additional analysis using available test data should justify their performance and reliability.</w:t>
      </w:r>
    </w:p>
    <w:p w14:paraId="41493907" w14:textId="7DBDC634" w:rsidR="00BE5601" w:rsidRPr="00AA159A" w:rsidRDefault="00203833" w:rsidP="009B7D05">
      <w:pPr>
        <w:pStyle w:val="SAPHeading"/>
      </w:pPr>
      <w:r w:rsidRPr="00AA159A">
        <w:t>CMI</w:t>
      </w:r>
      <w:r w:rsidR="00BE5601" w:rsidRPr="00AA159A">
        <w:t>.</w:t>
      </w:r>
      <w:r w:rsidRPr="00AA159A">
        <w:t>4</w:t>
      </w:r>
      <w:r w:rsidR="00BE5601" w:rsidRPr="00AA159A">
        <w:t xml:space="preserve"> – Proof Testing</w:t>
      </w:r>
    </w:p>
    <w:p w14:paraId="311D892D" w14:textId="77777777" w:rsidR="00BE5601" w:rsidRPr="00AA159A" w:rsidRDefault="00BE5601" w:rsidP="006C4609">
      <w:pPr>
        <w:pStyle w:val="SAPBodyText"/>
      </w:pPr>
      <w:r w:rsidRPr="00AA159A">
        <w:t>SSCs should, where appropriate, be subjected to proof testing to verify their integrity and validate their functional performance.</w:t>
      </w:r>
    </w:p>
    <w:p w14:paraId="55244FB3" w14:textId="77777777" w:rsidR="00BE5601" w:rsidRDefault="00BE5601" w:rsidP="00BE5601">
      <w:pPr>
        <w:pStyle w:val="Paragraph"/>
      </w:pPr>
      <w:r w:rsidRPr="00CF791A">
        <w:t>SSCs should, where appropriate, be subjected to proof testing to validate that the as-built SSC will meet its design intent. Proof testing may be conducted during commissioning, following modifications or repairs or periodically throughout the lifecycle as specified by the safety case.</w:t>
      </w:r>
    </w:p>
    <w:p w14:paraId="0F856947" w14:textId="50BF5838" w:rsidR="000A05D9" w:rsidRPr="00CF791A" w:rsidRDefault="000A05D9" w:rsidP="000A05D9">
      <w:pPr>
        <w:pStyle w:val="Paragraph"/>
      </w:pPr>
      <w:r w:rsidRPr="000A05D9">
        <w:t xml:space="preserve">In service proof testing should be carried out in such a way that nuclear safety is not compromised. Proof testing during operation should be done in a manner that does not affect wider operations (for example, that could induce a spurious trip of </w:t>
      </w:r>
      <w:r w:rsidR="0075455C">
        <w:t xml:space="preserve">a </w:t>
      </w:r>
      <w:r w:rsidRPr="000A05D9">
        <w:t xml:space="preserve">reactor) and </w:t>
      </w:r>
      <w:r w:rsidR="0075455C">
        <w:t>ensures that</w:t>
      </w:r>
      <w:r w:rsidRPr="000A05D9">
        <w:t xml:space="preserve"> sufficient </w:t>
      </w:r>
      <w:r w:rsidR="00587501">
        <w:t>protection</w:t>
      </w:r>
      <w:r w:rsidR="0075455C">
        <w:t xml:space="preserve"> </w:t>
      </w:r>
      <w:r w:rsidRPr="000A05D9">
        <w:t>remain</w:t>
      </w:r>
      <w:r w:rsidR="00587501">
        <w:t>s</w:t>
      </w:r>
      <w:r w:rsidRPr="000A05D9">
        <w:t xml:space="preserve"> in service </w:t>
      </w:r>
      <w:r w:rsidR="007A50AA">
        <w:t>(refer to</w:t>
      </w:r>
      <w:r w:rsidRPr="000A05D9">
        <w:t xml:space="preserve"> EDS.1</w:t>
      </w:r>
      <w:r w:rsidR="000F0EAF">
        <w:t>9</w:t>
      </w:r>
      <w:r w:rsidRPr="000A05D9">
        <w:t>)</w:t>
      </w:r>
      <w:r w:rsidR="0055780E">
        <w:t>.</w:t>
      </w:r>
    </w:p>
    <w:p w14:paraId="757BB33D" w14:textId="16702529" w:rsidR="00BE5601" w:rsidRPr="00AA159A" w:rsidRDefault="00203833" w:rsidP="009B7D05">
      <w:pPr>
        <w:pStyle w:val="SAPHeading"/>
      </w:pPr>
      <w:r w:rsidRPr="00AA159A">
        <w:t>CMI</w:t>
      </w:r>
      <w:r w:rsidR="00BE5601" w:rsidRPr="00AA159A">
        <w:t>.</w:t>
      </w:r>
      <w:r w:rsidRPr="00AA159A">
        <w:t>5</w:t>
      </w:r>
      <w:r w:rsidR="00BE5601" w:rsidRPr="00AA159A">
        <w:t xml:space="preserve"> – Commissioning</w:t>
      </w:r>
    </w:p>
    <w:p w14:paraId="2598291E" w14:textId="77777777" w:rsidR="00BE5601" w:rsidRPr="00AA159A" w:rsidRDefault="00BE5601" w:rsidP="006C4609">
      <w:pPr>
        <w:pStyle w:val="SAPBodyText"/>
      </w:pPr>
      <w:r w:rsidRPr="00AA159A">
        <w:t>Commissioning tests should be carried out to verify the safety measures meet the safety and operational requirements placed on them.</w:t>
      </w:r>
    </w:p>
    <w:p w14:paraId="596E2469" w14:textId="77777777" w:rsidR="00BE5601" w:rsidRPr="00CF791A" w:rsidRDefault="00BE5601" w:rsidP="00BE5601">
      <w:pPr>
        <w:pStyle w:val="Paragraph"/>
      </w:pPr>
      <w:r w:rsidRPr="00CF791A">
        <w:t>Commissioning goes beyond proving functionality; it is crucial for verifying the facility meets the safety case design intent, in line with LC21. In addition, it should:</w:t>
      </w:r>
    </w:p>
    <w:p w14:paraId="7177B90B" w14:textId="77777777" w:rsidR="00BE5601" w:rsidRPr="00AA159A" w:rsidRDefault="00BE5601" w:rsidP="00134698">
      <w:pPr>
        <w:pStyle w:val="NumList2"/>
        <w:numPr>
          <w:ilvl w:val="1"/>
          <w:numId w:val="53"/>
        </w:numPr>
      </w:pPr>
      <w:r w:rsidRPr="00AA159A">
        <w:t>collect baseline data for future reference;</w:t>
      </w:r>
    </w:p>
    <w:p w14:paraId="1902C03A" w14:textId="77777777" w:rsidR="00BE5601" w:rsidRPr="00AA159A" w:rsidRDefault="00BE5601" w:rsidP="00134698">
      <w:pPr>
        <w:pStyle w:val="NumList2"/>
        <w:numPr>
          <w:ilvl w:val="1"/>
          <w:numId w:val="53"/>
        </w:numPr>
      </w:pPr>
      <w:r w:rsidRPr="00AA159A">
        <w:t>validate operating instructions under representative conditions; and</w:t>
      </w:r>
    </w:p>
    <w:p w14:paraId="199533D6" w14:textId="77777777" w:rsidR="00BE5601" w:rsidRPr="00AA159A" w:rsidRDefault="00BE5601" w:rsidP="00134698">
      <w:pPr>
        <w:pStyle w:val="NumList2"/>
        <w:numPr>
          <w:ilvl w:val="1"/>
          <w:numId w:val="53"/>
        </w:numPr>
      </w:pPr>
      <w:r w:rsidRPr="00AA159A">
        <w:lastRenderedPageBreak/>
        <w:t>help operators become familiar with the facility or process.</w:t>
      </w:r>
    </w:p>
    <w:p w14:paraId="0BF24627" w14:textId="77777777" w:rsidR="00BE5601" w:rsidRPr="00CF791A" w:rsidRDefault="00BE5601" w:rsidP="00BE5601">
      <w:pPr>
        <w:pStyle w:val="Paragraph"/>
      </w:pPr>
      <w:r w:rsidRPr="00CF791A">
        <w:t xml:space="preserve">Dutyholders should have arrangements to ensure commissioning testing is undertaken to: </w:t>
      </w:r>
    </w:p>
    <w:p w14:paraId="6879FC7D" w14:textId="77777777" w:rsidR="00BE5601" w:rsidRPr="00CF791A" w:rsidRDefault="00BE5601" w:rsidP="00A31B0A">
      <w:pPr>
        <w:pStyle w:val="Bulletlist1"/>
      </w:pPr>
      <w:r w:rsidRPr="00CF791A">
        <w:t>provide part of a comprehensive substantiation and qualification of the safety measures;</w:t>
      </w:r>
    </w:p>
    <w:p w14:paraId="2AD83BB3" w14:textId="77777777" w:rsidR="00BE5601" w:rsidRPr="00CF791A" w:rsidRDefault="00BE5601" w:rsidP="00A31B0A">
      <w:pPr>
        <w:pStyle w:val="Bulletlist1"/>
      </w:pPr>
      <w:r w:rsidRPr="00CF791A">
        <w:t>verify correct design, manufacture, construction, installation, and delivery of safety functions, including calibration of relevant equipment;</w:t>
      </w:r>
    </w:p>
    <w:p w14:paraId="44771845" w14:textId="77777777" w:rsidR="00BE5601" w:rsidRPr="00CF791A" w:rsidRDefault="00BE5601" w:rsidP="00A31B0A">
      <w:pPr>
        <w:pStyle w:val="Bulletlist1"/>
      </w:pPr>
      <w:r w:rsidRPr="00CF791A">
        <w:t>ensure safety measures and accident mitigation equipment are appropriately tested; and</w:t>
      </w:r>
    </w:p>
    <w:p w14:paraId="27EAEB88" w14:textId="77777777" w:rsidR="00BE5601" w:rsidRPr="00CF791A" w:rsidRDefault="00BE5601" w:rsidP="00A31B0A">
      <w:pPr>
        <w:pStyle w:val="Bulletlist1"/>
      </w:pPr>
      <w:r w:rsidRPr="00CF791A">
        <w:t>demonstrate their performance for future operating life, including preventing the introduction of latent defects.</w:t>
      </w:r>
    </w:p>
    <w:p w14:paraId="7A5A796C" w14:textId="7DDF582C" w:rsidR="00BE5601" w:rsidRPr="00CF791A" w:rsidRDefault="00BE5601" w:rsidP="00BE5601">
      <w:pPr>
        <w:pStyle w:val="Paragraph"/>
      </w:pPr>
      <w:r w:rsidRPr="00CF791A">
        <w:t>Commissioning testing should start with individual components and systems before full S</w:t>
      </w:r>
      <w:r w:rsidR="00DC5CB4">
        <w:t>S</w:t>
      </w:r>
      <w:r w:rsidRPr="00CF791A">
        <w:t xml:space="preserve">C integration to demonstrate performance and operation. </w:t>
      </w:r>
      <w:r w:rsidR="00810E98">
        <w:br/>
      </w:r>
      <w:r w:rsidRPr="00CF791A">
        <w:t xml:space="preserve">Commissioning testing should occur in stages, with as much non-radioactive ("inactive") testing as possible done before introducing radioactive materials. </w:t>
      </w:r>
    </w:p>
    <w:p w14:paraId="7BF12D33" w14:textId="77777777" w:rsidR="00BE5601" w:rsidRPr="00CF791A" w:rsidRDefault="00BE5601" w:rsidP="00BE5601">
      <w:pPr>
        <w:pStyle w:val="Paragraph"/>
      </w:pPr>
      <w:r w:rsidRPr="00CF791A">
        <w:t>Results</w:t>
      </w:r>
      <w:r w:rsidRPr="00CF791A" w:rsidDel="00742D3E">
        <w:t xml:space="preserve"> </w:t>
      </w:r>
      <w:r w:rsidRPr="00CF791A">
        <w:t>of commissioning testing, including deviations, should inform or trigger updates to the safety case and any relevant design or operational changes. Commissioning testing should support the development and validation of operating instructions.</w:t>
      </w:r>
    </w:p>
    <w:p w14:paraId="6E5FFF3A" w14:textId="1E18DA60" w:rsidR="00BE5601" w:rsidRDefault="00BE5601" w:rsidP="00BE5601">
      <w:pPr>
        <w:pStyle w:val="Paragraph"/>
      </w:pPr>
      <w:r w:rsidRPr="00CF791A">
        <w:t xml:space="preserve">Prior to active commissioning, operational readiness needs to be </w:t>
      </w:r>
      <w:r w:rsidR="00E04834" w:rsidRPr="00CF791A">
        <w:t>considered,</w:t>
      </w:r>
      <w:r w:rsidRPr="00CF791A">
        <w:t xml:space="preserve"> and all required arrangements should be in place; including operating rules, accident management arrangements, and emergency preparedness. </w:t>
      </w:r>
    </w:p>
    <w:p w14:paraId="0DCDDE25" w14:textId="49CB8B89" w:rsidR="005173D1" w:rsidRPr="00AA159A" w:rsidRDefault="008F2201" w:rsidP="009B7D05">
      <w:pPr>
        <w:pStyle w:val="SAPHeading"/>
      </w:pPr>
      <w:r w:rsidRPr="00AA159A">
        <w:t>CMI.</w:t>
      </w:r>
      <w:r>
        <w:t>6</w:t>
      </w:r>
      <w:r w:rsidRPr="00AA159A">
        <w:t xml:space="preserve"> </w:t>
      </w:r>
      <w:r w:rsidR="005173D1" w:rsidRPr="00AA159A">
        <w:t>– Experimental processes</w:t>
      </w:r>
    </w:p>
    <w:p w14:paraId="2DCFD7F5" w14:textId="7C8745B0" w:rsidR="005173D1" w:rsidRPr="00AA159A" w:rsidRDefault="005173D1" w:rsidP="005173D1">
      <w:pPr>
        <w:pStyle w:val="SAPBodyText"/>
      </w:pPr>
      <w:r w:rsidRPr="00AA159A">
        <w:t>Where an experimental</w:t>
      </w:r>
      <w:r w:rsidR="00593E90">
        <w:t xml:space="preserve"> process</w:t>
      </w:r>
      <w:r w:rsidRPr="00AA159A">
        <w:t xml:space="preserve"> is proposed, the safety case should establish an appropriate degree of confidence in the safety of the process and that it will deliver as intended.</w:t>
      </w:r>
    </w:p>
    <w:p w14:paraId="199C936B" w14:textId="77777777" w:rsidR="005173D1" w:rsidRPr="00CF791A" w:rsidRDefault="005173D1" w:rsidP="005173D1">
      <w:pPr>
        <w:pStyle w:val="Paragraph"/>
      </w:pPr>
      <w:r w:rsidRPr="00CF791A">
        <w:t>Where experiments are used to underpin a new process, these need to be pertinent to the design of the final facility and demonstrate that the underpinning design intent will be maintained over all reasonably foreseeable conditions. The proposals should include the following:</w:t>
      </w:r>
    </w:p>
    <w:p w14:paraId="26D0394D" w14:textId="694BDACC" w:rsidR="005173D1" w:rsidRDefault="005173D1" w:rsidP="005173D1">
      <w:pPr>
        <w:pStyle w:val="NumList2"/>
        <w:numPr>
          <w:ilvl w:val="1"/>
          <w:numId w:val="13"/>
        </w:numPr>
      </w:pPr>
      <w:r w:rsidRPr="00AA159A">
        <w:t xml:space="preserve">the experiment should show sufficient similarity to the intended design for example, kinetic, thermodynamic, dynamic and geometric similarity. </w:t>
      </w:r>
      <w:r w:rsidR="00810E98">
        <w:br/>
      </w:r>
      <w:r w:rsidRPr="00AA159A">
        <w:t>Where this is not possible, then the critical parameters should be modelled in greater detail;</w:t>
      </w:r>
    </w:p>
    <w:p w14:paraId="1D33191D" w14:textId="77777777" w:rsidR="005173D1" w:rsidRPr="00AA159A" w:rsidRDefault="005173D1" w:rsidP="005173D1">
      <w:pPr>
        <w:pStyle w:val="NumList2"/>
        <w:numPr>
          <w:ilvl w:val="1"/>
          <w:numId w:val="13"/>
        </w:numPr>
      </w:pPr>
      <w:r>
        <w:t xml:space="preserve">any </w:t>
      </w:r>
      <w:r w:rsidRPr="0092362B">
        <w:t xml:space="preserve">experimental devices </w:t>
      </w:r>
      <w:r>
        <w:t>should</w:t>
      </w:r>
      <w:r w:rsidRPr="0092362B">
        <w:t xml:space="preserve"> be designed so that they will not adversely affect safety</w:t>
      </w:r>
      <w:r>
        <w:t>;</w:t>
      </w:r>
    </w:p>
    <w:p w14:paraId="4C5734B7" w14:textId="77777777" w:rsidR="005173D1" w:rsidRPr="00AA159A" w:rsidRDefault="005173D1" w:rsidP="005173D1">
      <w:pPr>
        <w:pStyle w:val="NumList2"/>
        <w:numPr>
          <w:ilvl w:val="1"/>
          <w:numId w:val="13"/>
        </w:numPr>
      </w:pPr>
      <w:r w:rsidRPr="00AA159A">
        <w:lastRenderedPageBreak/>
        <w:t>the experiments should simulate all reasonably foreseeable transients with an appropriate degree of realism;</w:t>
      </w:r>
    </w:p>
    <w:p w14:paraId="488E3FC0" w14:textId="77777777" w:rsidR="005173D1" w:rsidRPr="00AA159A" w:rsidRDefault="005173D1" w:rsidP="005173D1">
      <w:pPr>
        <w:pStyle w:val="NumList2"/>
        <w:numPr>
          <w:ilvl w:val="1"/>
          <w:numId w:val="13"/>
        </w:numPr>
      </w:pPr>
      <w:r w:rsidRPr="00AA159A">
        <w:t>where it is not possible to conduct full scale active experiments then an acceptable demonstration may involve full scale inactive work and/or small-scale active work;</w:t>
      </w:r>
    </w:p>
    <w:p w14:paraId="1430787A" w14:textId="77777777" w:rsidR="005173D1" w:rsidRDefault="005173D1" w:rsidP="005173D1">
      <w:pPr>
        <w:pStyle w:val="NumList2"/>
        <w:numPr>
          <w:ilvl w:val="1"/>
          <w:numId w:val="13"/>
        </w:numPr>
      </w:pPr>
      <w:r w:rsidRPr="00AA159A">
        <w:t>the experiments should provide an input into the definition of the parameters needed to ensure safe and effective operation;</w:t>
      </w:r>
      <w:r>
        <w:t xml:space="preserve"> </w:t>
      </w:r>
    </w:p>
    <w:p w14:paraId="228A9DFD" w14:textId="77777777" w:rsidR="005173D1" w:rsidRDefault="005173D1" w:rsidP="005173D1">
      <w:pPr>
        <w:pStyle w:val="NumList2"/>
        <w:numPr>
          <w:ilvl w:val="1"/>
          <w:numId w:val="13"/>
        </w:numPr>
      </w:pPr>
      <w:r w:rsidRPr="00AA159A">
        <w:t>the experiment should simulate possible faults (malfunctions); and</w:t>
      </w:r>
      <w:r>
        <w:t xml:space="preserve"> </w:t>
      </w:r>
    </w:p>
    <w:p w14:paraId="3ADBB932" w14:textId="77777777" w:rsidR="005173D1" w:rsidRPr="00AA159A" w:rsidRDefault="005173D1" w:rsidP="005173D1">
      <w:pPr>
        <w:pStyle w:val="NumList2"/>
        <w:numPr>
          <w:ilvl w:val="1"/>
          <w:numId w:val="13"/>
        </w:numPr>
      </w:pPr>
      <w:r w:rsidRPr="00AA159A">
        <w:t>where experiments show process uncertainties such as instability, the design should make allowance for these, or an alternative design should be selected.</w:t>
      </w:r>
    </w:p>
    <w:p w14:paraId="1A5C752E" w14:textId="57A83E33" w:rsidR="005173D1" w:rsidRPr="00CF791A" w:rsidRDefault="005173D1" w:rsidP="005173D1">
      <w:pPr>
        <w:pStyle w:val="Paragraph"/>
      </w:pPr>
      <w:r w:rsidRPr="00CF791A">
        <w:t xml:space="preserve">Experiments on production facilities should be closely controlled </w:t>
      </w:r>
      <w:r w:rsidR="007A50AA">
        <w:t>(refer to</w:t>
      </w:r>
      <w:r w:rsidRPr="00CF791A">
        <w:t xml:space="preserve"> LC22). Where these are carried out, there should be no production pressures, and the facility should be suitably instrumented to ensure safety </w:t>
      </w:r>
      <w:r w:rsidR="008F1E10">
        <w:t>is</w:t>
      </w:r>
      <w:r w:rsidRPr="00CF791A">
        <w:t xml:space="preserve"> appropriately monitored. All the facility’s existing safety measures should continue to deliver their safety functions under the experimental conditions and the need for additional safety measures should be explicitly considered.</w:t>
      </w:r>
    </w:p>
    <w:p w14:paraId="73CF3E17" w14:textId="770243C2" w:rsidR="00BE5601" w:rsidRPr="00AA159A" w:rsidRDefault="00BE5601" w:rsidP="009B7D05">
      <w:pPr>
        <w:pStyle w:val="Heading2"/>
      </w:pPr>
      <w:r w:rsidRPr="00AA159A">
        <w:t>Examination</w:t>
      </w:r>
      <w:r w:rsidR="00FC23A0">
        <w:t>,</w:t>
      </w:r>
      <w:r w:rsidRPr="00AA159A">
        <w:t xml:space="preserve"> maintenance</w:t>
      </w:r>
      <w:r w:rsidR="00BE7B7F" w:rsidRPr="00AA159A">
        <w:t>, inspection</w:t>
      </w:r>
      <w:r w:rsidRPr="00AA159A">
        <w:t xml:space="preserve"> and testing</w:t>
      </w:r>
    </w:p>
    <w:p w14:paraId="708DF974" w14:textId="77777777" w:rsidR="00BE5601" w:rsidRPr="00AA159A" w:rsidRDefault="00BE5601" w:rsidP="009B7D05">
      <w:pPr>
        <w:pStyle w:val="SAPHeading"/>
        <w:rPr>
          <w:lang w:bidi="ar-SA"/>
        </w:rPr>
      </w:pPr>
      <w:r w:rsidRPr="00AA159A">
        <w:rPr>
          <w:lang w:bidi="ar-SA"/>
        </w:rPr>
        <w:t>EMT.1 – Identification of requirements</w:t>
      </w:r>
    </w:p>
    <w:p w14:paraId="11A7D626" w14:textId="77777777" w:rsidR="00BE5601" w:rsidRPr="00AA159A" w:rsidRDefault="00BE5601" w:rsidP="006C4609">
      <w:pPr>
        <w:pStyle w:val="SAPBodyText"/>
      </w:pPr>
      <w:r w:rsidRPr="00AA159A">
        <w:t>The safety case should identify safety requirements for testing, inspection and maintenance procedures and frequencies.</w:t>
      </w:r>
    </w:p>
    <w:p w14:paraId="6ECF1EC8" w14:textId="48670D14" w:rsidR="00BE5601" w:rsidRPr="00CF791A" w:rsidRDefault="00BE5601" w:rsidP="00BE5601">
      <w:pPr>
        <w:pStyle w:val="Paragraph"/>
      </w:pPr>
      <w:r w:rsidRPr="00CF791A">
        <w:t xml:space="preserve">Testing, inspection, and maintenance should follow procedures and apply codes and standards appropriate to the class of the </w:t>
      </w:r>
      <w:r w:rsidR="00FD4DC2">
        <w:t xml:space="preserve">SSC </w:t>
      </w:r>
      <w:r w:rsidR="007A50AA">
        <w:t>(refer to</w:t>
      </w:r>
      <w:r w:rsidRPr="00CF791A">
        <w:t xml:space="preserve"> ECS.</w:t>
      </w:r>
      <w:r w:rsidR="00E017C4" w:rsidRPr="00CF791A">
        <w:t>7</w:t>
      </w:r>
      <w:r w:rsidRPr="00CF791A">
        <w:t>)</w:t>
      </w:r>
      <w:r w:rsidR="004823A1" w:rsidRPr="00CF791A">
        <w:t xml:space="preserve"> in line w</w:t>
      </w:r>
      <w:r w:rsidR="00CF5161" w:rsidRPr="00CF791A">
        <w:t>ith the requirements of the safety case</w:t>
      </w:r>
      <w:r w:rsidRPr="00CF791A">
        <w:t>.</w:t>
      </w:r>
    </w:p>
    <w:p w14:paraId="1ADCDA97" w14:textId="13BC618A" w:rsidR="00BE5601" w:rsidRPr="00CF791A" w:rsidRDefault="00BE5601" w:rsidP="00BE5601">
      <w:pPr>
        <w:pStyle w:val="Paragraph"/>
      </w:pPr>
      <w:r w:rsidRPr="00CF791A">
        <w:t xml:space="preserve">Suitable on-site locations should be provided for temporarily storing process materials, plant items, and construction materials </w:t>
      </w:r>
      <w:r w:rsidR="009D6D20">
        <w:t xml:space="preserve">to </w:t>
      </w:r>
      <w:r w:rsidR="00280DC2">
        <w:t>enable EMIT activities and</w:t>
      </w:r>
      <w:r w:rsidRPr="00CF791A">
        <w:t xml:space="preserve"> to assess contamination levels, properties, and ease of decontamination or repair.</w:t>
      </w:r>
    </w:p>
    <w:p w14:paraId="02441F96" w14:textId="7EE9F037" w:rsidR="00BE5601" w:rsidRPr="00CF791A" w:rsidRDefault="00BE5601" w:rsidP="00BE5601">
      <w:pPr>
        <w:pStyle w:val="Paragraph"/>
      </w:pPr>
      <w:r w:rsidRPr="00CF791A">
        <w:t>The frequenc</w:t>
      </w:r>
      <w:r w:rsidR="00CB4A2F" w:rsidRPr="00CF791A">
        <w:t>y</w:t>
      </w:r>
      <w:r w:rsidRPr="00CF791A">
        <w:t xml:space="preserve"> of EMIT activities should be in</w:t>
      </w:r>
      <w:r w:rsidR="00CB4A2F" w:rsidRPr="00CF791A">
        <w:t xml:space="preserve"> </w:t>
      </w:r>
      <w:r w:rsidRPr="00CF791A">
        <w:t>line with design</w:t>
      </w:r>
      <w:r w:rsidR="00CB4A2F" w:rsidRPr="00CF791A">
        <w:t>ers</w:t>
      </w:r>
      <w:r w:rsidR="00DF6EE9">
        <w:t>’</w:t>
      </w:r>
      <w:r w:rsidRPr="00CF791A">
        <w:t xml:space="preserve"> or manufacture</w:t>
      </w:r>
      <w:r w:rsidR="00CB4A2F" w:rsidRPr="00CF791A">
        <w:t>r</w:t>
      </w:r>
      <w:r w:rsidRPr="00CF791A">
        <w:t>s</w:t>
      </w:r>
      <w:r w:rsidR="00DF6EE9">
        <w:t>’</w:t>
      </w:r>
      <w:r w:rsidRPr="00CF791A">
        <w:t xml:space="preserve"> guidance and appropriately specified </w:t>
      </w:r>
      <w:r w:rsidR="00347249" w:rsidRPr="00CF791A">
        <w:t xml:space="preserve">in </w:t>
      </w:r>
      <w:r w:rsidRPr="00CF791A">
        <w:t xml:space="preserve">the safety documentation. </w:t>
      </w:r>
    </w:p>
    <w:p w14:paraId="0A7C6E20" w14:textId="10DC618F" w:rsidR="00BE5601" w:rsidRPr="00AA159A" w:rsidRDefault="00BE5601" w:rsidP="009B7D05">
      <w:pPr>
        <w:pStyle w:val="SAPHeading"/>
        <w:rPr>
          <w:lang w:bidi="ar-SA"/>
        </w:rPr>
      </w:pPr>
      <w:r w:rsidRPr="00AA159A">
        <w:rPr>
          <w:lang w:bidi="ar-SA"/>
        </w:rPr>
        <w:t>EM</w:t>
      </w:r>
      <w:r w:rsidR="00CB7D00">
        <w:rPr>
          <w:lang w:bidi="ar-SA"/>
        </w:rPr>
        <w:t>T</w:t>
      </w:r>
      <w:r w:rsidRPr="00AA159A">
        <w:rPr>
          <w:lang w:bidi="ar-SA"/>
        </w:rPr>
        <w:t>.</w:t>
      </w:r>
      <w:r w:rsidR="00697A4C" w:rsidRPr="00AA159A">
        <w:rPr>
          <w:lang w:bidi="ar-SA"/>
        </w:rPr>
        <w:t>2</w:t>
      </w:r>
      <w:r w:rsidRPr="00AA159A">
        <w:rPr>
          <w:lang w:bidi="ar-SA"/>
        </w:rPr>
        <w:t xml:space="preserve"> – Examination</w:t>
      </w:r>
    </w:p>
    <w:p w14:paraId="629970AE" w14:textId="77777777" w:rsidR="00BE5601" w:rsidRPr="00AA159A" w:rsidRDefault="00BE5601" w:rsidP="006C4609">
      <w:pPr>
        <w:pStyle w:val="SAPBodyText"/>
      </w:pPr>
      <w:r w:rsidRPr="00AA159A">
        <w:t>Where practicable, provision should be made for examination that is capable of demonstrating with suitable reliability that the SSC is fit for purpose and meets the requirements of the safety case.</w:t>
      </w:r>
    </w:p>
    <w:p w14:paraId="11B985F8" w14:textId="77777777" w:rsidR="00480F02" w:rsidRPr="00CF791A" w:rsidRDefault="00480F02" w:rsidP="00AA159A">
      <w:pPr>
        <w:pStyle w:val="Paragraph"/>
      </w:pPr>
      <w:r w:rsidRPr="00CF791A">
        <w:t>Geometry and access arrangements should have regard to the need for examination at all phases of lifecycle from the design stage onwards.</w:t>
      </w:r>
    </w:p>
    <w:p w14:paraId="3384B6BE" w14:textId="77777777" w:rsidR="00BE5601" w:rsidRPr="00CF791A" w:rsidRDefault="00BE5601" w:rsidP="00BE5601">
      <w:pPr>
        <w:pStyle w:val="Paragraph"/>
      </w:pPr>
      <w:r w:rsidRPr="00CF791A">
        <w:lastRenderedPageBreak/>
        <w:t>Personnel, equipment and procedures should be qualified to an extent consistent with the overall safety case.</w:t>
      </w:r>
    </w:p>
    <w:p w14:paraId="05636507" w14:textId="77777777" w:rsidR="00BE5601" w:rsidRPr="00CF791A" w:rsidRDefault="00BE5601" w:rsidP="00BE5601">
      <w:pPr>
        <w:pStyle w:val="Paragraph"/>
      </w:pPr>
      <w:r w:rsidRPr="00CF791A">
        <w:t>Methods of examination of components and structures should be appropriately redundant and diverse, according to the classification of the SSC.</w:t>
      </w:r>
    </w:p>
    <w:p w14:paraId="51277464" w14:textId="47840ED2" w:rsidR="00BE5601" w:rsidRPr="00AA159A" w:rsidRDefault="00BE5601" w:rsidP="009B7D05">
      <w:pPr>
        <w:pStyle w:val="SAPHeading"/>
      </w:pPr>
      <w:r w:rsidRPr="00AA159A">
        <w:t>EMT.</w:t>
      </w:r>
      <w:r w:rsidR="00697A4C" w:rsidRPr="00AA159A">
        <w:t>3</w:t>
      </w:r>
      <w:r w:rsidRPr="00AA159A">
        <w:t xml:space="preserve"> – Inspection Procedures</w:t>
      </w:r>
    </w:p>
    <w:p w14:paraId="71A8F8AA" w14:textId="77777777" w:rsidR="00BE5601" w:rsidRPr="00AA159A" w:rsidRDefault="00BE5601" w:rsidP="006C4609">
      <w:pPr>
        <w:pStyle w:val="SAPBodyText"/>
      </w:pPr>
      <w:r w:rsidRPr="00AA159A">
        <w:t>In-service inspection and test procedures should ensure ongoing quality and reliability.</w:t>
      </w:r>
    </w:p>
    <w:p w14:paraId="7A5897E0" w14:textId="77777777" w:rsidR="00BE5601" w:rsidRPr="00CF791A" w:rsidRDefault="00BE5601" w:rsidP="00BE5601">
      <w:pPr>
        <w:pStyle w:val="Paragraph"/>
      </w:pPr>
      <w:r w:rsidRPr="00CF791A">
        <w:t xml:space="preserve">Inspections should be frequent and thorough enough to detect degradation before safety function is compromised. </w:t>
      </w:r>
    </w:p>
    <w:p w14:paraId="33C771F9" w14:textId="0D9919D3" w:rsidR="00BE5601" w:rsidRPr="00CF791A" w:rsidRDefault="00BE5601" w:rsidP="00BE5601">
      <w:pPr>
        <w:pStyle w:val="Paragraph"/>
      </w:pPr>
      <w:r w:rsidRPr="00CF791A">
        <w:t>Modifications, maintenance, inspection, or testing should not compromise qualification of structures, systems, or components</w:t>
      </w:r>
    </w:p>
    <w:p w14:paraId="056C3234" w14:textId="77777777" w:rsidR="00BE5601" w:rsidRPr="00CF791A" w:rsidRDefault="00BE5601" w:rsidP="00BE5601">
      <w:pPr>
        <w:pStyle w:val="Paragraph"/>
      </w:pPr>
      <w:r w:rsidRPr="00CF791A">
        <w:t>Procedures for maintenance, installation and other invasive works should include the prevention, detection, and removal of foreign material like debris or tools.</w:t>
      </w:r>
    </w:p>
    <w:p w14:paraId="22CEB914" w14:textId="30395A7E" w:rsidR="00BE5601" w:rsidRPr="00AA159A" w:rsidRDefault="00BE5601" w:rsidP="009B7D05">
      <w:pPr>
        <w:pStyle w:val="SAPHeading"/>
      </w:pPr>
      <w:r w:rsidRPr="00AA159A">
        <w:t>EMT.</w:t>
      </w:r>
      <w:r w:rsidR="00697A4C" w:rsidRPr="00AA159A">
        <w:t>4</w:t>
      </w:r>
      <w:r w:rsidRPr="00AA159A">
        <w:t xml:space="preserve"> – Assurance of claimed reliability </w:t>
      </w:r>
    </w:p>
    <w:p w14:paraId="6F9EF2FA" w14:textId="27980758" w:rsidR="00BE5601" w:rsidRPr="00AA159A" w:rsidRDefault="00A131E4" w:rsidP="006C4609">
      <w:pPr>
        <w:pStyle w:val="SAPBodyText"/>
      </w:pPr>
      <w:r w:rsidRPr="00AA159A">
        <w:t>SSC</w:t>
      </w:r>
      <w:r w:rsidR="00BE5601" w:rsidRPr="00AA159A">
        <w:t xml:space="preserve">s (including portable equipment) should be tested, maintained, monitored, and inspected throughout their life, to assure the reliability claimed in the </w:t>
      </w:r>
      <w:r w:rsidRPr="00AA159A">
        <w:t>safety case</w:t>
      </w:r>
      <w:r w:rsidR="00BE5601" w:rsidRPr="00AA159A">
        <w:t>.</w:t>
      </w:r>
    </w:p>
    <w:p w14:paraId="3FDC624C" w14:textId="11C2B84C" w:rsidR="00BE5601" w:rsidRPr="00CF791A" w:rsidRDefault="00BE5601" w:rsidP="00BE5601">
      <w:pPr>
        <w:pStyle w:val="Paragraph"/>
      </w:pPr>
      <w:r w:rsidRPr="00CF791A">
        <w:t xml:space="preserve">Documented programmes of SSC </w:t>
      </w:r>
      <w:r w:rsidR="00CE0383">
        <w:t>EMIT</w:t>
      </w:r>
      <w:r w:rsidRPr="00CF791A">
        <w:t xml:space="preserve"> should ensure that their availability, reliability, and functionality remain in accordance with the design </w:t>
      </w:r>
      <w:r w:rsidR="00A61111">
        <w:t xml:space="preserve">intent </w:t>
      </w:r>
      <w:r w:rsidRPr="00CF791A">
        <w:t>over the lifetime of the plant</w:t>
      </w:r>
    </w:p>
    <w:p w14:paraId="04B3D2A8" w14:textId="6D5CA7FD" w:rsidR="00BE5601" w:rsidRPr="00CF791A" w:rsidRDefault="00BE5601" w:rsidP="00BE5601">
      <w:pPr>
        <w:pStyle w:val="Paragraph"/>
      </w:pPr>
      <w:r w:rsidRPr="00CF791A">
        <w:t>Test equipment used for inspections should demonstrate its ability to detect safety-related failures and be regularly tested to maintain reliability.</w:t>
      </w:r>
    </w:p>
    <w:p w14:paraId="01A530BB" w14:textId="0E5E7B7C" w:rsidR="00BE5601" w:rsidRPr="00AA159A" w:rsidRDefault="00BE5601" w:rsidP="009B7D05">
      <w:pPr>
        <w:pStyle w:val="SAPHeading"/>
      </w:pPr>
      <w:r w:rsidRPr="00AA159A">
        <w:t>EMT.</w:t>
      </w:r>
      <w:r w:rsidR="00697A4C" w:rsidRPr="00AA159A">
        <w:t>5</w:t>
      </w:r>
      <w:r w:rsidRPr="00AA159A">
        <w:t xml:space="preserve"> – Functional testing</w:t>
      </w:r>
    </w:p>
    <w:p w14:paraId="394B242A" w14:textId="77777777" w:rsidR="00BE5601" w:rsidRPr="00AA159A" w:rsidRDefault="00BE5601" w:rsidP="006C4609">
      <w:pPr>
        <w:pStyle w:val="SAPBodyText"/>
      </w:pPr>
      <w:r w:rsidRPr="00AA159A">
        <w:t>In-service functional testing of structures, systems and components should prove the complete system and the safety function of each functional group.</w:t>
      </w:r>
    </w:p>
    <w:p w14:paraId="12B73BE0" w14:textId="59B40695" w:rsidR="00BE5601" w:rsidRPr="00CF791A" w:rsidRDefault="006E1FA7" w:rsidP="00BE5601">
      <w:pPr>
        <w:pStyle w:val="Paragraph"/>
      </w:pPr>
      <w:r w:rsidRPr="00CF791A">
        <w:t>EMIT</w:t>
      </w:r>
      <w:r w:rsidR="00BE5601" w:rsidRPr="00CF791A">
        <w:t xml:space="preserve"> should not compromise the delivery of required safety functions. If safety equipment is taken offline, continued operational safety should be appropriately justified, and risks of faults from these activities should be analysed and managed. </w:t>
      </w:r>
    </w:p>
    <w:p w14:paraId="1A80AC6F" w14:textId="77777777" w:rsidR="00BE5601" w:rsidRPr="00CF791A" w:rsidRDefault="00BE5601" w:rsidP="00BE5601">
      <w:pPr>
        <w:pStyle w:val="Paragraph"/>
      </w:pPr>
      <w:r w:rsidRPr="00CF791A">
        <w:t>Where complete functional testing is claimed not to be reasonably practicable, an equivalent means of functional proving should be adopted.</w:t>
      </w:r>
    </w:p>
    <w:p w14:paraId="5563F0AB" w14:textId="6A6D675B" w:rsidR="00BE5601" w:rsidRPr="00AA159A" w:rsidRDefault="00BE5601" w:rsidP="009B7D05">
      <w:pPr>
        <w:pStyle w:val="SAPHeading"/>
      </w:pPr>
      <w:r w:rsidRPr="00AA159A">
        <w:t>EMT.</w:t>
      </w:r>
      <w:r w:rsidR="00697A4C" w:rsidRPr="00AA159A">
        <w:t>6</w:t>
      </w:r>
      <w:r w:rsidRPr="00AA159A">
        <w:t xml:space="preserve"> – Continuing reliability following events</w:t>
      </w:r>
    </w:p>
    <w:p w14:paraId="7614C1DC" w14:textId="0222F71D" w:rsidR="00BE5601" w:rsidRPr="00AA159A" w:rsidRDefault="002A1212" w:rsidP="006C4609">
      <w:pPr>
        <w:pStyle w:val="SAPBodyText"/>
      </w:pPr>
      <w:r w:rsidRPr="00AA159A">
        <w:t>SSC</w:t>
      </w:r>
      <w:r w:rsidR="00BE5601" w:rsidRPr="00AA159A">
        <w:t>s should be inspected and/or re-validated after any event that might have challenged their continuing reliability.</w:t>
      </w:r>
    </w:p>
    <w:p w14:paraId="155E0AC9" w14:textId="3CE16644" w:rsidR="00BE5601" w:rsidRPr="00AA159A" w:rsidRDefault="00BE5601" w:rsidP="009B7D05">
      <w:pPr>
        <w:pStyle w:val="SAPHeading"/>
        <w:rPr>
          <w:lang w:bidi="ar-SA"/>
        </w:rPr>
      </w:pPr>
      <w:r w:rsidRPr="00AA159A">
        <w:rPr>
          <w:lang w:bidi="ar-SA"/>
        </w:rPr>
        <w:lastRenderedPageBreak/>
        <w:t>EM</w:t>
      </w:r>
      <w:r w:rsidR="00697A4C" w:rsidRPr="00AA159A">
        <w:rPr>
          <w:lang w:bidi="ar-SA"/>
        </w:rPr>
        <w:t>T</w:t>
      </w:r>
      <w:r w:rsidRPr="00AA159A">
        <w:rPr>
          <w:lang w:bidi="ar-SA"/>
        </w:rPr>
        <w:t>.</w:t>
      </w:r>
      <w:r w:rsidR="00697A4C" w:rsidRPr="00AA159A">
        <w:rPr>
          <w:lang w:bidi="ar-SA"/>
        </w:rPr>
        <w:t>7</w:t>
      </w:r>
      <w:r w:rsidRPr="00AA159A">
        <w:rPr>
          <w:lang w:bidi="ar-SA"/>
        </w:rPr>
        <w:t xml:space="preserve"> – Repairs and modifications</w:t>
      </w:r>
    </w:p>
    <w:p w14:paraId="53D09038" w14:textId="77777777" w:rsidR="00BE5601" w:rsidRPr="00AA159A" w:rsidRDefault="00BE5601" w:rsidP="006C4609">
      <w:pPr>
        <w:pStyle w:val="SAPBodyText"/>
      </w:pPr>
      <w:r w:rsidRPr="00AA159A">
        <w:t>Repairs and modifications should be carefully controlled through a formal procedure for change.</w:t>
      </w:r>
    </w:p>
    <w:p w14:paraId="03398DF6" w14:textId="15B4CE76" w:rsidR="00BE5601" w:rsidRPr="00CF791A" w:rsidRDefault="00BE5601" w:rsidP="00BE5601">
      <w:pPr>
        <w:pStyle w:val="Paragraph"/>
      </w:pPr>
      <w:r w:rsidRPr="00CF791A">
        <w:t xml:space="preserve">For physical changes to plant, the principles of design, manufacture and installation should be used. Changes to defined limits of operation, monitoring, examination, testing and maintenance should be dealt with as modifications. </w:t>
      </w:r>
      <w:r w:rsidR="00810E98">
        <w:br/>
      </w:r>
      <w:r w:rsidRPr="00CF791A">
        <w:t>Incidental consequences of a change should be considered for their overall significance, not just the direct consequences of the change.</w:t>
      </w:r>
    </w:p>
    <w:p w14:paraId="5207D322" w14:textId="2EDE6BAD" w:rsidR="00BE5601" w:rsidRPr="00AA159A" w:rsidRDefault="00BE5601" w:rsidP="009B7D05">
      <w:pPr>
        <w:pStyle w:val="SAPHeading"/>
        <w:rPr>
          <w:lang w:bidi="ar-SA"/>
        </w:rPr>
      </w:pPr>
      <w:r w:rsidRPr="00AA159A">
        <w:rPr>
          <w:lang w:bidi="ar-SA"/>
        </w:rPr>
        <w:t>EM</w:t>
      </w:r>
      <w:r w:rsidR="00697A4C" w:rsidRPr="00AA159A">
        <w:rPr>
          <w:lang w:bidi="ar-SA"/>
        </w:rPr>
        <w:t>T</w:t>
      </w:r>
      <w:r w:rsidRPr="00AA159A">
        <w:rPr>
          <w:lang w:bidi="ar-SA"/>
        </w:rPr>
        <w:t>.</w:t>
      </w:r>
      <w:r w:rsidR="00697A4C" w:rsidRPr="00AA159A">
        <w:rPr>
          <w:lang w:bidi="ar-SA"/>
        </w:rPr>
        <w:t>8</w:t>
      </w:r>
      <w:r w:rsidRPr="00AA159A">
        <w:rPr>
          <w:lang w:bidi="ar-SA"/>
        </w:rPr>
        <w:t xml:space="preserve"> – Material compatibility</w:t>
      </w:r>
    </w:p>
    <w:p w14:paraId="113BA51C" w14:textId="77777777" w:rsidR="00BE5601" w:rsidRPr="00AA159A" w:rsidRDefault="00BE5601" w:rsidP="006C4609">
      <w:pPr>
        <w:pStyle w:val="SAPBodyText"/>
      </w:pPr>
      <w:r w:rsidRPr="00AA159A">
        <w:t>Materials compatibility for components should be considered for any operational or maintenance activity.</w:t>
      </w:r>
    </w:p>
    <w:p w14:paraId="3839E0EA" w14:textId="77777777" w:rsidR="00BE5601" w:rsidRPr="00CF791A" w:rsidRDefault="00BE5601" w:rsidP="00BE5601">
      <w:pPr>
        <w:pStyle w:val="Paragraph"/>
      </w:pPr>
      <w:r w:rsidRPr="00CF791A">
        <w:t xml:space="preserve">Any equipment that may contact SSCs should be made from compatible materials, which requires knowledge of the SSC's chemical, physical, and corrosive properties. For example, during maintenance periods, equipment that comes in contact with metallic SSCs should not induce galvanic corrosion. </w:t>
      </w:r>
    </w:p>
    <w:p w14:paraId="1F763E43" w14:textId="77777777" w:rsidR="00BE5601" w:rsidRPr="00AA159A" w:rsidRDefault="00BE5601" w:rsidP="009B7D05">
      <w:pPr>
        <w:pStyle w:val="Heading2"/>
      </w:pPr>
      <w:r w:rsidRPr="00AA159A">
        <w:t>Ageing and degradation</w:t>
      </w:r>
    </w:p>
    <w:p w14:paraId="163F4E3C" w14:textId="25D59761" w:rsidR="00BE5601" w:rsidRPr="00AA159A" w:rsidRDefault="00BE5601" w:rsidP="009B7D05">
      <w:pPr>
        <w:pStyle w:val="SAPHeading"/>
      </w:pPr>
      <w:r w:rsidRPr="00AA159A">
        <w:t>EAD.</w:t>
      </w:r>
      <w:r w:rsidR="00697A4C" w:rsidRPr="00AA159A">
        <w:t>1</w:t>
      </w:r>
      <w:r w:rsidRPr="00AA159A">
        <w:t xml:space="preserve"> – Safe working life and lifetime margins</w:t>
      </w:r>
    </w:p>
    <w:p w14:paraId="15A908A0" w14:textId="6912EF14" w:rsidR="00BE5601" w:rsidRPr="00AA159A" w:rsidRDefault="00BE5601" w:rsidP="006C4609">
      <w:pPr>
        <w:pStyle w:val="SAPBodyText"/>
      </w:pPr>
      <w:r w:rsidRPr="00AA159A">
        <w:t>The safe work</w:t>
      </w:r>
      <w:r w:rsidR="00177A19">
        <w:t>ing</w:t>
      </w:r>
      <w:r w:rsidRPr="00AA159A">
        <w:t xml:space="preserve"> life of SSCs should be evaluated at the design stage and adequate margins should exist throughout the life of a facility to allow for the effects of ageing and degradation processes on SSCs.</w:t>
      </w:r>
    </w:p>
    <w:p w14:paraId="10BC97C7" w14:textId="16A59018" w:rsidR="00BE5601" w:rsidRPr="00CF791A" w:rsidRDefault="00BE5601" w:rsidP="00BE5601">
      <w:pPr>
        <w:pStyle w:val="Paragraph"/>
      </w:pPr>
      <w:r w:rsidRPr="00CF791A">
        <w:t xml:space="preserve">The safe working life of </w:t>
      </w:r>
      <w:r w:rsidR="00C23CB1">
        <w:t>SSCs</w:t>
      </w:r>
      <w:r w:rsidRPr="00CF791A">
        <w:t xml:space="preserve"> that are important to safety should be evaluated and defined at the design stage and maintained through life.</w:t>
      </w:r>
    </w:p>
    <w:p w14:paraId="5238B39E" w14:textId="06325CD7" w:rsidR="00BE5601" w:rsidRPr="00CF791A" w:rsidRDefault="00BE5601" w:rsidP="00805886">
      <w:pPr>
        <w:pStyle w:val="Paragraph"/>
      </w:pPr>
      <w:r w:rsidRPr="00CF791A">
        <w:t>The effects of, and interactions between the mechanical, thermal, chemical, physical, biological and radiation environment on materials properties, material ageing and degradation processes should be considered.</w:t>
      </w:r>
      <w:r w:rsidR="00805886" w:rsidRPr="00805886">
        <w:t xml:space="preserve"> </w:t>
      </w:r>
      <w:r w:rsidR="00805886">
        <w:t>Where appropriate, t</w:t>
      </w:r>
      <w:r w:rsidR="00805886" w:rsidRPr="00CF791A">
        <w:t xml:space="preserve">he testing of materials aged under representative conditions </w:t>
      </w:r>
      <w:r w:rsidR="00805886">
        <w:t xml:space="preserve">should be undertaken </w:t>
      </w:r>
      <w:r w:rsidR="00805886" w:rsidRPr="00CF791A">
        <w:t xml:space="preserve">and </w:t>
      </w:r>
      <w:r w:rsidR="00805886">
        <w:t xml:space="preserve">the </w:t>
      </w:r>
      <w:r w:rsidR="00805886" w:rsidRPr="00CF791A">
        <w:t>results review</w:t>
      </w:r>
      <w:r w:rsidR="00805886">
        <w:t>ed</w:t>
      </w:r>
      <w:r w:rsidR="00805886" w:rsidRPr="00CF791A">
        <w:t xml:space="preserve"> against safety case expectations</w:t>
      </w:r>
      <w:r w:rsidR="00805886">
        <w:t>.</w:t>
      </w:r>
    </w:p>
    <w:p w14:paraId="644F8D7C" w14:textId="0E1D1B50" w:rsidR="00BE5601" w:rsidRPr="00AA159A" w:rsidRDefault="00BE5601" w:rsidP="009B7D05">
      <w:pPr>
        <w:pStyle w:val="SAPHeading"/>
        <w:rPr>
          <w:lang w:bidi="ar-SA"/>
        </w:rPr>
      </w:pPr>
      <w:r w:rsidRPr="00AA159A">
        <w:rPr>
          <w:lang w:bidi="ar-SA"/>
        </w:rPr>
        <w:t>EAD.</w:t>
      </w:r>
      <w:r w:rsidR="00697A4C" w:rsidRPr="00AA159A">
        <w:rPr>
          <w:lang w:bidi="ar-SA"/>
        </w:rPr>
        <w:t>2</w:t>
      </w:r>
      <w:r w:rsidRPr="00AA159A">
        <w:rPr>
          <w:lang w:bidi="ar-SA"/>
        </w:rPr>
        <w:t xml:space="preserve"> – Periodic measurement </w:t>
      </w:r>
    </w:p>
    <w:p w14:paraId="5AF3CD20" w14:textId="77777777" w:rsidR="00BE5601" w:rsidRPr="00AA159A" w:rsidRDefault="00BE5601" w:rsidP="006C4609">
      <w:pPr>
        <w:pStyle w:val="SAPBodyText"/>
      </w:pPr>
      <w:r w:rsidRPr="00AA159A">
        <w:t>Where conditions, material properties or assumptions could change with time, that could affect safety, provision should be made for periodic measurement.</w:t>
      </w:r>
    </w:p>
    <w:p w14:paraId="561120DC" w14:textId="552044FF" w:rsidR="00BE5601" w:rsidRPr="00CF791A" w:rsidRDefault="00BE5601" w:rsidP="00BE5601">
      <w:pPr>
        <w:pStyle w:val="Paragraph"/>
      </w:pPr>
      <w:r w:rsidRPr="00CF791A">
        <w:t xml:space="preserve">The applicable ageing and degradation mechanisms of </w:t>
      </w:r>
      <w:r w:rsidR="002C23F3">
        <w:t>SSCs</w:t>
      </w:r>
      <w:r w:rsidRPr="00CF791A">
        <w:t xml:space="preserve"> important to safety should be evaluated and defined at the design stage.</w:t>
      </w:r>
    </w:p>
    <w:p w14:paraId="6A2688C3" w14:textId="79D6BCF9" w:rsidR="00BE5601" w:rsidRPr="00CF791A" w:rsidRDefault="00BE5601" w:rsidP="00BE5601">
      <w:pPr>
        <w:pStyle w:val="Paragraph"/>
      </w:pPr>
      <w:r w:rsidRPr="00CF791A">
        <w:t>Material propert</w:t>
      </w:r>
      <w:r w:rsidR="004B054A">
        <w:t>y</w:t>
      </w:r>
      <w:r w:rsidRPr="00CF791A">
        <w:t xml:space="preserve"> </w:t>
      </w:r>
      <w:r w:rsidR="004B054A">
        <w:t xml:space="preserve">data </w:t>
      </w:r>
      <w:r w:rsidRPr="00CF791A">
        <w:t>should be obtained from representative samples especially when the component or structure performs a principal role in ensuring nuclear safety.</w:t>
      </w:r>
    </w:p>
    <w:p w14:paraId="63598FCF" w14:textId="3E1CA73A" w:rsidR="00BE5601" w:rsidRPr="00CF791A" w:rsidRDefault="00BE5601" w:rsidP="00BE5601">
      <w:pPr>
        <w:pStyle w:val="Paragraph"/>
      </w:pPr>
      <w:r w:rsidRPr="00CF791A">
        <w:lastRenderedPageBreak/>
        <w:t xml:space="preserve">Plant parameters should be recorded for trending purposes and used to inform proactive and reactive </w:t>
      </w:r>
      <w:r w:rsidR="00D31FCF">
        <w:t>EMIT</w:t>
      </w:r>
      <w:r w:rsidRPr="00CF791A">
        <w:t xml:space="preserve"> activities. Data captured during the commissioning phase can provide a baseline for later evaluation of degradation through life.</w:t>
      </w:r>
    </w:p>
    <w:p w14:paraId="7DEED269" w14:textId="25D3A527" w:rsidR="00BE5601" w:rsidRPr="00CF791A" w:rsidRDefault="00BE5601" w:rsidP="00BE5601">
      <w:pPr>
        <w:pStyle w:val="Paragraph"/>
      </w:pPr>
      <w:r w:rsidRPr="00CF791A">
        <w:t xml:space="preserve">The extent and frequency of measurements should be justified at the design phase </w:t>
      </w:r>
      <w:r w:rsidR="006831F1">
        <w:t>and</w:t>
      </w:r>
      <w:r w:rsidRPr="00CF791A">
        <w:t xml:space="preserve"> be commensurate with the safety classification of the SSC.</w:t>
      </w:r>
    </w:p>
    <w:p w14:paraId="4E0AFAA8" w14:textId="0DAD92F3" w:rsidR="00BE5601" w:rsidRPr="00AA159A" w:rsidRDefault="00BE5601" w:rsidP="009B7D05">
      <w:pPr>
        <w:pStyle w:val="SAPHeading"/>
        <w:rPr>
          <w:lang w:bidi="ar-SA"/>
        </w:rPr>
      </w:pPr>
      <w:r w:rsidRPr="00AA159A">
        <w:rPr>
          <w:lang w:bidi="ar-SA"/>
        </w:rPr>
        <w:t>EAD.</w:t>
      </w:r>
      <w:r w:rsidR="00697A4C" w:rsidRPr="00AA159A">
        <w:rPr>
          <w:lang w:bidi="ar-SA"/>
        </w:rPr>
        <w:t>3</w:t>
      </w:r>
      <w:r w:rsidRPr="00AA159A">
        <w:rPr>
          <w:lang w:bidi="ar-SA"/>
        </w:rPr>
        <w:t xml:space="preserve"> – Obsolescence</w:t>
      </w:r>
    </w:p>
    <w:p w14:paraId="163EEA42" w14:textId="43737FA4" w:rsidR="00BE5601" w:rsidRPr="00AA159A" w:rsidRDefault="00BE5601" w:rsidP="006C4609">
      <w:pPr>
        <w:pStyle w:val="SAPBodyText"/>
      </w:pPr>
      <w:r w:rsidRPr="00AA159A">
        <w:t xml:space="preserve">A process for reviewing the obsolescence of </w:t>
      </w:r>
      <w:r w:rsidR="005F6805">
        <w:t xml:space="preserve">SSCs </w:t>
      </w:r>
      <w:r w:rsidRPr="00AA159A">
        <w:t>important to safety should be in place.</w:t>
      </w:r>
    </w:p>
    <w:p w14:paraId="06AD96AF" w14:textId="346D8837" w:rsidR="00BE5601" w:rsidRPr="00CF791A" w:rsidRDefault="00BE5601" w:rsidP="00BE5601">
      <w:pPr>
        <w:pStyle w:val="Paragraph"/>
        <w:rPr>
          <w:szCs w:val="24"/>
          <w:lang w:bidi="ar-SA"/>
        </w:rPr>
      </w:pPr>
      <w:r w:rsidRPr="00CF791A">
        <w:rPr>
          <w:szCs w:val="24"/>
          <w:lang w:bidi="ar-SA"/>
        </w:rPr>
        <w:t xml:space="preserve">On expiry of SSC design lifetime </w:t>
      </w:r>
      <w:r w:rsidR="007A50AA">
        <w:rPr>
          <w:szCs w:val="24"/>
          <w:lang w:bidi="ar-SA"/>
        </w:rPr>
        <w:t>(refer to</w:t>
      </w:r>
      <w:r w:rsidRPr="00CF791A">
        <w:rPr>
          <w:szCs w:val="24"/>
          <w:lang w:bidi="ar-SA"/>
        </w:rPr>
        <w:t xml:space="preserve"> EAD.</w:t>
      </w:r>
      <w:r w:rsidR="00262AE4" w:rsidRPr="00CF791A">
        <w:rPr>
          <w:szCs w:val="24"/>
          <w:lang w:bidi="ar-SA"/>
        </w:rPr>
        <w:t>1</w:t>
      </w:r>
      <w:r w:rsidRPr="00CF791A">
        <w:rPr>
          <w:szCs w:val="24"/>
          <w:lang w:bidi="ar-SA"/>
        </w:rPr>
        <w:t xml:space="preserve">), or earlier in the case of unanticipated failure modes/rates, replacement may be necessary. Regular </w:t>
      </w:r>
      <w:r w:rsidR="00CE0383">
        <w:rPr>
          <w:szCs w:val="24"/>
          <w:lang w:bidi="ar-SA"/>
        </w:rPr>
        <w:t>EMIT</w:t>
      </w:r>
      <w:r w:rsidRPr="00CF791A">
        <w:rPr>
          <w:szCs w:val="24"/>
          <w:lang w:bidi="ar-SA"/>
        </w:rPr>
        <w:t xml:space="preserve"> activities may also require suitable spares. Over the relatively long lifetime of a nuclear facility, obsolescence may make it difficult to obtain replacements or spares, resulting in a need to source suitably qualified alternatives or to re-design. </w:t>
      </w:r>
      <w:r w:rsidR="00810E98">
        <w:rPr>
          <w:szCs w:val="24"/>
          <w:lang w:bidi="ar-SA"/>
        </w:rPr>
        <w:br/>
      </w:r>
      <w:r w:rsidR="00D234A7" w:rsidRPr="00CF791A">
        <w:rPr>
          <w:szCs w:val="24"/>
          <w:lang w:bidi="ar-SA"/>
        </w:rPr>
        <w:t>For example, C&amp;I system lifetimes are generally significantly shorter than the plant lifetime, and arrangements should be in place to ensure that replacement equipment with the necessary attributes can be sourced, installed, and commissioned whilst maintaining adequate safety.</w:t>
      </w:r>
    </w:p>
    <w:p w14:paraId="4C7A6D99" w14:textId="7443D8EE" w:rsidR="00BE5601" w:rsidRPr="00AA159A" w:rsidRDefault="00BE5601" w:rsidP="009B7D05">
      <w:pPr>
        <w:pStyle w:val="SAPHeading"/>
        <w:rPr>
          <w:lang w:bidi="ar-SA"/>
        </w:rPr>
      </w:pPr>
      <w:r w:rsidRPr="00AA159A">
        <w:rPr>
          <w:lang w:bidi="ar-SA"/>
        </w:rPr>
        <w:t>EAD.</w:t>
      </w:r>
      <w:r w:rsidR="00697A4C" w:rsidRPr="00AA159A">
        <w:rPr>
          <w:lang w:bidi="ar-SA"/>
        </w:rPr>
        <w:t>4</w:t>
      </w:r>
      <w:r w:rsidRPr="00AA159A">
        <w:rPr>
          <w:lang w:bidi="ar-SA"/>
        </w:rPr>
        <w:t xml:space="preserve"> – Ageing management programme</w:t>
      </w:r>
    </w:p>
    <w:p w14:paraId="0FCB5F00" w14:textId="77777777" w:rsidR="00BE5601" w:rsidRPr="00AA159A" w:rsidRDefault="00BE5601" w:rsidP="006C4609">
      <w:pPr>
        <w:pStyle w:val="SAPBodyText"/>
      </w:pPr>
      <w:r w:rsidRPr="00AA159A">
        <w:t xml:space="preserve">An ageing management programme should be implemented to ensure that safety functions are delivered throughout the lifetime of a facility. </w:t>
      </w:r>
    </w:p>
    <w:p w14:paraId="2C06D444" w14:textId="7D471974" w:rsidR="00471DD8" w:rsidRDefault="00BE5601" w:rsidP="00BE5601">
      <w:pPr>
        <w:pStyle w:val="Paragraph"/>
        <w:rPr>
          <w:szCs w:val="24"/>
          <w:lang w:bidi="ar-SA"/>
        </w:rPr>
      </w:pPr>
      <w:r w:rsidRPr="00CF791A">
        <w:rPr>
          <w:szCs w:val="24"/>
          <w:lang w:bidi="ar-SA"/>
        </w:rPr>
        <w:t xml:space="preserve">Ageing management programmes should use a systematic approach to managing the effects of ageing that provides a framework for coordinating all activities relating to the understanding, prevention, detection, monitoring and mitigation of ageing effects on the plant’s SSCs. </w:t>
      </w:r>
      <w:r w:rsidR="00D1216D" w:rsidRPr="00D1216D">
        <w:rPr>
          <w:szCs w:val="24"/>
          <w:lang w:bidi="ar-SA"/>
        </w:rPr>
        <w:t>Consideration should be given to the effects of ageing and degradation of SSCs on their ability to fulfil their safety functions over their operating life, and any implications for operating limits and margins</w:t>
      </w:r>
      <w:r w:rsidR="006866B4">
        <w:rPr>
          <w:szCs w:val="24"/>
          <w:lang w:bidi="ar-SA"/>
        </w:rPr>
        <w:t xml:space="preserve"> to cover uncertainties</w:t>
      </w:r>
      <w:r w:rsidR="00D1216D" w:rsidRPr="00D1216D">
        <w:rPr>
          <w:szCs w:val="24"/>
          <w:lang w:bidi="ar-SA"/>
        </w:rPr>
        <w:t>. This may include, if appropriate, changes in material condition such as dimensional change.</w:t>
      </w:r>
    </w:p>
    <w:p w14:paraId="45443DF1" w14:textId="551BF437" w:rsidR="00A109E0" w:rsidRDefault="00A109E0" w:rsidP="00BE5601">
      <w:pPr>
        <w:pStyle w:val="Paragraph"/>
        <w:rPr>
          <w:szCs w:val="24"/>
          <w:lang w:bidi="ar-SA"/>
        </w:rPr>
      </w:pPr>
      <w:r w:rsidRPr="00A109E0">
        <w:rPr>
          <w:szCs w:val="24"/>
          <w:lang w:bidi="ar-SA"/>
        </w:rPr>
        <w:t xml:space="preserve">Inspectors should consider whether suitable provision has been made for monitoring and inspection of relevant SSCs. Particular attention should be given to SSCs for which replacement is difficult or </w:t>
      </w:r>
      <w:r w:rsidR="002F0AC9">
        <w:rPr>
          <w:szCs w:val="24"/>
          <w:lang w:bidi="ar-SA"/>
        </w:rPr>
        <w:t>impossible</w:t>
      </w:r>
      <w:r w:rsidR="00655670" w:rsidRPr="00655670">
        <w:rPr>
          <w:szCs w:val="24"/>
          <w:lang w:bidi="ar-SA"/>
        </w:rPr>
        <w:t>, and whether the extent and frequency of monitoring and inspection are commensurate with their safety significance and the difficulty of replacement</w:t>
      </w:r>
      <w:r w:rsidRPr="00A109E0">
        <w:rPr>
          <w:szCs w:val="24"/>
          <w:lang w:bidi="ar-SA"/>
        </w:rPr>
        <w:t xml:space="preserve">. </w:t>
      </w:r>
      <w:r w:rsidR="00765EF3">
        <w:rPr>
          <w:szCs w:val="24"/>
          <w:lang w:bidi="ar-SA"/>
        </w:rPr>
        <w:t>R</w:t>
      </w:r>
      <w:r w:rsidRPr="00A109E0">
        <w:rPr>
          <w:szCs w:val="24"/>
          <w:lang w:bidi="ar-SA"/>
        </w:rPr>
        <w:t>epresentative specimens or surveillance samples</w:t>
      </w:r>
      <w:r w:rsidR="00873E42">
        <w:rPr>
          <w:szCs w:val="24"/>
          <w:lang w:bidi="ar-SA"/>
        </w:rPr>
        <w:t xml:space="preserve"> may be needed</w:t>
      </w:r>
      <w:r w:rsidRPr="00A109E0">
        <w:rPr>
          <w:szCs w:val="24"/>
          <w:lang w:bidi="ar-SA"/>
        </w:rPr>
        <w:t xml:space="preserve"> to support </w:t>
      </w:r>
      <w:r w:rsidR="004D4ADF">
        <w:rPr>
          <w:szCs w:val="24"/>
          <w:lang w:bidi="ar-SA"/>
        </w:rPr>
        <w:t>the</w:t>
      </w:r>
      <w:r w:rsidRPr="00A109E0">
        <w:rPr>
          <w:szCs w:val="24"/>
          <w:lang w:bidi="ar-SA"/>
        </w:rPr>
        <w:t xml:space="preserve"> validation of material propertie</w:t>
      </w:r>
      <w:r w:rsidR="00E3138E">
        <w:rPr>
          <w:szCs w:val="24"/>
          <w:lang w:bidi="ar-SA"/>
        </w:rPr>
        <w:t>s</w:t>
      </w:r>
      <w:r w:rsidRPr="00A109E0">
        <w:rPr>
          <w:szCs w:val="24"/>
          <w:lang w:bidi="ar-SA"/>
        </w:rPr>
        <w:t>.</w:t>
      </w:r>
    </w:p>
    <w:p w14:paraId="3A19FB46" w14:textId="56DB43CF" w:rsidR="00BE5601" w:rsidRPr="00CF791A" w:rsidRDefault="00BE5601" w:rsidP="00240CD6">
      <w:pPr>
        <w:pStyle w:val="Paragraph"/>
      </w:pPr>
      <w:r w:rsidRPr="00CF791A">
        <w:t>Ageing management should integrate with other relevant programmes</w:t>
      </w:r>
      <w:r w:rsidRPr="00CF791A">
        <w:rPr>
          <w:szCs w:val="24"/>
          <w:lang w:bidi="ar-SA"/>
        </w:rPr>
        <w:t>,</w:t>
      </w:r>
      <w:r w:rsidRPr="00CF791A">
        <w:t xml:space="preserve"> </w:t>
      </w:r>
      <w:r w:rsidRPr="00CF791A">
        <w:rPr>
          <w:szCs w:val="24"/>
          <w:lang w:bidi="ar-SA"/>
        </w:rPr>
        <w:t>t</w:t>
      </w:r>
      <w:r w:rsidRPr="00CF791A">
        <w:t>hese may include: p</w:t>
      </w:r>
      <w:r w:rsidRPr="00CF791A">
        <w:rPr>
          <w:bCs w:val="0"/>
        </w:rPr>
        <w:t>eriodic</w:t>
      </w:r>
      <w:r w:rsidRPr="00CF791A">
        <w:t xml:space="preserve"> review</w:t>
      </w:r>
      <w:r w:rsidRPr="00CF791A">
        <w:rPr>
          <w:szCs w:val="24"/>
          <w:lang w:bidi="ar-SA"/>
        </w:rPr>
        <w:t>,</w:t>
      </w:r>
      <w:r w:rsidRPr="00CF791A">
        <w:t xml:space="preserve"> equipment reliability, asset management, </w:t>
      </w:r>
      <w:r w:rsidRPr="00CF791A">
        <w:rPr>
          <w:szCs w:val="24"/>
          <w:lang w:bidi="ar-SA"/>
        </w:rPr>
        <w:t xml:space="preserve">risk management, and so on. </w:t>
      </w:r>
    </w:p>
    <w:p w14:paraId="0CF1D977" w14:textId="77777777" w:rsidR="00BE5601" w:rsidRPr="00CF791A" w:rsidRDefault="00BE5601">
      <w:pPr>
        <w:spacing w:after="0" w:line="240" w:lineRule="auto"/>
        <w:rPr>
          <w:color w:val="22413A"/>
          <w:sz w:val="48"/>
        </w:rPr>
      </w:pPr>
      <w:r w:rsidRPr="00CF791A">
        <w:br w:type="page"/>
      </w:r>
    </w:p>
    <w:p w14:paraId="0625070A" w14:textId="11D4EBED" w:rsidR="00E243D0" w:rsidRPr="00AA159A" w:rsidRDefault="00E243D0" w:rsidP="005364DE">
      <w:pPr>
        <w:pStyle w:val="Heading1"/>
      </w:pPr>
      <w:bookmarkStart w:id="157" w:name="_Toc235711328"/>
      <w:r w:rsidRPr="00AA159A">
        <w:lastRenderedPageBreak/>
        <w:t>Radiological protection</w:t>
      </w:r>
      <w:bookmarkEnd w:id="155"/>
      <w:bookmarkEnd w:id="156"/>
      <w:bookmarkEnd w:id="157"/>
    </w:p>
    <w:p w14:paraId="558BB8DD" w14:textId="690F788D" w:rsidR="00E243D0" w:rsidRPr="00CF791A" w:rsidRDefault="00E243D0" w:rsidP="00E243D0">
      <w:pPr>
        <w:pStyle w:val="Paragraph"/>
      </w:pPr>
      <w:r w:rsidRPr="00CF791A">
        <w:t xml:space="preserve">Radiological Protection of workers and the public are primarily implemented in </w:t>
      </w:r>
      <w:r w:rsidR="00F26115" w:rsidRPr="00CF791A">
        <w:t>GB</w:t>
      </w:r>
      <w:r w:rsidRPr="00CF791A">
        <w:t xml:space="preserve"> by IRR17 and the Radiation (Emergency Preparedness and Public Information) Regulations 2019 (REPPIR). These are made under the HSW Act and are consistent with international guidance</w:t>
      </w:r>
      <w:r w:rsidR="00255C4B" w:rsidRPr="00CF791A">
        <w:t xml:space="preserve"> </w:t>
      </w:r>
      <w:sdt>
        <w:sdtPr>
          <w:id w:val="-1065180748"/>
          <w:citation/>
        </w:sdtPr>
        <w:sdtEndPr/>
        <w:sdtContent>
          <w:r w:rsidR="00810E98">
            <w:fldChar w:fldCharType="begin"/>
          </w:r>
          <w:r w:rsidR="00810E98">
            <w:instrText xml:space="preserve"> CITATION IAE61 \l 2057 </w:instrText>
          </w:r>
          <w:r w:rsidR="00810E98">
            <w:fldChar w:fldCharType="separate"/>
          </w:r>
          <w:r w:rsidR="00875BCE" w:rsidRPr="00875BCE">
            <w:rPr>
              <w:noProof/>
            </w:rPr>
            <w:t>[3]</w:t>
          </w:r>
          <w:r w:rsidR="00810E98">
            <w:fldChar w:fldCharType="end"/>
          </w:r>
        </w:sdtContent>
      </w:sdt>
      <w:r w:rsidRPr="00CF791A">
        <w:t>.</w:t>
      </w:r>
    </w:p>
    <w:p w14:paraId="6C3FD2E5" w14:textId="735DD35C" w:rsidR="00E243D0" w:rsidRPr="00CF791A" w:rsidRDefault="00E243D0" w:rsidP="00E243D0">
      <w:pPr>
        <w:pStyle w:val="Paragraph"/>
      </w:pPr>
      <w:r w:rsidRPr="00CF791A">
        <w:t xml:space="preserve">The main aim of these Regulations, and the supporting </w:t>
      </w:r>
      <w:r w:rsidR="009C05D3" w:rsidRPr="00CF791A">
        <w:t xml:space="preserve">approved code </w:t>
      </w:r>
      <w:r w:rsidRPr="00CF791A">
        <w:t xml:space="preserve">of </w:t>
      </w:r>
      <w:r w:rsidR="009C05D3" w:rsidRPr="00CF791A">
        <w:t xml:space="preserve">practices </w:t>
      </w:r>
      <w:r w:rsidRPr="00CF791A">
        <w:t xml:space="preserve">(ACoP) </w:t>
      </w:r>
      <w:sdt>
        <w:sdtPr>
          <w:id w:val="552271502"/>
          <w:citation/>
        </w:sdtPr>
        <w:sdtEndPr/>
        <w:sdtContent>
          <w:r w:rsidR="00282D9F">
            <w:fldChar w:fldCharType="begin"/>
          </w:r>
          <w:r w:rsidR="00282D9F">
            <w:instrText xml:space="preserve"> CITATION HSE181 \l 2057 </w:instrText>
          </w:r>
          <w:r w:rsidR="00C46226">
            <w:instrText xml:space="preserve"> \m HSE</w:instrText>
          </w:r>
          <w:r w:rsidR="00282D9F">
            <w:fldChar w:fldCharType="separate"/>
          </w:r>
          <w:r w:rsidR="00875BCE" w:rsidRPr="00875BCE">
            <w:rPr>
              <w:noProof/>
            </w:rPr>
            <w:t>[8, 9]</w:t>
          </w:r>
          <w:r w:rsidR="00282D9F">
            <w:fldChar w:fldCharType="end"/>
          </w:r>
        </w:sdtContent>
      </w:sdt>
      <w:r w:rsidRPr="00CF791A">
        <w:t>, are to establish frameworks for ensuring that all exposures to ionising radiation arising from work activities are restricted SFAIRP, utilising</w:t>
      </w:r>
      <w:r w:rsidRPr="00CF791A" w:rsidDel="0011583C">
        <w:t xml:space="preserve"> </w:t>
      </w:r>
      <w:r w:rsidRPr="00CF791A">
        <w:t xml:space="preserve">the constraints, dose limits and reference levels specified in the </w:t>
      </w:r>
      <w:r w:rsidR="00D26463" w:rsidRPr="00CF791A">
        <w:t>R</w:t>
      </w:r>
      <w:r w:rsidRPr="00CF791A">
        <w:t>egulations.</w:t>
      </w:r>
    </w:p>
    <w:p w14:paraId="678A8882" w14:textId="77777777" w:rsidR="00E243D0" w:rsidRPr="00CF791A" w:rsidRDefault="00E243D0" w:rsidP="00E243D0">
      <w:pPr>
        <w:pStyle w:val="Paragraph"/>
      </w:pPr>
      <w:r w:rsidRPr="00CF791A">
        <w:t xml:space="preserve">Providing adequate protection for members of the public and for workers against exposure to ionising radiation and radioactive contamination is required both in normal operations (including anticipated operational occurrences) and fault conditions. All facilities must be operated, inspected, maintained and decommissioned in compliance with regulations relating to the safe use of ionising radiations. </w:t>
      </w:r>
    </w:p>
    <w:p w14:paraId="48A3E407" w14:textId="77777777" w:rsidR="00E243D0" w:rsidRPr="00CF791A" w:rsidRDefault="00E243D0" w:rsidP="00E243D0">
      <w:pPr>
        <w:pStyle w:val="Paragraph"/>
      </w:pPr>
      <w:r w:rsidRPr="00CF791A">
        <w:t>Adequate radiological protection is that level which ensures compliance with the reasonable practicability requirements of all relevant legislation, taking the latest modern standards into account.</w:t>
      </w:r>
    </w:p>
    <w:p w14:paraId="526FC399" w14:textId="77777777" w:rsidR="00E243D0" w:rsidRPr="00CF791A" w:rsidRDefault="00E243D0" w:rsidP="00E243D0">
      <w:pPr>
        <w:pStyle w:val="Paragraph"/>
      </w:pPr>
      <w:r w:rsidRPr="00CF791A">
        <w:t>Radiological protection is based on the principles of justification of practices, modifications and interventions; optimisation of protection and individual dose limitation. Justification of practices is not regulated by ONR and so is not considered herein.</w:t>
      </w:r>
    </w:p>
    <w:p w14:paraId="24AFA35E" w14:textId="67E8A022" w:rsidR="00E243D0" w:rsidRPr="00CF791A" w:rsidRDefault="00E243D0" w:rsidP="00E243D0">
      <w:pPr>
        <w:pStyle w:val="Paragraph"/>
      </w:pPr>
      <w:r w:rsidRPr="00CF791A">
        <w:t xml:space="preserve">The dutyholder should have a strategy to restrict radiation exposure. </w:t>
      </w:r>
      <w:r w:rsidRPr="00CF791A">
        <w:br/>
        <w:t xml:space="preserve">Optimisation of protection and limitation of doses to individuals should be adequately managed. Personnel exposures in normal operation and in fault and accident conditions (planned and emergency exposure situations) should be optimised </w:t>
      </w:r>
      <w:r w:rsidR="00103192" w:rsidRPr="00CF791A">
        <w:t>considering</w:t>
      </w:r>
      <w:r w:rsidRPr="00CF791A">
        <w:t xml:space="preserve"> the:</w:t>
      </w:r>
    </w:p>
    <w:p w14:paraId="011B1E60" w14:textId="77777777" w:rsidR="00E243D0" w:rsidRPr="00CF791A" w:rsidRDefault="00E243D0" w:rsidP="00A31B0A">
      <w:pPr>
        <w:pStyle w:val="Bulletlist1"/>
      </w:pPr>
      <w:r w:rsidRPr="00CF791A">
        <w:t>resources available for protection;</w:t>
      </w:r>
    </w:p>
    <w:p w14:paraId="0868F875" w14:textId="77777777" w:rsidR="00E243D0" w:rsidRPr="00CF791A" w:rsidRDefault="00E243D0" w:rsidP="00A31B0A">
      <w:pPr>
        <w:pStyle w:val="Bulletlist1"/>
      </w:pPr>
      <w:r w:rsidRPr="00CF791A">
        <w:t>distribution of individual and collective exposures among different groups of workers, and between workers and members of the public;</w:t>
      </w:r>
    </w:p>
    <w:p w14:paraId="3E106118" w14:textId="77777777" w:rsidR="00E243D0" w:rsidRPr="00CF791A" w:rsidRDefault="00E243D0" w:rsidP="00A31B0A">
      <w:pPr>
        <w:pStyle w:val="Bulletlist1"/>
      </w:pPr>
      <w:r w:rsidRPr="00CF791A">
        <w:t>probability and magnitude of potential individual and collective exposures; and</w:t>
      </w:r>
    </w:p>
    <w:p w14:paraId="1569AABA" w14:textId="77777777" w:rsidR="00E243D0" w:rsidRPr="00CF791A" w:rsidRDefault="00E243D0" w:rsidP="00A31B0A">
      <w:pPr>
        <w:pStyle w:val="Bulletlist1"/>
      </w:pPr>
      <w:r w:rsidRPr="00CF791A">
        <w:t>potential impact of protection actions on other (non-radiological) risks to workers or members of the public.</w:t>
      </w:r>
    </w:p>
    <w:p w14:paraId="11C76B01" w14:textId="77777777" w:rsidR="00E243D0" w:rsidRPr="00AA159A" w:rsidRDefault="00E243D0" w:rsidP="009B7D05">
      <w:pPr>
        <w:pStyle w:val="SAPHeading"/>
        <w:rPr>
          <w:lang w:bidi="ar-SA"/>
        </w:rPr>
      </w:pPr>
      <w:r w:rsidRPr="00AA159A">
        <w:rPr>
          <w:lang w:bidi="ar-SA"/>
        </w:rPr>
        <w:lastRenderedPageBreak/>
        <w:t>RP.1 – Optimisation and limitation of radiation exposures</w:t>
      </w:r>
    </w:p>
    <w:p w14:paraId="2A60B924" w14:textId="77777777" w:rsidR="00E243D0" w:rsidRPr="00AA159A" w:rsidRDefault="00E243D0" w:rsidP="006C4609">
      <w:pPr>
        <w:pStyle w:val="SAPBodyText"/>
      </w:pPr>
      <w:r w:rsidRPr="00AA159A">
        <w:t>Adequate protection against exposure to ionising radiation and radioactive substances should be provided in those parts of the facility to which access is permitted during normal operation and needed during faults to ensure occupational and public radiation exposures are restricted SFAIRP. This should include measures for prevention or mitigation of accident consequences.</w:t>
      </w:r>
    </w:p>
    <w:p w14:paraId="5BAB6142" w14:textId="77777777" w:rsidR="00E243D0" w:rsidRPr="00AA159A" w:rsidRDefault="00E243D0" w:rsidP="009B7D05">
      <w:pPr>
        <w:pStyle w:val="SAPHeading"/>
      </w:pPr>
      <w:r w:rsidRPr="00AA159A">
        <w:t>RP.2 – Risk and dose assessment</w:t>
      </w:r>
    </w:p>
    <w:p w14:paraId="58BF103E" w14:textId="77777777" w:rsidR="00E243D0" w:rsidRPr="00AA159A" w:rsidRDefault="00E243D0" w:rsidP="006C4609">
      <w:pPr>
        <w:pStyle w:val="SAPBodyText"/>
      </w:pPr>
      <w:r w:rsidRPr="00AA159A">
        <w:t>Suitable and sufficient assessments of the risks and potential doses should demonstrate the adequate restriction of exposures of both workers and the public to ionising radiations from normal operations and fault conditions.</w:t>
      </w:r>
    </w:p>
    <w:p w14:paraId="34DF109D" w14:textId="77777777" w:rsidR="00E243D0" w:rsidRPr="00AA159A" w:rsidRDefault="00E243D0" w:rsidP="009B7D05">
      <w:pPr>
        <w:pStyle w:val="SAPHeading"/>
      </w:pPr>
      <w:r w:rsidRPr="00AA159A">
        <w:t>RP.3 – Hierarchy of control measures</w:t>
      </w:r>
    </w:p>
    <w:p w14:paraId="6C8D14B3" w14:textId="77777777" w:rsidR="00E243D0" w:rsidRPr="00AA159A" w:rsidRDefault="00E243D0" w:rsidP="006C4609">
      <w:pPr>
        <w:pStyle w:val="SAPBodyText"/>
      </w:pPr>
      <w:r w:rsidRPr="00AA159A">
        <w:rPr>
          <w:color w:val="000000" w:themeColor="text1"/>
        </w:rPr>
        <w:t xml:space="preserve">The dutyholder should establish a hierarchy of control measures to optimise </w:t>
      </w:r>
      <w:r w:rsidRPr="00AA159A">
        <w:t xml:space="preserve">protection that prioritises minimisation of the source of ionising radiation over the most reliable physical controls over human-dependant procedural controls. </w:t>
      </w:r>
    </w:p>
    <w:p w14:paraId="4B8826BE" w14:textId="74A7A09D" w:rsidR="0073086C" w:rsidRPr="00CF791A" w:rsidRDefault="00E243D0" w:rsidP="0073086C">
      <w:pPr>
        <w:pStyle w:val="Paragraph"/>
      </w:pPr>
      <w:r w:rsidRPr="0073086C">
        <w:t xml:space="preserve">In any work with ionising radiation, employers should take action to minimise/ eliminate sources of radiation and control doses received by their employees and other people by engineered means. Only after these have been applied should consideration be given to the use of supporting arrangements and systems of work, and lastly, only where required, employers should use personal protective equipment to further restrict exposure where this is reasonably practicable. </w:t>
      </w:r>
    </w:p>
    <w:p w14:paraId="6811C087" w14:textId="7C82629A" w:rsidR="00E243D0" w:rsidRPr="0073086C" w:rsidRDefault="0059217C" w:rsidP="009B7D05">
      <w:pPr>
        <w:pStyle w:val="Heading2"/>
      </w:pPr>
      <w:r>
        <w:t>Risk Indicators</w:t>
      </w:r>
      <w:r w:rsidR="001E1375" w:rsidRPr="0073086C">
        <w:t xml:space="preserve"> </w:t>
      </w:r>
      <w:r w:rsidR="00E243D0" w:rsidRPr="0073086C">
        <w:t>for normal operation</w:t>
      </w:r>
      <w:r w:rsidR="005E3C71">
        <w:t xml:space="preserve"> </w:t>
      </w:r>
      <w:r w:rsidR="00AB0ECB">
        <w:t>exposures</w:t>
      </w:r>
    </w:p>
    <w:p w14:paraId="0C13F973" w14:textId="5BF23CA1" w:rsidR="00E243D0" w:rsidRPr="00CF791A" w:rsidRDefault="00E243D0" w:rsidP="00E243D0">
      <w:pPr>
        <w:pStyle w:val="Paragraph"/>
      </w:pPr>
      <w:r w:rsidRPr="00CF791A">
        <w:t>People may be exposed to risks from ionising radiation during the normal operation of the facility. The radiation doses may arise from direct radiation, inhalation, injection or ingestion of radioactive material, including for persons off site, through the food chain as a result of discharges and disposals of radioactive waste.</w:t>
      </w:r>
    </w:p>
    <w:p w14:paraId="755574A9" w14:textId="2754B043" w:rsidR="00E243D0" w:rsidRPr="00AA159A" w:rsidRDefault="00070A1E" w:rsidP="009B7D05">
      <w:pPr>
        <w:pStyle w:val="SAPHeading"/>
      </w:pPr>
      <w:r w:rsidRPr="00AA159A">
        <w:t>Risk Indicator 1</w:t>
      </w:r>
      <w:r w:rsidR="00E243D0" w:rsidRPr="00AA159A">
        <w:t xml:space="preserve">: Normal operation – any person on the site </w:t>
      </w:r>
    </w:p>
    <w:p w14:paraId="6A6966F6" w14:textId="56B3FA14" w:rsidR="00E243D0" w:rsidRPr="00AA159A" w:rsidRDefault="00E243D0" w:rsidP="006C4609">
      <w:pPr>
        <w:pStyle w:val="SAPBodyText"/>
      </w:pPr>
      <w:r w:rsidRPr="00AA159A">
        <w:t xml:space="preserve">The </w:t>
      </w:r>
      <w:r w:rsidR="004121DE">
        <w:t>indicator</w:t>
      </w:r>
      <w:r w:rsidR="004121DE" w:rsidRPr="00AA159A">
        <w:t xml:space="preserve"> </w:t>
      </w:r>
      <w:r w:rsidRPr="00AA159A">
        <w:t xml:space="preserve">and a legal limit (LL) </w:t>
      </w:r>
      <w:r w:rsidR="007A6694" w:rsidRPr="00AA159A">
        <w:t>under IRR17</w:t>
      </w:r>
      <w:r w:rsidRPr="00AA159A">
        <w:t xml:space="preserve"> for effective dose in a calendar year for any person on the site from sources of ionising radiation are: </w:t>
      </w:r>
    </w:p>
    <w:p w14:paraId="689FD709" w14:textId="77777777" w:rsidR="00E243D0" w:rsidRPr="00AA159A" w:rsidRDefault="00E243D0" w:rsidP="006C4609">
      <w:pPr>
        <w:pStyle w:val="SAPBodyText"/>
      </w:pPr>
      <w:r w:rsidRPr="00AA159A">
        <w:t xml:space="preserve">Employees working with ionising radiation: </w:t>
      </w:r>
    </w:p>
    <w:p w14:paraId="57097525" w14:textId="19583A3B" w:rsidR="00E243D0" w:rsidRPr="00AA159A" w:rsidRDefault="00840C21" w:rsidP="006C4609">
      <w:pPr>
        <w:pStyle w:val="SAPBodyText"/>
      </w:pPr>
      <w:r>
        <w:t xml:space="preserve">    </w:t>
      </w:r>
      <w:r w:rsidR="00E243D0" w:rsidRPr="00AA159A">
        <w:t xml:space="preserve">BSL (LL): 20 mSv </w:t>
      </w:r>
    </w:p>
    <w:p w14:paraId="20DFF678" w14:textId="2533F193" w:rsidR="00E243D0" w:rsidRPr="00AA159A" w:rsidRDefault="00840C21" w:rsidP="006C4609">
      <w:pPr>
        <w:pStyle w:val="SAPBodyText"/>
      </w:pPr>
      <w:r>
        <w:t xml:space="preserve">    </w:t>
      </w:r>
      <w:r w:rsidR="00070A1E" w:rsidRPr="00AA159A">
        <w:t>RFL</w:t>
      </w:r>
      <w:r w:rsidR="00E243D0" w:rsidRPr="00AA159A">
        <w:t xml:space="preserve">: 1 mSv </w:t>
      </w:r>
    </w:p>
    <w:p w14:paraId="4AFF0DE5" w14:textId="77777777" w:rsidR="00E243D0" w:rsidRPr="00AA159A" w:rsidRDefault="00E243D0" w:rsidP="006C4609">
      <w:pPr>
        <w:pStyle w:val="SAPBodyText"/>
      </w:pPr>
      <w:r w:rsidRPr="00AA159A">
        <w:t xml:space="preserve">Other employees on the site: </w:t>
      </w:r>
    </w:p>
    <w:p w14:paraId="35C4DBCA" w14:textId="38A3F2F3" w:rsidR="00E243D0" w:rsidRPr="00AA159A" w:rsidRDefault="00840C21" w:rsidP="006C4609">
      <w:pPr>
        <w:pStyle w:val="SAPBodyText"/>
      </w:pPr>
      <w:r>
        <w:t xml:space="preserve">    </w:t>
      </w:r>
      <w:r w:rsidR="00E243D0" w:rsidRPr="00AA159A">
        <w:t xml:space="preserve">BSL: 2 mSv </w:t>
      </w:r>
    </w:p>
    <w:p w14:paraId="5C30A6CD" w14:textId="4D81AFF4" w:rsidR="00E243D0" w:rsidRPr="00AA159A" w:rsidRDefault="00840C21" w:rsidP="006C4609">
      <w:pPr>
        <w:pStyle w:val="SAPBodyText"/>
      </w:pPr>
      <w:r>
        <w:t xml:space="preserve">    </w:t>
      </w:r>
      <w:r w:rsidR="00070A1E" w:rsidRPr="00AA159A">
        <w:t>RFL</w:t>
      </w:r>
      <w:r w:rsidR="00E243D0" w:rsidRPr="00AA159A">
        <w:t xml:space="preserve">: 0.5 mSv </w:t>
      </w:r>
    </w:p>
    <w:p w14:paraId="517BFF2E" w14:textId="58B2AD2D" w:rsidR="00E243D0" w:rsidRDefault="00E243D0" w:rsidP="000C5554">
      <w:pPr>
        <w:pStyle w:val="Paragraph"/>
      </w:pPr>
      <w:r w:rsidRPr="00CF791A">
        <w:rPr>
          <w:b/>
          <w:bCs w:val="0"/>
        </w:rPr>
        <w:lastRenderedPageBreak/>
        <w:t>Note</w:t>
      </w:r>
      <w:r w:rsidRPr="00CF791A">
        <w:t xml:space="preserve">: There are other legal limits on doses for specific groups of people, tissues and parts of the body (IRR17). </w:t>
      </w:r>
    </w:p>
    <w:p w14:paraId="2516DF7F" w14:textId="77777777" w:rsidR="004A491C" w:rsidRPr="00AA159A" w:rsidRDefault="004A491C" w:rsidP="009B7D05">
      <w:pPr>
        <w:pStyle w:val="SAPHeading"/>
      </w:pPr>
      <w:r w:rsidRPr="00AA159A">
        <w:t>Risk Indicator 2: Normal operation – any group on the site</w:t>
      </w:r>
    </w:p>
    <w:p w14:paraId="7988C79A" w14:textId="77777777" w:rsidR="004A491C" w:rsidRPr="006C4609" w:rsidRDefault="004A491C" w:rsidP="004A491C">
      <w:pPr>
        <w:pStyle w:val="SAPBodyText"/>
      </w:pPr>
      <w:r w:rsidRPr="006C4609">
        <w:t xml:space="preserve">The measures for average effective dose in a calendar year to a group of employees performing similar tasks within controlled areas working with ionising radiation are: </w:t>
      </w:r>
    </w:p>
    <w:p w14:paraId="0F5E4F31" w14:textId="77777777" w:rsidR="004A491C" w:rsidRPr="006C4609" w:rsidRDefault="004A491C" w:rsidP="004A491C">
      <w:pPr>
        <w:pStyle w:val="SAPBodyText"/>
      </w:pPr>
      <w:r>
        <w:t xml:space="preserve">    </w:t>
      </w:r>
      <w:r w:rsidRPr="006C4609">
        <w:t xml:space="preserve">BSL: 10 mSv </w:t>
      </w:r>
    </w:p>
    <w:p w14:paraId="3010C22D" w14:textId="77777777" w:rsidR="004A491C" w:rsidRPr="006C4609" w:rsidRDefault="004A491C" w:rsidP="004A491C">
      <w:pPr>
        <w:pStyle w:val="SAPBodyText"/>
      </w:pPr>
      <w:r>
        <w:t xml:space="preserve">    </w:t>
      </w:r>
      <w:r w:rsidRPr="006C4609">
        <w:t>RFL: 0.5 mSv</w:t>
      </w:r>
    </w:p>
    <w:p w14:paraId="0DF5F4BE" w14:textId="77777777" w:rsidR="004A491C" w:rsidRPr="00CF791A" w:rsidRDefault="004A491C" w:rsidP="004A491C">
      <w:pPr>
        <w:pStyle w:val="Paragraph"/>
      </w:pPr>
      <w:r w:rsidRPr="00CF791A">
        <w:t>There should be appropriate management controls in place for other people who may be in the facility or on the site, for example trainees under 18 years of age and members of the public visiting the site, to restrict their exposures in accordance with IRR17. Persons under 16 years old should be prevented from working with ionising radiations (International Labour Organisation (ILO) Convention 115 (1960) Article 7.2).</w:t>
      </w:r>
    </w:p>
    <w:p w14:paraId="26222FB2" w14:textId="6C972D50" w:rsidR="00E243D0" w:rsidRPr="00AA159A" w:rsidRDefault="00862087" w:rsidP="009B7D05">
      <w:pPr>
        <w:pStyle w:val="SAPHeading"/>
      </w:pPr>
      <w:r w:rsidRPr="00AA159A">
        <w:t>Risk Indicator 3</w:t>
      </w:r>
      <w:r w:rsidR="00E243D0" w:rsidRPr="00AA159A">
        <w:t>: Normal operation – any person off the site</w:t>
      </w:r>
    </w:p>
    <w:p w14:paraId="088C904A" w14:textId="7AD22FDA" w:rsidR="00E243D0" w:rsidRPr="00AA159A" w:rsidRDefault="00E243D0" w:rsidP="006C4609">
      <w:pPr>
        <w:pStyle w:val="SAPBodyText"/>
      </w:pPr>
      <w:r w:rsidRPr="00AA159A">
        <w:t xml:space="preserve">The </w:t>
      </w:r>
      <w:r w:rsidR="003576B3" w:rsidRPr="00AA159A">
        <w:t>mea</w:t>
      </w:r>
      <w:r w:rsidR="009A5F80" w:rsidRPr="00AA159A">
        <w:t>s</w:t>
      </w:r>
      <w:r w:rsidR="003576B3" w:rsidRPr="00AA159A">
        <w:t xml:space="preserve">ures </w:t>
      </w:r>
      <w:r w:rsidRPr="00AA159A">
        <w:t xml:space="preserve">and a legal limit </w:t>
      </w:r>
      <w:r w:rsidR="003576B3" w:rsidRPr="00AA159A">
        <w:t>under IRR17</w:t>
      </w:r>
      <w:r w:rsidRPr="00AA159A">
        <w:t xml:space="preserve"> for effective dose in a calendar year for any person off the site from sources of ionising radiation originating on the site are: </w:t>
      </w:r>
    </w:p>
    <w:p w14:paraId="13882B72" w14:textId="429EA11C" w:rsidR="00E243D0" w:rsidRPr="00AA159A" w:rsidRDefault="00911D45" w:rsidP="006C4609">
      <w:pPr>
        <w:pStyle w:val="SAPBodyText"/>
      </w:pPr>
      <w:r>
        <w:t xml:space="preserve">    </w:t>
      </w:r>
      <w:r w:rsidR="00E243D0" w:rsidRPr="00AA159A">
        <w:t xml:space="preserve">BSL (LL): 1 mSv </w:t>
      </w:r>
    </w:p>
    <w:p w14:paraId="69F76F9B" w14:textId="0E2AA892" w:rsidR="00E243D0" w:rsidRPr="00AA159A" w:rsidRDefault="00911D45" w:rsidP="006C4609">
      <w:pPr>
        <w:pStyle w:val="SAPBodyText"/>
      </w:pPr>
      <w:r>
        <w:t xml:space="preserve">    </w:t>
      </w:r>
      <w:r w:rsidR="00D6234E" w:rsidRPr="00AA159A">
        <w:t>RFL</w:t>
      </w:r>
      <w:r w:rsidR="00E243D0" w:rsidRPr="00AA159A">
        <w:t xml:space="preserve">: 0.1 mSv </w:t>
      </w:r>
    </w:p>
    <w:p w14:paraId="54817A2E" w14:textId="77777777" w:rsidR="00E243D0" w:rsidRPr="00CF791A" w:rsidRDefault="00E243D0" w:rsidP="000C5554">
      <w:pPr>
        <w:pStyle w:val="Paragraph"/>
      </w:pPr>
      <w:r w:rsidRPr="00CF791A">
        <w:rPr>
          <w:b/>
        </w:rPr>
        <w:t>Note:</w:t>
      </w:r>
      <w:r w:rsidRPr="00CF791A">
        <w:t xml:space="preserve"> There are other legal limits to tissues and parts of the body (IRR17).</w:t>
      </w:r>
    </w:p>
    <w:p w14:paraId="06390DA2" w14:textId="406FC7E4" w:rsidR="00E243D0" w:rsidRPr="00CF791A" w:rsidRDefault="00E243D0" w:rsidP="00E243D0">
      <w:pPr>
        <w:pStyle w:val="Paragraph"/>
      </w:pPr>
      <w:r w:rsidRPr="00CF791A">
        <w:t xml:space="preserve">Where there are multiple sites in close proximity, a dose constraint should be applied to each site to ensure that the overall dose to a person off the site is below the relevant dose limit. The IRR17 guidance advises constraining the dose to members of the public from a single new source to less than 0.3 mSv pa. ONR’s view is that a ‘single source’ should be interpreted as a site under a single dutyholder’s control, in that it is an entity for which </w:t>
      </w:r>
      <w:r w:rsidR="00144798">
        <w:t>radiological</w:t>
      </w:r>
      <w:r w:rsidR="00144798" w:rsidRPr="00CF791A">
        <w:t xml:space="preserve"> </w:t>
      </w:r>
      <w:r w:rsidRPr="00CF791A">
        <w:t xml:space="preserve">protection can be optimised as a whole. </w:t>
      </w:r>
    </w:p>
    <w:p w14:paraId="55CCA7F0" w14:textId="26571679" w:rsidR="00E243D0" w:rsidRPr="00CF791A" w:rsidRDefault="00E243D0" w:rsidP="00E243D0">
      <w:pPr>
        <w:pStyle w:val="Paragraph"/>
      </w:pPr>
      <w:r w:rsidRPr="00CF791A">
        <w:t>ONR leads on ensuring compliance of off-site exposures via the direct shine pathway, whilst the environmental agencies lead on discharges and disposals from civil nuclear sites by means of permits or authorisations granted under the Environmental Permitting Regulations (EPR1</w:t>
      </w:r>
      <w:r w:rsidR="00177BB1" w:rsidRPr="00CF791A">
        <w:t>6</w:t>
      </w:r>
      <w:r w:rsidRPr="00CF791A">
        <w:t>) in England and Wales, or the Environmental Authorisations (Scotland) Regulations 2018 (EA(S)R) in Scotland.</w:t>
      </w:r>
    </w:p>
    <w:p w14:paraId="275382D9" w14:textId="77777777" w:rsidR="00E243D0" w:rsidRPr="00CF791A" w:rsidRDefault="00E243D0" w:rsidP="00E243D0">
      <w:pPr>
        <w:sectPr w:rsidR="00E243D0" w:rsidRPr="00CF791A" w:rsidSect="00E243D0">
          <w:pgSz w:w="11906" w:h="16838" w:code="9"/>
          <w:pgMar w:top="1440" w:right="1440" w:bottom="1440" w:left="1440" w:header="397" w:footer="397" w:gutter="0"/>
          <w:cols w:space="312"/>
          <w:docGrid w:linePitch="360"/>
        </w:sectPr>
      </w:pPr>
    </w:p>
    <w:p w14:paraId="6EECC4A5" w14:textId="518DB5E5" w:rsidR="0077543A" w:rsidRDefault="00E243D0" w:rsidP="005364DE">
      <w:pPr>
        <w:pStyle w:val="Heading1"/>
      </w:pPr>
      <w:bookmarkStart w:id="158" w:name="_Toc235711329"/>
      <w:r w:rsidRPr="00AA159A">
        <w:lastRenderedPageBreak/>
        <w:t>Accident management and emergency preparedness</w:t>
      </w:r>
      <w:bookmarkEnd w:id="158"/>
    </w:p>
    <w:p w14:paraId="199A57D4" w14:textId="71826708" w:rsidR="000F59B6" w:rsidRDefault="00E243D0" w:rsidP="0077543A">
      <w:pPr>
        <w:pStyle w:val="Paragraph"/>
      </w:pPr>
      <w:r w:rsidRPr="00CF791A">
        <w:t xml:space="preserve">The objective of accident management and emergency preparedness is to take reasonably practicable measures to prepare for possible accidents at nuclear </w:t>
      </w:r>
      <w:r w:rsidR="00AF41A0">
        <w:t>sites</w:t>
      </w:r>
      <w:r w:rsidRPr="00CF791A">
        <w:t xml:space="preserve">, and to mitigate their consequences should they occur. Accident management and emergency preparedness </w:t>
      </w:r>
      <w:r w:rsidR="00E24A41" w:rsidRPr="00CF791A">
        <w:t xml:space="preserve">are part of levels </w:t>
      </w:r>
      <w:r w:rsidRPr="00CF791A">
        <w:t xml:space="preserve">4 and 5 of the defence in depth hierarchy </w:t>
      </w:r>
      <w:r w:rsidR="007A50AA">
        <w:t>(refer to</w:t>
      </w:r>
      <w:r w:rsidR="00626EAF">
        <w:t xml:space="preserve"> </w:t>
      </w:r>
      <w:r w:rsidRPr="00CF791A">
        <w:t>KP.</w:t>
      </w:r>
      <w:r w:rsidR="00FB606A">
        <w:t>4</w:t>
      </w:r>
      <w:r w:rsidR="00626EAF">
        <w:t>)</w:t>
      </w:r>
      <w:r w:rsidRPr="00CF791A">
        <w:t xml:space="preserve">. </w:t>
      </w:r>
      <w:r w:rsidR="003402F1">
        <w:t>For facilities</w:t>
      </w:r>
      <w:r w:rsidR="005E6A4B">
        <w:t xml:space="preserve"> with the potential for a severe accident, t</w:t>
      </w:r>
      <w:r w:rsidRPr="00CF791A">
        <w:t xml:space="preserve">he accident management and emergency preparedness arrangements should be designed to </w:t>
      </w:r>
      <w:r w:rsidR="00AF7371">
        <w:t>mitigate these</w:t>
      </w:r>
    </w:p>
    <w:p w14:paraId="47520C93" w14:textId="7AEEED51" w:rsidR="007E32C5" w:rsidRDefault="00E243D0">
      <w:pPr>
        <w:pStyle w:val="Paragraph"/>
      </w:pPr>
      <w:r w:rsidRPr="00CF791A">
        <w:t xml:space="preserve">FP.7 states that arrangements must be made for emergency preparedness and response in the case of nuclear and radiological incidents. </w:t>
      </w:r>
      <w:r w:rsidR="006470B0">
        <w:t>T</w:t>
      </w:r>
      <w:r w:rsidRPr="00CF791A">
        <w:t>hese arrangements are regulated through various LCs, including LC 11, and REPPIR where applicable</w:t>
      </w:r>
      <w:r w:rsidR="00F979A7">
        <w:t xml:space="preserve">. </w:t>
      </w:r>
    </w:p>
    <w:p w14:paraId="1BC322FD" w14:textId="38278674" w:rsidR="00E243D0" w:rsidRPr="00CF791A" w:rsidRDefault="00E243D0" w:rsidP="00967CA2">
      <w:pPr>
        <w:pStyle w:val="Paragraph"/>
      </w:pPr>
      <w:r w:rsidRPr="00CF791A">
        <w:t xml:space="preserve">REPPIR and its supporting guidance </w:t>
      </w:r>
      <w:r w:rsidR="00187D5E" w:rsidRPr="00CF791A">
        <w:t>provides</w:t>
      </w:r>
      <w:r w:rsidRPr="00CF791A">
        <w:t xml:space="preserve"> a framework for the protection of workers and the public through emergency preparedness for radiation emergencies. The regulations place specific duties on both operators and local authorities.</w:t>
      </w:r>
      <w:r w:rsidR="00F979A7">
        <w:t xml:space="preserve"> </w:t>
      </w:r>
      <w:r w:rsidRPr="00CF791A">
        <w:t>Operators of sites to which REPPIR applies are required to carry out a hazard evaluation and consequence assessment (HECA) and provide a consequences report to the local authority that summarises the HECA. The HECA may be informed by site safety cases if they are suitable and sufficient and available for the purpose.</w:t>
      </w:r>
      <w:r w:rsidR="00F01EFB">
        <w:t xml:space="preserve"> </w:t>
      </w:r>
      <w:r w:rsidRPr="00CF791A">
        <w:t xml:space="preserve">The operator's consequences report may recommend a minimum distance for a </w:t>
      </w:r>
      <w:r w:rsidR="00725DE9" w:rsidRPr="00CF791A">
        <w:t xml:space="preserve">detailed emergency planning zone </w:t>
      </w:r>
      <w:r w:rsidRPr="00CF791A">
        <w:t xml:space="preserve">(DEPZ) and/or an </w:t>
      </w:r>
      <w:r w:rsidR="00725DE9" w:rsidRPr="00CF791A">
        <w:t xml:space="preserve">outline planning zone </w:t>
      </w:r>
      <w:r w:rsidRPr="00CF791A">
        <w:t xml:space="preserve">(OPZ), or it may recommend no planning zone at all. Where a planning zone is required the </w:t>
      </w:r>
      <w:r w:rsidR="007025BB" w:rsidRPr="00CF791A">
        <w:t xml:space="preserve">lead </w:t>
      </w:r>
      <w:r w:rsidRPr="00CF791A">
        <w:t xml:space="preserve">local authority </w:t>
      </w:r>
      <w:r w:rsidR="00D21FAA" w:rsidRPr="00CF791A">
        <w:t xml:space="preserve">must </w:t>
      </w:r>
      <w:r w:rsidRPr="00CF791A">
        <w:t xml:space="preserve">develop an off-site emergency plan in conjunction with </w:t>
      </w:r>
      <w:r w:rsidR="00D21FAA" w:rsidRPr="00CF791A">
        <w:t xml:space="preserve">the operator and </w:t>
      </w:r>
      <w:r w:rsidRPr="00CF791A">
        <w:t>all off-site responders</w:t>
      </w:r>
      <w:r w:rsidR="00C423DC" w:rsidRPr="00CF791A">
        <w:t xml:space="preserve">, including </w:t>
      </w:r>
      <w:r w:rsidR="00ED7F4B" w:rsidRPr="00CF791A">
        <w:t>neighbouring</w:t>
      </w:r>
      <w:r w:rsidR="00C423DC" w:rsidRPr="00CF791A">
        <w:t xml:space="preserve"> local authorities where relevant</w:t>
      </w:r>
      <w:r w:rsidRPr="00CF791A">
        <w:t xml:space="preserve">. The off-site emergency plan </w:t>
      </w:r>
      <w:r w:rsidR="00265A2B" w:rsidRPr="00CF791A">
        <w:t xml:space="preserve">must </w:t>
      </w:r>
      <w:r w:rsidRPr="00CF791A">
        <w:t>be tested at regular intervals. The local authority also has responsibility to provide information to the public both before and during emergencies.</w:t>
      </w:r>
    </w:p>
    <w:p w14:paraId="2821FAFC" w14:textId="555EC109" w:rsidR="00E243D0" w:rsidRPr="00CF791A" w:rsidRDefault="00E243D0" w:rsidP="00E243D0">
      <w:pPr>
        <w:pStyle w:val="Paragraph"/>
      </w:pPr>
      <w:r w:rsidRPr="00CF791A">
        <w:t xml:space="preserve">LC11(4) expects </w:t>
      </w:r>
      <w:r w:rsidR="00AB39F7" w:rsidRPr="00CF791A">
        <w:t>operator</w:t>
      </w:r>
      <w:r w:rsidRPr="00CF791A">
        <w:t xml:space="preserve"> consultation with the relevant local authority, hence there could be support to the on-site plan from off-site services such as the ambulance service. In addition, REPPIR places duties on relevant operators of nuclear facilities and on local authorities and wider responders in regard to emergency preparedness. Consultation and co-operation with the relevant local authority in the making of the emergency arrangements is a duty under REPPIR.</w:t>
      </w:r>
    </w:p>
    <w:p w14:paraId="3AA65C6E" w14:textId="55B7168D" w:rsidR="00E243D0" w:rsidRPr="00CF791A" w:rsidRDefault="00E243D0" w:rsidP="00E243D0">
      <w:pPr>
        <w:pStyle w:val="Paragraph"/>
      </w:pPr>
      <w:r w:rsidRPr="00CF791A">
        <w:t xml:space="preserve">The REPPIR </w:t>
      </w:r>
      <w:r w:rsidR="00E75B0D">
        <w:t>ACoP</w:t>
      </w:r>
      <w:r w:rsidR="00E75B0D" w:rsidRPr="00CF791A">
        <w:t xml:space="preserve"> </w:t>
      </w:r>
      <w:r w:rsidRPr="00CF791A">
        <w:t>describes further duties and information that is relevant to both on-site and off-site emergency preparedness</w:t>
      </w:r>
      <w:r w:rsidR="00B9125D" w:rsidRPr="00CF791A">
        <w:rPr>
          <w:bCs w:val="0"/>
        </w:rPr>
        <w:t xml:space="preserve"> </w:t>
      </w:r>
      <w:sdt>
        <w:sdtPr>
          <w:rPr>
            <w:bCs w:val="0"/>
          </w:rPr>
          <w:id w:val="625203642"/>
          <w:citation/>
        </w:sdtPr>
        <w:sdtEndPr/>
        <w:sdtContent>
          <w:r w:rsidR="00E75B0D">
            <w:rPr>
              <w:bCs w:val="0"/>
            </w:rPr>
            <w:fldChar w:fldCharType="begin"/>
          </w:r>
          <w:r w:rsidR="00E75B0D">
            <w:rPr>
              <w:bCs w:val="0"/>
            </w:rPr>
            <w:instrText xml:space="preserve"> CITATION HSE \l 2057 </w:instrText>
          </w:r>
          <w:r w:rsidR="00E75B0D">
            <w:rPr>
              <w:bCs w:val="0"/>
            </w:rPr>
            <w:fldChar w:fldCharType="separate"/>
          </w:r>
          <w:r w:rsidR="00875BCE" w:rsidRPr="00875BCE">
            <w:rPr>
              <w:noProof/>
            </w:rPr>
            <w:t>[9]</w:t>
          </w:r>
          <w:r w:rsidR="00E75B0D">
            <w:rPr>
              <w:bCs w:val="0"/>
            </w:rPr>
            <w:fldChar w:fldCharType="end"/>
          </w:r>
        </w:sdtContent>
      </w:sdt>
      <w:r w:rsidRPr="00CF791A">
        <w:t>. The National Nuclear Emergency Planning and Response Guidance, published by the UK Government, provides further information focusing on off-site emergency arrangements</w:t>
      </w:r>
      <w:r w:rsidR="00B9125D" w:rsidRPr="00CF791A">
        <w:rPr>
          <w:bCs w:val="0"/>
        </w:rPr>
        <w:t xml:space="preserve"> </w:t>
      </w:r>
      <w:sdt>
        <w:sdtPr>
          <w:rPr>
            <w:bCs w:val="0"/>
          </w:rPr>
          <w:id w:val="-1632317656"/>
          <w:citation/>
        </w:sdtPr>
        <w:sdtEndPr/>
        <w:sdtContent>
          <w:r w:rsidR="00356275">
            <w:rPr>
              <w:bCs w:val="0"/>
            </w:rPr>
            <w:fldChar w:fldCharType="begin"/>
          </w:r>
          <w:r w:rsidR="00690128">
            <w:rPr>
              <w:bCs w:val="0"/>
            </w:rPr>
            <w:instrText xml:space="preserve">CITATION Dep151 \l 2057 </w:instrText>
          </w:r>
          <w:r w:rsidR="00356275">
            <w:rPr>
              <w:bCs w:val="0"/>
            </w:rPr>
            <w:fldChar w:fldCharType="separate"/>
          </w:r>
          <w:r w:rsidR="00690128" w:rsidRPr="00690128">
            <w:rPr>
              <w:noProof/>
            </w:rPr>
            <w:t>[8]</w:t>
          </w:r>
          <w:r w:rsidR="00356275">
            <w:rPr>
              <w:bCs w:val="0"/>
            </w:rPr>
            <w:fldChar w:fldCharType="end"/>
          </w:r>
        </w:sdtContent>
      </w:sdt>
      <w:r w:rsidRPr="00CF791A">
        <w:t>.</w:t>
      </w:r>
    </w:p>
    <w:p w14:paraId="10F2986D" w14:textId="77777777" w:rsidR="00E75B0D" w:rsidRDefault="00E75B0D" w:rsidP="009B7D05">
      <w:pPr>
        <w:pStyle w:val="SAPHeading"/>
        <w:sectPr w:rsidR="00E75B0D" w:rsidSect="00E243D0">
          <w:pgSz w:w="11906" w:h="16838" w:code="9"/>
          <w:pgMar w:top="1440" w:right="1440" w:bottom="1440" w:left="1440" w:header="397" w:footer="397" w:gutter="0"/>
          <w:cols w:space="312"/>
          <w:docGrid w:linePitch="360"/>
        </w:sectPr>
      </w:pPr>
    </w:p>
    <w:p w14:paraId="1B34BB5C" w14:textId="77777777" w:rsidR="00E243D0" w:rsidRPr="00AA159A" w:rsidRDefault="00E243D0" w:rsidP="009B7D05">
      <w:pPr>
        <w:pStyle w:val="SAPHeading"/>
      </w:pPr>
      <w:r w:rsidRPr="00AA159A">
        <w:lastRenderedPageBreak/>
        <w:t>AM.1 – Planning and preparedness</w:t>
      </w:r>
    </w:p>
    <w:p w14:paraId="51047244" w14:textId="397151D1" w:rsidR="00E243D0" w:rsidRPr="00AA159A" w:rsidRDefault="00E243D0" w:rsidP="006C4609">
      <w:pPr>
        <w:pStyle w:val="SAPBodyText"/>
      </w:pPr>
      <w:r w:rsidRPr="00AA159A">
        <w:t xml:space="preserve">Strategies and plans should be in place to prepare for and manage accidents at the </w:t>
      </w:r>
      <w:r w:rsidR="00EB1FD1" w:rsidRPr="00AA159A">
        <w:t>install</w:t>
      </w:r>
      <w:r w:rsidR="00374D15" w:rsidRPr="00AA159A">
        <w:t>ation</w:t>
      </w:r>
      <w:r w:rsidR="00EB1FD1" w:rsidRPr="00AA159A">
        <w:t xml:space="preserve"> </w:t>
      </w:r>
      <w:r w:rsidRPr="00AA159A">
        <w:t>and/or site.</w:t>
      </w:r>
    </w:p>
    <w:p w14:paraId="32A07D3C" w14:textId="5908E924" w:rsidR="00E243D0" w:rsidRPr="00CF791A" w:rsidRDefault="00E243D0" w:rsidP="000442F3">
      <w:pPr>
        <w:pStyle w:val="Paragraph"/>
      </w:pPr>
      <w:r w:rsidRPr="00CF791A">
        <w:t>Accident management strategies should be developed to manage the escalation of accidents and to restore control</w:t>
      </w:r>
      <w:r w:rsidR="000442F3" w:rsidRPr="00CF791A">
        <w:t xml:space="preserve"> of the safety functions</w:t>
      </w:r>
      <w:r w:rsidRPr="00CF791A">
        <w:t>. The strategies and plans should identify all the procedural support requirements that will be needed during an accident. The procedures should define all the roles and responsibilities needed for an effective accident response. Effective storage arrangements should be in place to ensure the timely availability of these procedures in accident conditions.</w:t>
      </w:r>
    </w:p>
    <w:p w14:paraId="51F13B2A" w14:textId="77777777" w:rsidR="00E243D0" w:rsidRPr="00CF791A" w:rsidRDefault="00E243D0" w:rsidP="00E243D0">
      <w:pPr>
        <w:pStyle w:val="Paragraph"/>
      </w:pPr>
      <w:r w:rsidRPr="00CF791A">
        <w:t>The procedural support requirements should include emergency operating procedures and accident management guidelines. The accident management guidelines should be based on the facility's accident analysis and be written to facilitate timely and well-informed decision making during accidents. The emergency operating procedures should be written recognising the potential practical difficulties (for example, degraded state, radiation levels, poor lighting, access issues and communication system failures) that could reasonably be encountered by operators working in accident conditions.</w:t>
      </w:r>
    </w:p>
    <w:p w14:paraId="2E77A854" w14:textId="77777777" w:rsidR="00E243D0" w:rsidRPr="00CF791A" w:rsidRDefault="00E243D0" w:rsidP="00E243D0">
      <w:pPr>
        <w:pStyle w:val="Paragraph"/>
      </w:pPr>
      <w:r w:rsidRPr="00CF791A">
        <w:t>The emergency operating procedures and accident management guidelines should be tested during emergency exercises to confirm their accuracy and effectiveness and should also form part of operator training.</w:t>
      </w:r>
    </w:p>
    <w:p w14:paraId="3F8171D6" w14:textId="04D90E61" w:rsidR="00E243D0" w:rsidRPr="00CF791A" w:rsidRDefault="00E243D0" w:rsidP="00E243D0">
      <w:pPr>
        <w:pStyle w:val="Paragraph"/>
      </w:pPr>
      <w:r w:rsidRPr="00CF791A">
        <w:t xml:space="preserve">The strategies should include the provision of suitable and sufficient instrumentation for monitoring the facility and site in accident conditions. The design and location of in-situ instrumentation should be informed by </w:t>
      </w:r>
      <w:r w:rsidR="009847A0">
        <w:t>SAA</w:t>
      </w:r>
      <w:r w:rsidR="004503A8" w:rsidRPr="00CF791A">
        <w:t xml:space="preserve">, if </w:t>
      </w:r>
      <w:r w:rsidR="00BB4BA5" w:rsidRPr="00CF791A">
        <w:t>appropriate</w:t>
      </w:r>
      <w:r w:rsidR="004503A8" w:rsidRPr="00CF791A">
        <w:t xml:space="preserve"> </w:t>
      </w:r>
      <w:r w:rsidR="007A50AA">
        <w:t>(refer to</w:t>
      </w:r>
      <w:r w:rsidR="004503A8" w:rsidRPr="00CF791A">
        <w:t xml:space="preserve"> SAA.</w:t>
      </w:r>
      <w:r w:rsidR="00664BC3" w:rsidRPr="00CF791A">
        <w:t>2</w:t>
      </w:r>
      <w:r w:rsidR="004503A8" w:rsidRPr="00CF791A">
        <w:t>)</w:t>
      </w:r>
      <w:r w:rsidRPr="00CF791A">
        <w:t>. The instrumentation should:</w:t>
      </w:r>
    </w:p>
    <w:p w14:paraId="63F8F7FB" w14:textId="77777777" w:rsidR="00E243D0" w:rsidRPr="00AA159A" w:rsidRDefault="00E243D0" w:rsidP="00134698">
      <w:pPr>
        <w:pStyle w:val="NumList2"/>
        <w:numPr>
          <w:ilvl w:val="1"/>
          <w:numId w:val="54"/>
        </w:numPr>
      </w:pPr>
      <w:r w:rsidRPr="00AA159A">
        <w:t>support implementation of the emergency operating procedures and accident management guidelines;</w:t>
      </w:r>
    </w:p>
    <w:p w14:paraId="614E3ED5" w14:textId="77777777" w:rsidR="00E243D0" w:rsidRPr="00AA159A" w:rsidRDefault="00E243D0" w:rsidP="00134698">
      <w:pPr>
        <w:pStyle w:val="NumList2"/>
        <w:numPr>
          <w:ilvl w:val="1"/>
          <w:numId w:val="54"/>
        </w:numPr>
      </w:pPr>
      <w:r w:rsidRPr="00AA159A">
        <w:t>facilitate decision making;</w:t>
      </w:r>
    </w:p>
    <w:p w14:paraId="11CD6BBD" w14:textId="77777777" w:rsidR="00E243D0" w:rsidRPr="00AA159A" w:rsidRDefault="00E243D0" w:rsidP="00134698">
      <w:pPr>
        <w:pStyle w:val="NumList2"/>
        <w:numPr>
          <w:ilvl w:val="1"/>
          <w:numId w:val="54"/>
        </w:numPr>
      </w:pPr>
      <w:r w:rsidRPr="00AA159A">
        <w:t>indicate the facility/plant status;</w:t>
      </w:r>
    </w:p>
    <w:p w14:paraId="10AAFCE4" w14:textId="77777777" w:rsidR="00E243D0" w:rsidRPr="00AA159A" w:rsidRDefault="00E243D0" w:rsidP="00134698">
      <w:pPr>
        <w:pStyle w:val="NumList2"/>
        <w:numPr>
          <w:ilvl w:val="1"/>
          <w:numId w:val="54"/>
        </w:numPr>
      </w:pPr>
      <w:r w:rsidRPr="00AA159A">
        <w:t>support the estimation of quantities, and the location of released radioactive material; and</w:t>
      </w:r>
    </w:p>
    <w:p w14:paraId="0AB47865" w14:textId="77777777" w:rsidR="00E243D0" w:rsidRPr="00AA159A" w:rsidRDefault="00E243D0" w:rsidP="00134698">
      <w:pPr>
        <w:pStyle w:val="NumList2"/>
        <w:numPr>
          <w:ilvl w:val="1"/>
          <w:numId w:val="54"/>
        </w:numPr>
      </w:pPr>
      <w:r w:rsidRPr="00AA159A">
        <w:t>record important parameters.</w:t>
      </w:r>
    </w:p>
    <w:p w14:paraId="487B6BB2" w14:textId="16095770" w:rsidR="00E243D0" w:rsidRPr="00CF791A" w:rsidRDefault="00E243D0" w:rsidP="00E243D0">
      <w:pPr>
        <w:pStyle w:val="Paragraph"/>
      </w:pPr>
      <w:r w:rsidRPr="00CF791A">
        <w:t xml:space="preserve">The plant, equipment and supplies needed for the accident management strategy should be identified and then tested, maintained and inspected in accordance with their safety significance </w:t>
      </w:r>
      <w:r w:rsidR="007A50AA">
        <w:t>(refer to</w:t>
      </w:r>
      <w:r w:rsidRPr="00CF791A">
        <w:t xml:space="preserve"> EMT.1 and ECS.</w:t>
      </w:r>
      <w:r w:rsidR="00C72A1B" w:rsidRPr="00CF791A">
        <w:t>4</w:t>
      </w:r>
      <w:r w:rsidRPr="00CF791A">
        <w:t xml:space="preserve">). </w:t>
      </w:r>
    </w:p>
    <w:p w14:paraId="41DF5D90" w14:textId="61CB1ADC" w:rsidR="00E243D0" w:rsidRPr="00CF791A" w:rsidRDefault="00E243D0" w:rsidP="00E243D0">
      <w:pPr>
        <w:pStyle w:val="Paragraph"/>
      </w:pPr>
      <w:r w:rsidRPr="00CF791A">
        <w:t xml:space="preserve">The plant and equipment identified for accident management should be of appropriate reliability, allowing for its intended operating conditions. Where such plant or equipment is located within the facility that is subject to the accident </w:t>
      </w:r>
      <w:r w:rsidRPr="00CF791A">
        <w:lastRenderedPageBreak/>
        <w:t xml:space="preserve">conditions, it should be </w:t>
      </w:r>
      <w:r w:rsidR="00D2236C">
        <w:t xml:space="preserve">resilient </w:t>
      </w:r>
      <w:r w:rsidR="00D2236C" w:rsidRPr="00CF791A">
        <w:t>to</w:t>
      </w:r>
      <w:r w:rsidRPr="00CF791A">
        <w:t xml:space="preserve"> those conditions and accessible during those accident conditions. The requirements of all plant and equipment needed for accident management should be informed by accident analysis.</w:t>
      </w:r>
    </w:p>
    <w:p w14:paraId="3115253F" w14:textId="460F6AE9" w:rsidR="00E243D0" w:rsidRPr="00CF791A" w:rsidRDefault="00C75D25" w:rsidP="00E243D0">
      <w:pPr>
        <w:pStyle w:val="Paragraph"/>
      </w:pPr>
      <w:r w:rsidRPr="00CF791A">
        <w:t>P</w:t>
      </w:r>
      <w:r w:rsidR="00E243D0" w:rsidRPr="00CF791A">
        <w:t xml:space="preserve">rovision should be </w:t>
      </w:r>
      <w:r w:rsidR="009C0D87" w:rsidRPr="00CF791A">
        <w:t xml:space="preserve">considered </w:t>
      </w:r>
      <w:r w:rsidR="00E243D0" w:rsidRPr="00CF791A">
        <w:t xml:space="preserve">for off-site logistical and technical support, for example for the delivery of materials and supplies that might be needed when responding to </w:t>
      </w:r>
      <w:r w:rsidR="002D645E" w:rsidRPr="00CF791A">
        <w:t>an</w:t>
      </w:r>
      <w:r w:rsidR="00E243D0" w:rsidRPr="00CF791A">
        <w:t xml:space="preserve"> accident and for strategic (regional or national) stores of plant, equipment and other supplies. Timescales for how long the site might need to be self-sufficient should be identified and justified. These should be used to set detailed requirements for the materials and supplies to be held on, or local to the site. </w:t>
      </w:r>
    </w:p>
    <w:p w14:paraId="1342A3C0" w14:textId="7F6C2000" w:rsidR="00E243D0" w:rsidRPr="00CF791A" w:rsidRDefault="00E243D0" w:rsidP="00E243D0">
      <w:pPr>
        <w:pStyle w:val="Paragraph"/>
      </w:pPr>
      <w:r w:rsidRPr="00CF791A">
        <w:t>The accident management strategy should identify the number of operators and other site staff needed to address different types of accidents, the skills they need and how they would be deployed to and within the site or facility in accident conditions. Deployment plans should cater for long-lasting accidents, including those where there is severe local infrastructure disruption. On multi-facility sites the plans should consider how resources will be shared across the site</w:t>
      </w:r>
      <w:r w:rsidR="008E0CB8">
        <w:t xml:space="preserve"> </w:t>
      </w:r>
      <w:r w:rsidR="007A50AA">
        <w:t>(refer to</w:t>
      </w:r>
      <w:r w:rsidR="008E0CB8">
        <w:t xml:space="preserve"> ST.4)</w:t>
      </w:r>
      <w:r w:rsidRPr="00CF791A">
        <w:t>.</w:t>
      </w:r>
    </w:p>
    <w:p w14:paraId="7E90C99F" w14:textId="2FAD1E4D" w:rsidR="00E243D0" w:rsidRPr="00CF791A" w:rsidRDefault="00E243D0" w:rsidP="00E243D0">
      <w:pPr>
        <w:pStyle w:val="Paragraph"/>
        <w:sectPr w:rsidR="00E243D0" w:rsidRPr="00CF791A" w:rsidSect="00E243D0">
          <w:pgSz w:w="11906" w:h="16838" w:code="9"/>
          <w:pgMar w:top="1440" w:right="1440" w:bottom="1440" w:left="1440" w:header="397" w:footer="397" w:gutter="0"/>
          <w:cols w:space="312"/>
          <w:docGrid w:linePitch="360"/>
        </w:sectPr>
      </w:pPr>
      <w:r w:rsidRPr="00CF791A">
        <w:t xml:space="preserve">Provision should be made for training personnel (including from local emergency services) in the accident management procedures and implementing the accident management strategies. The training should include periodic exercising of the site's emergency arrangements, including multi-facility exercises where relevant. </w:t>
      </w:r>
      <w:r w:rsidR="00E75B0D">
        <w:br/>
      </w:r>
      <w:r w:rsidRPr="00CF791A">
        <w:t>The exercises should be chosen so that in total they test the full scope of the site's arrangements and activities within the plans, for example, the deployment of mobile equipment such as pumps and generators.</w:t>
      </w:r>
    </w:p>
    <w:p w14:paraId="1393E6E7" w14:textId="77777777" w:rsidR="00E243D0" w:rsidRPr="00AA159A" w:rsidDel="000B5CFD" w:rsidRDefault="00E243D0" w:rsidP="005364DE">
      <w:pPr>
        <w:pStyle w:val="Heading1"/>
      </w:pPr>
      <w:bookmarkStart w:id="159" w:name="_Toc219206151"/>
      <w:bookmarkStart w:id="160" w:name="_Toc219748178"/>
      <w:bookmarkStart w:id="161" w:name="_Toc235711330"/>
      <w:r w:rsidRPr="00AA159A">
        <w:lastRenderedPageBreak/>
        <w:t>Management of nuclear matter</w:t>
      </w:r>
      <w:bookmarkEnd w:id="159"/>
      <w:r w:rsidRPr="00AA159A">
        <w:t xml:space="preserve"> </w:t>
      </w:r>
      <w:r w:rsidRPr="00AA159A" w:rsidDel="007A1B7C">
        <w:rPr>
          <w:szCs w:val="48"/>
        </w:rPr>
        <w:t>(including radioactive waste)</w:t>
      </w:r>
      <w:bookmarkEnd w:id="160"/>
      <w:bookmarkEnd w:id="161"/>
    </w:p>
    <w:p w14:paraId="2C0DF56D" w14:textId="00CB2B36" w:rsidR="00E243D0" w:rsidRPr="00CF791A" w:rsidRDefault="00E243D0" w:rsidP="00E243D0">
      <w:pPr>
        <w:pStyle w:val="Paragraph"/>
      </w:pPr>
      <w:r w:rsidRPr="00CF791A">
        <w:t>The term nuclear matter is used as a general term to refer to any substance on a nuclear licensed site which is radioactive, including fissile material (uranium or plutonium</w:t>
      </w:r>
      <w:r w:rsidRPr="00CF791A" w:rsidDel="007A1B7C">
        <w:t xml:space="preserve"> metal, alloy or chemical compound</w:t>
      </w:r>
      <w:r w:rsidRPr="00CF791A">
        <w:t xml:space="preserve">), nuclear fuel (including spent fuel), radioactive material (including radioactive sources) and radioactive waste, unless indicated otherwise. This is to reflect that it is the inherent radioactive properties of such substances that determine the principles for their safe management. It should be noted that this does not strictly align with the legal definitions of nuclear matter, radioactive material and radioactive waste as defined in NIA and LC1. There are cases where it is important for legal reasons to be clear whether radioactive substances on a site fall within specific legal definitions of nuclear matter, radioactive material or radioactive waste. In these cases, specialist advice should be sought when considering the legal and regulatory requirements for specific substances. </w:t>
      </w:r>
    </w:p>
    <w:p w14:paraId="2E8D1158" w14:textId="77777777" w:rsidR="00E243D0" w:rsidRPr="00CF791A" w:rsidRDefault="00E243D0" w:rsidP="00E243D0">
      <w:pPr>
        <w:pStyle w:val="Paragraph"/>
      </w:pPr>
      <w:r w:rsidRPr="00CF791A">
        <w:t xml:space="preserve">Nuclear matter should be managed safely throughout its lifecycle in a manner that is consistent with relevant good practice. These SAPs provide generic principles for the safe management of all nuclear matter based on their inherent hazardous properties. It should be recognised that there may be specific requirements or considerations for safe management of specific types of nuclear matter dependent on its type and particular properties, for instance for spent fuel or plutonium, as covered in relevant standards and guidance. </w:t>
      </w:r>
    </w:p>
    <w:p w14:paraId="74DF2007" w14:textId="52FA52E6" w:rsidR="00E243D0" w:rsidRPr="00CF791A" w:rsidRDefault="00E243D0" w:rsidP="00E243D0">
      <w:pPr>
        <w:pStyle w:val="Paragraph"/>
      </w:pPr>
      <w:r w:rsidRPr="00CF791A">
        <w:t xml:space="preserve">No nuclear matter should be generated or brought onto a site unless sufficient and suitable arrangements are in place for its safe management. The generation and accumulation of nuclear matter should be avoided or minimised as much as possible (recognising that it may be appropriate to maintain an inventory of nuclear matter to support operations, where justified), and any such nuclear matter on site should be documented, adequately characterised and stored in a safe condition. </w:t>
      </w:r>
    </w:p>
    <w:p w14:paraId="2EDC9C30" w14:textId="684B1E04" w:rsidR="00E243D0" w:rsidRPr="00CF791A" w:rsidRDefault="00E243D0" w:rsidP="00E243D0">
      <w:pPr>
        <w:pStyle w:val="Paragraph"/>
      </w:pPr>
      <w:r w:rsidRPr="00CF791A">
        <w:t>The principles in this section apply to nuclear matter on a site unless the wording makes it clear that limited application is intended, or unless the total amount of nuclear matter concerned is sufficiently small (where the quantities involved are out of scope, for instance, as defined in EPR16) or it is in such a chemical or physical form as to make application of the principles disproportionate. Other considerations include safeguards requirements when the nuclear matter is qualifying nuclear material, and Government policy in relation to management of plutonium or spent fuel and if they can be declared as waste.</w:t>
      </w:r>
    </w:p>
    <w:p w14:paraId="42F4038D" w14:textId="77777777" w:rsidR="00E75B0D" w:rsidRDefault="00E75B0D" w:rsidP="009B7D05">
      <w:pPr>
        <w:pStyle w:val="SAPHeading"/>
        <w:sectPr w:rsidR="00E75B0D" w:rsidSect="00E243D0">
          <w:pgSz w:w="11906" w:h="16838" w:code="9"/>
          <w:pgMar w:top="1440" w:right="1440" w:bottom="1440" w:left="1440" w:header="397" w:footer="397" w:gutter="0"/>
          <w:cols w:space="312"/>
          <w:docGrid w:linePitch="360"/>
        </w:sectPr>
      </w:pPr>
    </w:p>
    <w:p w14:paraId="6060A9CA" w14:textId="77777777" w:rsidR="00E243D0" w:rsidRPr="00AA159A" w:rsidRDefault="00E243D0" w:rsidP="009B7D05">
      <w:pPr>
        <w:pStyle w:val="SAPHeading"/>
      </w:pPr>
      <w:r w:rsidRPr="00AA159A">
        <w:lastRenderedPageBreak/>
        <w:t>NM.1 – Strategies for managing nuclear matter</w:t>
      </w:r>
    </w:p>
    <w:p w14:paraId="775E87BE" w14:textId="77777777" w:rsidR="00E243D0" w:rsidRPr="00AA159A" w:rsidRDefault="00E243D0" w:rsidP="006C4609">
      <w:pPr>
        <w:pStyle w:val="SAPBodyText"/>
      </w:pPr>
      <w:r w:rsidRPr="00AA159A">
        <w:t>A strategy (or strategies) should be produced, kept up to date, and implemented for the management of nuclear matter on a site.</w:t>
      </w:r>
    </w:p>
    <w:p w14:paraId="008A6A4E" w14:textId="77777777" w:rsidR="00E243D0" w:rsidRPr="00CF791A" w:rsidRDefault="00E243D0" w:rsidP="00E243D0">
      <w:pPr>
        <w:pStyle w:val="Paragraph"/>
      </w:pPr>
      <w:r w:rsidRPr="00CF791A">
        <w:t>The strategy should underpin the management of nuclear matter over the lifetime of the site, in line with pertinent SAPs and relevant good practice. It should:</w:t>
      </w:r>
    </w:p>
    <w:p w14:paraId="591CE390" w14:textId="77777777" w:rsidR="00E243D0" w:rsidRPr="00CF791A" w:rsidRDefault="00E243D0" w:rsidP="00A31B0A">
      <w:pPr>
        <w:pStyle w:val="Bulletlist1"/>
      </w:pPr>
      <w:r w:rsidRPr="00CF791A">
        <w:t>be consistent with relevant Government policies and be integrated with other national and site strategies, such as those for decommissioning, radioactive waste and spent fuel management, as appropriate; and</w:t>
      </w:r>
    </w:p>
    <w:p w14:paraId="4452F21E" w14:textId="77777777" w:rsidR="00E243D0" w:rsidRPr="00CF791A" w:rsidRDefault="00E243D0" w:rsidP="00A31B0A">
      <w:pPr>
        <w:pStyle w:val="Bulletlist1"/>
      </w:pPr>
      <w:r w:rsidRPr="00CF791A">
        <w:t xml:space="preserve">cover the optimised management of all nuclear matter on site, including: </w:t>
      </w:r>
    </w:p>
    <w:p w14:paraId="3D1F2FEE" w14:textId="77777777" w:rsidR="00E243D0" w:rsidRPr="00CF791A" w:rsidRDefault="00E243D0" w:rsidP="00062057">
      <w:pPr>
        <w:pStyle w:val="Bulletlist2"/>
      </w:pPr>
      <w:r w:rsidRPr="00CF791A">
        <w:t>expected future arisings and nuclear matter that may be categorised as radioactive waste in the future. It should show how radioactive waste, and nuclear matter to the extent it could become waste, is managed in line with the waste management hierarchy;</w:t>
      </w:r>
    </w:p>
    <w:p w14:paraId="707E9ECA" w14:textId="77777777" w:rsidR="00E243D0" w:rsidRPr="00CF791A" w:rsidRDefault="00E243D0" w:rsidP="00062057">
      <w:pPr>
        <w:pStyle w:val="Bulletlist2"/>
      </w:pPr>
      <w:r w:rsidRPr="00CF791A">
        <w:t>demonstrate how nuclear matter will be managed safely over its lifecycle (from generation to disposal), including justification and provision for any required further processing (such as conditioning to a disposable form or repackaging) and adequate storage until disposal; and</w:t>
      </w:r>
    </w:p>
    <w:p w14:paraId="449EA9B6" w14:textId="77777777" w:rsidR="00E243D0" w:rsidRPr="00CF791A" w:rsidRDefault="00E243D0" w:rsidP="00062057">
      <w:pPr>
        <w:pStyle w:val="Bulletlist2"/>
      </w:pPr>
      <w:r w:rsidRPr="00CF791A">
        <w:t>be compatible with the requirements of permits or authorisations granted by the environmental regulators.</w:t>
      </w:r>
    </w:p>
    <w:p w14:paraId="15E18E8D" w14:textId="77777777" w:rsidR="00E243D0" w:rsidRPr="00AA159A" w:rsidRDefault="00E243D0" w:rsidP="009B7D05">
      <w:pPr>
        <w:pStyle w:val="SAPHeading"/>
      </w:pPr>
      <w:r w:rsidRPr="00AA159A">
        <w:t>NM.2 – Generation and accumulation of nuclear matter</w:t>
      </w:r>
    </w:p>
    <w:p w14:paraId="09266C20" w14:textId="77777777" w:rsidR="00E243D0" w:rsidRPr="00AA159A" w:rsidRDefault="00E243D0" w:rsidP="006C4609">
      <w:pPr>
        <w:pStyle w:val="SAPBodyText"/>
      </w:pPr>
      <w:r w:rsidRPr="00AA159A">
        <w:t>The generation and accumulation of nuclear matter should be avoided or where this is not possible it should be minimised.</w:t>
      </w:r>
    </w:p>
    <w:p w14:paraId="220EC43F" w14:textId="77777777" w:rsidR="00E243D0" w:rsidRPr="00CF791A" w:rsidRDefault="00E243D0" w:rsidP="00E243D0">
      <w:pPr>
        <w:pStyle w:val="Paragraph"/>
      </w:pPr>
      <w:r w:rsidRPr="00CF791A">
        <w:t>The generation and accumulation of nuclear matter on site should be minimised in terms of both quantity and activity. Relevant aspects to consider include:</w:t>
      </w:r>
    </w:p>
    <w:p w14:paraId="2B8B5657" w14:textId="77777777" w:rsidR="00E243D0" w:rsidRPr="00CF791A" w:rsidRDefault="00E243D0" w:rsidP="00A31B0A">
      <w:pPr>
        <w:pStyle w:val="Bulletlist1"/>
      </w:pPr>
      <w:r w:rsidRPr="00CF791A">
        <w:t>facility design to minimise unintended generation and accumulation of nuclear matter;</w:t>
      </w:r>
    </w:p>
    <w:p w14:paraId="1B7C1CF4" w14:textId="77777777" w:rsidR="00E243D0" w:rsidRPr="00CF791A" w:rsidRDefault="00E243D0" w:rsidP="00A31B0A">
      <w:pPr>
        <w:pStyle w:val="Bulletlist1"/>
      </w:pPr>
      <w:r w:rsidRPr="00CF791A">
        <w:t>optimisation of processes to minimise secondary waste generation;</w:t>
      </w:r>
    </w:p>
    <w:p w14:paraId="036F6BD9" w14:textId="77777777" w:rsidR="00E243D0" w:rsidRPr="00CF791A" w:rsidRDefault="00E243D0" w:rsidP="00A31B0A">
      <w:pPr>
        <w:pStyle w:val="Bulletlist1"/>
      </w:pPr>
      <w:r w:rsidRPr="00CF791A">
        <w:t>recycling and reuse of materials;</w:t>
      </w:r>
    </w:p>
    <w:p w14:paraId="648927F1" w14:textId="77777777" w:rsidR="00E243D0" w:rsidRPr="00CF791A" w:rsidRDefault="00E243D0" w:rsidP="00A31B0A">
      <w:pPr>
        <w:pStyle w:val="Bulletlist1"/>
      </w:pPr>
      <w:r w:rsidRPr="00CF791A">
        <w:t>decontamination and segregation of materials;</w:t>
      </w:r>
    </w:p>
    <w:p w14:paraId="7CCE26A8" w14:textId="77777777" w:rsidR="00E243D0" w:rsidRPr="00CF791A" w:rsidRDefault="00E243D0" w:rsidP="00A31B0A">
      <w:pPr>
        <w:pStyle w:val="Bulletlist1"/>
      </w:pPr>
      <w:r w:rsidRPr="00CF791A">
        <w:t>timely disposal of radioactive waste;</w:t>
      </w:r>
    </w:p>
    <w:p w14:paraId="0BAE00A2" w14:textId="77777777" w:rsidR="00E243D0" w:rsidRPr="00CF791A" w:rsidRDefault="00E243D0" w:rsidP="00A31B0A">
      <w:pPr>
        <w:pStyle w:val="Bulletlist1"/>
      </w:pPr>
      <w:r w:rsidRPr="00CF791A">
        <w:t>timely consignment of nuclear matter off the site where appropriate;</w:t>
      </w:r>
    </w:p>
    <w:p w14:paraId="2D5AF53C" w14:textId="77777777" w:rsidR="00E243D0" w:rsidRPr="00CF791A" w:rsidRDefault="00E243D0" w:rsidP="00A31B0A">
      <w:pPr>
        <w:pStyle w:val="Bulletlist1"/>
      </w:pPr>
      <w:r w:rsidRPr="00CF791A">
        <w:lastRenderedPageBreak/>
        <w:t>avoiding or minimising the generation of radioactive waste for which there is no current disposal route.</w:t>
      </w:r>
    </w:p>
    <w:p w14:paraId="157EC2FC" w14:textId="77777777" w:rsidR="00E243D0" w:rsidRPr="00CF791A" w:rsidRDefault="00E243D0" w:rsidP="00E243D0">
      <w:pPr>
        <w:pStyle w:val="Paragraph"/>
      </w:pPr>
      <w:r w:rsidRPr="00CF791A">
        <w:t>The management of the generation of nuclear matter on site, through site activities or by being brought onto site, should be in line with site arrangements for compliance with LC4, LC32, and LC34 in relation to preventing leaks and escapes which could generate radioactively contaminated material. Consignment of nuclear matter off the site should be in line with arrangements for compliance with LC5.</w:t>
      </w:r>
    </w:p>
    <w:p w14:paraId="3B0AFC43" w14:textId="77777777" w:rsidR="00E243D0" w:rsidRPr="00AA159A" w:rsidRDefault="00E243D0" w:rsidP="009B7D05">
      <w:pPr>
        <w:pStyle w:val="SAPHeading"/>
      </w:pPr>
      <w:r w:rsidRPr="00AA159A">
        <w:t>NM.3 – Characterisation and segregation</w:t>
      </w:r>
    </w:p>
    <w:p w14:paraId="2F7C7174" w14:textId="77777777" w:rsidR="00E243D0" w:rsidRPr="00AA159A" w:rsidRDefault="00E243D0" w:rsidP="006C4609">
      <w:pPr>
        <w:pStyle w:val="SAPBodyText"/>
      </w:pPr>
      <w:r w:rsidRPr="00AA159A">
        <w:t>Nuclear matter should be characterised and segregated at an appropriate stage in its lifecycle wherever reasonably practicable to underpin and facilitate its subsequent safe and optimised management.</w:t>
      </w:r>
    </w:p>
    <w:p w14:paraId="5419442F" w14:textId="2491269E" w:rsidR="00E243D0" w:rsidRPr="00CF791A" w:rsidRDefault="00E243D0" w:rsidP="00E243D0">
      <w:pPr>
        <w:pStyle w:val="Paragraph"/>
      </w:pPr>
      <w:r w:rsidRPr="00CF791A">
        <w:t>Nuclear matter should be characterised at appropriate stages in its lifecycle, ideally as early and close to the point of generation as reasonably practicable, to generate sufficient representative information to inform decisions to its subsequent management and, in particular, decisions about the appropriate classification for radioactive waste (for example, low-level waste or intermediate-level waste), routes for final disposal or reuse/recycling</w:t>
      </w:r>
      <w:r w:rsidR="007304DC">
        <w:t xml:space="preserve"> </w:t>
      </w:r>
      <w:r w:rsidRPr="00CF791A">
        <w:t xml:space="preserve">and so on. The characterisation should reflect the specific nature of the nuclear matter and determine relevant properties such as physico-chemical, radiological and fissile properties. There should be visibility on characterisation uncertainties which should be </w:t>
      </w:r>
      <w:r w:rsidR="00684B7E" w:rsidRPr="00CF791A">
        <w:t>considered</w:t>
      </w:r>
      <w:r w:rsidRPr="00CF791A">
        <w:t xml:space="preserve"> by the safety case.</w:t>
      </w:r>
    </w:p>
    <w:p w14:paraId="68599F21" w14:textId="77777777" w:rsidR="00E243D0" w:rsidRPr="00CF791A" w:rsidRDefault="00E243D0" w:rsidP="00E243D0">
      <w:pPr>
        <w:pStyle w:val="Paragraph"/>
      </w:pPr>
      <w:r w:rsidRPr="00CF791A">
        <w:t>Segregation of nuclear matter should be used where reasonably practicable to prevent the mixing of materials with different physico-chemical, radiological and fissile and any other properties where such mixing might compromise subsequent optimal management, especially where the different materials could have different disposal routes. Segregation can be achieved through processes such as sorting or decontamination. Any intent to mix compatible nuclear matter/waste streams should be justified and demonstrated to provide a net benefit. Mixing of incompatible material should be prevented. Dilution of radioactive waste solely to change or lower its category should be avoided.</w:t>
      </w:r>
    </w:p>
    <w:p w14:paraId="513AAFF2" w14:textId="77777777" w:rsidR="00E243D0" w:rsidRPr="00AA159A" w:rsidRDefault="00E243D0" w:rsidP="009B7D05">
      <w:pPr>
        <w:pStyle w:val="SAPHeading"/>
      </w:pPr>
      <w:r w:rsidRPr="00AA159A">
        <w:t>NM.4 – Storage of nuclear matter and passive safety</w:t>
      </w:r>
    </w:p>
    <w:p w14:paraId="537CB386" w14:textId="77777777" w:rsidR="00E243D0" w:rsidRPr="00AA159A" w:rsidRDefault="00E243D0" w:rsidP="006C4609">
      <w:pPr>
        <w:pStyle w:val="SAPBodyText"/>
      </w:pPr>
      <w:r w:rsidRPr="00AA159A">
        <w:t>Nuclear matter should be stored safely in accordance with relevant good practice with provision for appropriate condition monitoring and inspection whilst in storage and operational management including retrieval from storage.</w:t>
      </w:r>
    </w:p>
    <w:p w14:paraId="720008FF" w14:textId="77777777" w:rsidR="00E243D0" w:rsidRPr="00CF791A" w:rsidRDefault="00E243D0" w:rsidP="00E243D0">
      <w:pPr>
        <w:pStyle w:val="Paragraph"/>
      </w:pPr>
      <w:r w:rsidRPr="00CF791A">
        <w:t xml:space="preserve">The storage of nuclear matter should always be covered by an adequate safety case and be managed in line with relevant good practice over its entire planned storage period. The safety case, or other appropriate safety justification, should define operating rules (conditions and limits) and other requirements needed for safe storage. This includes defining relevant constraints such as the maximum capacity of the store and definition of waste acceptance criteria that is justified by the safety justification, required store environmental control (in terms of temperature, humidity </w:t>
      </w:r>
      <w:r w:rsidRPr="00CF791A">
        <w:lastRenderedPageBreak/>
        <w:t>and contamination control, ventilation, and so on) and availability of required safety measures.</w:t>
      </w:r>
    </w:p>
    <w:p w14:paraId="06661F5E" w14:textId="190B30F6" w:rsidR="00E243D0" w:rsidRPr="00CF791A" w:rsidRDefault="00E243D0" w:rsidP="00E243D0">
      <w:pPr>
        <w:pStyle w:val="Paragraph"/>
      </w:pPr>
      <w:r w:rsidRPr="00CF791A">
        <w:t xml:space="preserve">Nuclear matter should be immobile or immobilised and conditioned into a passively safe condition as soon as reasonably practicable. Where processing into a passively safe condition is deferred, the basis of this should be clearly articulated and justified in the management strategy covering that material. There should be a clear plan and timeline for its processing into a passively safe condition. </w:t>
      </w:r>
    </w:p>
    <w:p w14:paraId="16CE0F06" w14:textId="1D47B109" w:rsidR="00E243D0" w:rsidRPr="00CF791A" w:rsidRDefault="00E243D0" w:rsidP="00E243D0">
      <w:pPr>
        <w:pStyle w:val="Paragraph"/>
      </w:pPr>
      <w:r w:rsidRPr="00CF791A">
        <w:t xml:space="preserve">Packages in store should be subject to an appropriate in-situ and ex-situ condition monitoring and inspection regime over the entire storage period, sufficient to detect any degradation or deviation from assumptions or expectations </w:t>
      </w:r>
      <w:r w:rsidRPr="00CF791A" w:rsidDel="00D90C06">
        <w:t xml:space="preserve">in </w:t>
      </w:r>
      <w:r w:rsidRPr="00CF791A">
        <w:t xml:space="preserve">a timely manner to prompt mitigative actions; this may be based on a justified sampling approach. </w:t>
      </w:r>
      <w:r w:rsidR="00E75B0D">
        <w:br/>
      </w:r>
      <w:r w:rsidRPr="00CF791A">
        <w:t>The store design should incorporate this requirement accordingly.</w:t>
      </w:r>
    </w:p>
    <w:p w14:paraId="7A2323A8" w14:textId="0620F685" w:rsidR="00E243D0" w:rsidRPr="00CF791A" w:rsidRDefault="00E243D0" w:rsidP="00E243D0">
      <w:pPr>
        <w:pStyle w:val="Paragraph"/>
      </w:pPr>
      <w:r w:rsidRPr="00CF791A">
        <w:t>Appropriate and sufficient capacity should be provided for the temporary storage of nuclear matter and radioactive waste. This should include allowance for waste resulting from incidents. Planning should be in place for the provision of any further storage needs identified in the site’s accident management strategies.</w:t>
      </w:r>
    </w:p>
    <w:p w14:paraId="27530B97" w14:textId="20689B0C" w:rsidR="00E243D0" w:rsidRPr="00AA159A" w:rsidDel="00924476" w:rsidRDefault="00E243D0" w:rsidP="009B7D05">
      <w:pPr>
        <w:pStyle w:val="SAPHeading"/>
      </w:pPr>
      <w:r w:rsidRPr="00AA159A" w:rsidDel="00924476">
        <w:t>NM.</w:t>
      </w:r>
      <w:r w:rsidR="00B10CC4" w:rsidRPr="00AA159A">
        <w:t>5</w:t>
      </w:r>
      <w:r w:rsidR="00F13050" w:rsidRPr="00AA159A" w:rsidDel="00924476">
        <w:t xml:space="preserve"> </w:t>
      </w:r>
      <w:r w:rsidRPr="00AA159A" w:rsidDel="00924476">
        <w:t>– Making and keeping of records</w:t>
      </w:r>
    </w:p>
    <w:p w14:paraId="37F0713A" w14:textId="77777777" w:rsidR="00E243D0" w:rsidRPr="00AA159A" w:rsidDel="00924476" w:rsidRDefault="00E243D0" w:rsidP="006C4609">
      <w:pPr>
        <w:pStyle w:val="SAPBodyText"/>
      </w:pPr>
      <w:r w:rsidRPr="00AA159A" w:rsidDel="00924476">
        <w:t>All records and information needed for the current and future safe management of nuclear matter should be maintained in a secure and accessible form for an appropriate period of time.</w:t>
      </w:r>
    </w:p>
    <w:p w14:paraId="5BF43655" w14:textId="1D4B4367" w:rsidR="0A76F101" w:rsidRPr="00CF791A" w:rsidRDefault="3C7C0761" w:rsidP="000C5554">
      <w:pPr>
        <w:pStyle w:val="Paragraph"/>
      </w:pPr>
      <w:r w:rsidRPr="00CF791A">
        <w:t xml:space="preserve">Records on the inventory of nuclear matter held on site and its specific nature, composition, radiological properties and details of conditioning and packaging and any incidents and excursions </w:t>
      </w:r>
      <w:r w:rsidR="00AF7B65">
        <w:t>should</w:t>
      </w:r>
      <w:r w:rsidRPr="00CF791A">
        <w:t xml:space="preserve"> be maintained to inform the safe management and future management decisions for this material. The records </w:t>
      </w:r>
      <w:r w:rsidR="00AF7B65">
        <w:t>should</w:t>
      </w:r>
      <w:r w:rsidRPr="00CF791A">
        <w:t xml:space="preserve"> be retained for an appropriate period of time</w:t>
      </w:r>
      <w:r w:rsidR="00A13D26">
        <w:t xml:space="preserve"> </w:t>
      </w:r>
      <w:r w:rsidR="007A50AA">
        <w:t>(refer to</w:t>
      </w:r>
      <w:r w:rsidR="00A13D26">
        <w:t xml:space="preserve"> MS.3)</w:t>
      </w:r>
      <w:r w:rsidRPr="00CF791A">
        <w:t>, which for those records relating to decommissioning, waste management and disposal may be in excess of 100 years in many cases</w:t>
      </w:r>
      <w:r w:rsidR="00B10CC4" w:rsidRPr="00CF791A">
        <w:t>.</w:t>
      </w:r>
    </w:p>
    <w:p w14:paraId="222DDD9C" w14:textId="77777777" w:rsidR="00E243D0" w:rsidRPr="00CF791A" w:rsidRDefault="00E243D0" w:rsidP="00E243D0">
      <w:pPr>
        <w:spacing w:after="160" w:line="259" w:lineRule="auto"/>
      </w:pPr>
    </w:p>
    <w:p w14:paraId="549B66F6" w14:textId="77777777" w:rsidR="00E243D0" w:rsidRPr="00AA159A" w:rsidRDefault="00E243D0" w:rsidP="00134698">
      <w:pPr>
        <w:pStyle w:val="NumList2"/>
        <w:ind w:left="714"/>
        <w:sectPr w:rsidR="00E243D0" w:rsidRPr="00AA159A" w:rsidSect="00E243D0">
          <w:pgSz w:w="11906" w:h="16838" w:code="9"/>
          <w:pgMar w:top="1440" w:right="1440" w:bottom="1440" w:left="1440" w:header="397" w:footer="397" w:gutter="0"/>
          <w:cols w:space="312"/>
          <w:docGrid w:linePitch="360"/>
        </w:sectPr>
      </w:pPr>
    </w:p>
    <w:p w14:paraId="68C9DB88" w14:textId="77777777" w:rsidR="00E243D0" w:rsidRPr="00AA159A" w:rsidRDefault="00E243D0" w:rsidP="005364DE">
      <w:pPr>
        <w:pStyle w:val="Heading1"/>
      </w:pPr>
      <w:bookmarkStart w:id="162" w:name="_Toc219206152"/>
      <w:bookmarkStart w:id="163" w:name="_Toc219748179"/>
      <w:bookmarkStart w:id="164" w:name="_Toc235711331"/>
      <w:r w:rsidRPr="00AA159A">
        <w:lastRenderedPageBreak/>
        <w:t>Decommissioning</w:t>
      </w:r>
      <w:bookmarkEnd w:id="162"/>
      <w:bookmarkEnd w:id="163"/>
      <w:bookmarkEnd w:id="164"/>
    </w:p>
    <w:p w14:paraId="22F7ED64" w14:textId="2799A328" w:rsidR="00E243D0" w:rsidRPr="00CF791A" w:rsidRDefault="00E243D0" w:rsidP="00E243D0">
      <w:pPr>
        <w:pStyle w:val="Paragraph"/>
      </w:pPr>
      <w:r w:rsidRPr="00CF791A">
        <w:t xml:space="preserve">Decommissioning is the last stage in the lifecycle of a facility but should be </w:t>
      </w:r>
      <w:r w:rsidR="00EF1445" w:rsidRPr="00CF791A">
        <w:t>considered</w:t>
      </w:r>
      <w:r w:rsidRPr="00CF791A">
        <w:t xml:space="preserve"> throughout the lifecycle, in terms of design and during operations, to help facilitate and minimise risks during decommissioning. There should be a decommissioning strategy and associated plans covering how a facility will be decommissioned and when, with the level of detail proportional to where a facility is in its lifecycle. </w:t>
      </w:r>
    </w:p>
    <w:p w14:paraId="1C5AC7E8" w14:textId="6B657FBC" w:rsidR="00E243D0" w:rsidRPr="00CF791A" w:rsidRDefault="00E243D0" w:rsidP="00E243D0">
      <w:pPr>
        <w:pStyle w:val="Paragraph"/>
      </w:pPr>
      <w:r w:rsidRPr="00CF791A">
        <w:t xml:space="preserve">Decommissioning involves activities such as deplanting, decontamination, radioactive material or waste retrieval and its subsequent management, dismantling and demolition to progressively reduce the remaining hazards and achieve a defined end-state for the facility. There can be cases where such activities may necessarily increase risks in the short term in order to achieve overall hazard and risk reduction, such as making penetrations in primary containment to retrieve radioactive waste. Any period of elevated risk should be </w:t>
      </w:r>
      <w:r w:rsidR="00CD521E" w:rsidRPr="00CF791A">
        <w:t xml:space="preserve">appropriately </w:t>
      </w:r>
      <w:r w:rsidRPr="00CF791A">
        <w:t xml:space="preserve">justified </w:t>
      </w:r>
      <w:r w:rsidR="007A50AA">
        <w:t>(refer to</w:t>
      </w:r>
      <w:r w:rsidRPr="00CF791A">
        <w:t xml:space="preserve"> </w:t>
      </w:r>
      <w:r w:rsidR="00E77608" w:rsidRPr="00CF791A">
        <w:t>RF</w:t>
      </w:r>
      <w:r w:rsidRPr="00CF791A">
        <w:t xml:space="preserve">.2). </w:t>
      </w:r>
    </w:p>
    <w:p w14:paraId="61B3DA0F" w14:textId="3A89EC20" w:rsidR="00E243D0" w:rsidRPr="00CF791A" w:rsidRDefault="00E243D0" w:rsidP="00E243D0">
      <w:pPr>
        <w:pStyle w:val="Paragraph"/>
      </w:pPr>
      <w:r w:rsidRPr="00CF791A">
        <w:t xml:space="preserve">During the course of decommissioning, the nature of a site and activities being carried out will change considerably from when the site was operational and there may be considerable change in the organisation, for example in terms of funding, staffing, organisation structure and nature of activities carried out. The organisation should maintain an appropriate management structure, resources and capability to ensure that decommissioning is carried out safely and in accordance with good nuclear industry decommissioning practices. </w:t>
      </w:r>
    </w:p>
    <w:p w14:paraId="4BC155ED" w14:textId="58344F55" w:rsidR="00E243D0" w:rsidRPr="00CF791A" w:rsidRDefault="00E243D0" w:rsidP="00E243D0">
      <w:pPr>
        <w:pStyle w:val="Paragraph"/>
      </w:pPr>
      <w:r w:rsidRPr="00CF791A">
        <w:t xml:space="preserve">Decommissioning should be carried out in line with site arrangements for compliance with LC35 and 36. Specific decommissioning activities are typically </w:t>
      </w:r>
      <w:r w:rsidR="001D5BC2" w:rsidRPr="00CF791A">
        <w:t xml:space="preserve">justified </w:t>
      </w:r>
      <w:r w:rsidRPr="00CF791A">
        <w:t>through LC22 arrangements.</w:t>
      </w:r>
    </w:p>
    <w:p w14:paraId="530A5531" w14:textId="77777777" w:rsidR="00E243D0" w:rsidRPr="00AA159A" w:rsidRDefault="00E243D0" w:rsidP="009B7D05">
      <w:pPr>
        <w:pStyle w:val="SAPHeading"/>
      </w:pPr>
      <w:r w:rsidRPr="00AA159A">
        <w:t>DC.1 – Design and operation</w:t>
      </w:r>
    </w:p>
    <w:p w14:paraId="4E730873" w14:textId="77777777" w:rsidR="00E243D0" w:rsidRPr="00AA159A" w:rsidRDefault="00E243D0" w:rsidP="006C4609">
      <w:pPr>
        <w:pStyle w:val="SAPBodyText"/>
      </w:pPr>
      <w:r w:rsidRPr="00AA159A">
        <w:t>The design and operation of facilities should incorporate features and aspects that facilitate effective and safe decommissioning where appropriate and with due consideration of how these would impact on safety over the facility lifecycle.</w:t>
      </w:r>
    </w:p>
    <w:p w14:paraId="2E1800D7" w14:textId="4C150F5F" w:rsidR="00E243D0" w:rsidRPr="00CF791A" w:rsidRDefault="00E243D0" w:rsidP="0077765B">
      <w:pPr>
        <w:pStyle w:val="Paragraph"/>
      </w:pPr>
      <w:r w:rsidRPr="00CF791A">
        <w:t xml:space="preserve">Decommissioning should be </w:t>
      </w:r>
      <w:r w:rsidR="003F57A5" w:rsidRPr="00CF791A">
        <w:t>considered</w:t>
      </w:r>
      <w:r w:rsidRPr="00CF791A">
        <w:t xml:space="preserve"> during the planning, design, construction and operational stages of a new facility or modifications of an existing facility to help facilitate and </w:t>
      </w:r>
      <w:r w:rsidR="0077765B" w:rsidRPr="00CF791A">
        <w:t xml:space="preserve">manage </w:t>
      </w:r>
      <w:r w:rsidRPr="00CF791A">
        <w:t>risks during decommissioning. The introduction of any features or aspects to help facilitate decommissioning should take due consideration of how these would impact on safety over the facility lifecycle.</w:t>
      </w:r>
    </w:p>
    <w:p w14:paraId="69E50282" w14:textId="77777777" w:rsidR="00E243D0" w:rsidRPr="00CF791A" w:rsidRDefault="00E243D0" w:rsidP="00E243D0">
      <w:pPr>
        <w:pStyle w:val="Paragraph"/>
      </w:pPr>
      <w:r w:rsidRPr="00CF791A">
        <w:t>Learning from decommissioning experience should be used to consider ‘design for decommissioning’ aspects, including:</w:t>
      </w:r>
    </w:p>
    <w:p w14:paraId="119E1D3B" w14:textId="69D44332" w:rsidR="00E243D0" w:rsidRPr="00CF791A" w:rsidRDefault="00E243D0" w:rsidP="00A31B0A">
      <w:pPr>
        <w:pStyle w:val="Bulletlist1"/>
      </w:pPr>
      <w:r w:rsidRPr="00CF791A">
        <w:t xml:space="preserve">Design features to facilitate decommissioning activities, such as: provision of export routes for equipment and waste, provision of adequate space for activities such as dismantling plant, installation of required equipment and </w:t>
      </w:r>
      <w:r w:rsidRPr="00CF791A">
        <w:lastRenderedPageBreak/>
        <w:t>management of waste arisings, use of modular designs where possible and limiting embedding pipework, ducts, tanks and equipment in floors and walls</w:t>
      </w:r>
      <w:r w:rsidR="00737D15" w:rsidRPr="00CF791A">
        <w:t>.</w:t>
      </w:r>
    </w:p>
    <w:p w14:paraId="79D41867" w14:textId="77777777" w:rsidR="00E243D0" w:rsidRPr="00CF791A" w:rsidRDefault="00E243D0" w:rsidP="00A31B0A">
      <w:pPr>
        <w:pStyle w:val="Bulletlist1"/>
      </w:pPr>
      <w:r w:rsidRPr="00CF791A">
        <w:t>Design measures to minimise generation of radioactive waste such as use of materials to minimise production of activation products, design of pipework/ducts to minimise accumulation of crud and contamination and controls to prevent or minimise the spread of radioactive contamination.</w:t>
      </w:r>
    </w:p>
    <w:p w14:paraId="58B91B8E" w14:textId="77777777" w:rsidR="00E243D0" w:rsidRPr="00AA159A" w:rsidRDefault="00E243D0" w:rsidP="009B7D05">
      <w:pPr>
        <w:pStyle w:val="SAPHeading"/>
      </w:pPr>
      <w:r w:rsidRPr="00AA159A">
        <w:t>DC.2 – Decommissioning strategies</w:t>
      </w:r>
    </w:p>
    <w:p w14:paraId="50630567" w14:textId="77777777" w:rsidR="00E243D0" w:rsidRPr="00AA159A" w:rsidRDefault="00E243D0" w:rsidP="006C4609">
      <w:pPr>
        <w:pStyle w:val="SAPBodyText"/>
      </w:pPr>
      <w:r w:rsidRPr="00AA159A">
        <w:t>A site decommissioning strategy should be produced and kept up to date, which describes and justifies the approach to decommissioning the site to a defined end-state and the associated timescales, with a level of detail commensurate with where the site is in its lifecycle.</w:t>
      </w:r>
    </w:p>
    <w:p w14:paraId="01D33310" w14:textId="77777777" w:rsidR="00E243D0" w:rsidRPr="00CF791A" w:rsidRDefault="00E243D0" w:rsidP="00E243D0">
      <w:pPr>
        <w:pStyle w:val="Paragraph"/>
      </w:pPr>
      <w:r w:rsidRPr="00CF791A">
        <w:t>The decommissioning strategy should describe the approach to decommissioning the site to a defined end-state and the associated timescales. It should:</w:t>
      </w:r>
    </w:p>
    <w:p w14:paraId="1E5A9CD8" w14:textId="77777777" w:rsidR="00E243D0" w:rsidRPr="00CF791A" w:rsidRDefault="00E243D0" w:rsidP="00A31B0A">
      <w:pPr>
        <w:pStyle w:val="Bulletlist1"/>
      </w:pPr>
      <w:r w:rsidRPr="00CF791A">
        <w:t>be consistent with relevant Government policies and be integrated with other relevant strategies, as appropriate;</w:t>
      </w:r>
    </w:p>
    <w:p w14:paraId="153FCE82" w14:textId="77777777" w:rsidR="00E243D0" w:rsidRPr="00CF791A" w:rsidRDefault="00E243D0" w:rsidP="00A31B0A">
      <w:pPr>
        <w:pStyle w:val="Bulletlist1"/>
      </w:pPr>
      <w:r w:rsidRPr="00CF791A">
        <w:t>provide the justification for the decommissioning approach (such as immediate or deferred decommissioning or use of interim states such as care and maintenance), the site end-state and the associated timescales. A site should be decommissioned as soon as is reasonably practicable;</w:t>
      </w:r>
    </w:p>
    <w:p w14:paraId="4BE21902" w14:textId="77777777" w:rsidR="00E243D0" w:rsidRPr="00CF791A" w:rsidRDefault="00E243D0" w:rsidP="00A31B0A">
      <w:pPr>
        <w:pStyle w:val="Bulletlist1"/>
      </w:pPr>
      <w:r w:rsidRPr="00CF791A">
        <w:t>be comprehensive, covering the decommissioning of all facilities on the site and management of radioactively contaminated land and all of the radioactive waste arising during decommissioning; and</w:t>
      </w:r>
    </w:p>
    <w:p w14:paraId="3BE63C04" w14:textId="2FE24DC7" w:rsidR="00E243D0" w:rsidRPr="00CF791A" w:rsidRDefault="00E243D0" w:rsidP="00A31B0A">
      <w:pPr>
        <w:pStyle w:val="Bulletlist1"/>
      </w:pPr>
      <w:r w:rsidRPr="00CF791A">
        <w:t xml:space="preserve">indicate how the site will be maintained in a safe state during decommissioning (particularly in the case of deferred decommissioning), for example through the safety case and with </w:t>
      </w:r>
      <w:r w:rsidR="00DC1A9E" w:rsidRPr="00CF791A">
        <w:t xml:space="preserve">an </w:t>
      </w:r>
      <w:r w:rsidRPr="00CF791A">
        <w:t xml:space="preserve">appropriate </w:t>
      </w:r>
      <w:r w:rsidR="00D25AE1" w:rsidRPr="00CF791A">
        <w:t>ag</w:t>
      </w:r>
      <w:r w:rsidR="00DC1A9E" w:rsidRPr="00CF791A">
        <w:t>eing</w:t>
      </w:r>
      <w:r w:rsidR="00D25AE1" w:rsidRPr="00CF791A">
        <w:t xml:space="preserve"> </w:t>
      </w:r>
      <w:r w:rsidRPr="00CF791A">
        <w:t xml:space="preserve">management </w:t>
      </w:r>
      <w:r w:rsidR="00DC1A9E" w:rsidRPr="00CF791A">
        <w:t xml:space="preserve">strategy </w:t>
      </w:r>
      <w:r w:rsidR="007A50AA">
        <w:t>(refer to</w:t>
      </w:r>
      <w:r w:rsidRPr="00CF791A">
        <w:t xml:space="preserve"> </w:t>
      </w:r>
      <w:r w:rsidR="00DC1A9E" w:rsidRPr="00CF791A">
        <w:t>EAD.4</w:t>
      </w:r>
      <w:r w:rsidRPr="00CF791A">
        <w:t>).</w:t>
      </w:r>
    </w:p>
    <w:p w14:paraId="0A993A93" w14:textId="04A32A8F" w:rsidR="00E243D0" w:rsidRPr="00AA159A" w:rsidRDefault="00E243D0" w:rsidP="009B7D05">
      <w:pPr>
        <w:pStyle w:val="SAPHeading"/>
      </w:pPr>
      <w:r w:rsidRPr="00AA159A">
        <w:t>DC.</w:t>
      </w:r>
      <w:r w:rsidR="00F13050" w:rsidRPr="00AA159A">
        <w:t xml:space="preserve">3 </w:t>
      </w:r>
      <w:r w:rsidRPr="00AA159A">
        <w:t>– Planning for decommissioning</w:t>
      </w:r>
    </w:p>
    <w:p w14:paraId="3368DA11" w14:textId="77777777" w:rsidR="00E243D0" w:rsidRPr="00AA159A" w:rsidRDefault="00E243D0" w:rsidP="006C4609">
      <w:pPr>
        <w:pStyle w:val="SAPBodyText"/>
      </w:pPr>
      <w:r w:rsidRPr="00AA159A">
        <w:t>A decommissioning plan or programme should be prepared for each facility on a site that sets out how the facility will be safely decommissioned in line with the overall site decommissioning strategy.</w:t>
      </w:r>
    </w:p>
    <w:p w14:paraId="54C527CE" w14:textId="77777777" w:rsidR="00644144" w:rsidRDefault="00E243D0" w:rsidP="00644144">
      <w:pPr>
        <w:pStyle w:val="Paragraph"/>
      </w:pPr>
      <w:r w:rsidRPr="00CF791A">
        <w:t>The decommissioning plan or programme should provide up to date information on how a facility will be decommissioned safely to a defined end-state in line with the decommissioning strategy, with the level of detail commensurate with the nature and lifecycle status of the facility.</w:t>
      </w:r>
    </w:p>
    <w:p w14:paraId="7D0F0D11" w14:textId="5B75E453" w:rsidR="00E243D0" w:rsidRPr="00AA159A" w:rsidRDefault="00E243D0" w:rsidP="009B7D05">
      <w:pPr>
        <w:pStyle w:val="SAPHeading"/>
      </w:pPr>
      <w:r w:rsidRPr="00AA159A">
        <w:lastRenderedPageBreak/>
        <w:t>DC.</w:t>
      </w:r>
      <w:r w:rsidR="00F13050" w:rsidRPr="00AA159A">
        <w:t xml:space="preserve">4 </w:t>
      </w:r>
      <w:r w:rsidRPr="00AA159A">
        <w:t>– Passive safety</w:t>
      </w:r>
    </w:p>
    <w:p w14:paraId="45754621" w14:textId="52E640A2" w:rsidR="00E243D0" w:rsidRPr="00AA159A" w:rsidRDefault="004D6EC7" w:rsidP="006C4609">
      <w:pPr>
        <w:pStyle w:val="SAPBodyText"/>
      </w:pPr>
      <w:r w:rsidRPr="00AA159A">
        <w:t>Facilities should be made to maximise inherent and passive safety before entering a care and maintenance phase.</w:t>
      </w:r>
    </w:p>
    <w:p w14:paraId="3F102AB1" w14:textId="47D25B37" w:rsidR="00E243D0" w:rsidRPr="00CF791A" w:rsidRDefault="004D6EC7" w:rsidP="00E243D0">
      <w:pPr>
        <w:pStyle w:val="Paragraph"/>
      </w:pPr>
      <w:r w:rsidRPr="00CF791A">
        <w:t>Where the decommissioning strategy involves deferred decommissioning, efforts should be made to maximise inherent safety (eliminating or reducing hazards - see KP.</w:t>
      </w:r>
      <w:r w:rsidR="00FB606A">
        <w:t>5</w:t>
      </w:r>
      <w:r w:rsidRPr="00CF791A">
        <w:t xml:space="preserve">) and passive safety (removing or reducing the dependence on external power sources, moving parts or human intervention). This helps to ensure there is minimal need for any active safety systems, monitoring, asset management or prompt human intervention, during any period of care and maintenance. </w:t>
      </w:r>
      <w:r w:rsidR="00E243D0" w:rsidRPr="00CF791A">
        <w:t>This will typically include aspects such as:</w:t>
      </w:r>
    </w:p>
    <w:p w14:paraId="6A42A5CF" w14:textId="5D412462" w:rsidR="00E243D0" w:rsidRPr="00CF791A" w:rsidRDefault="00E243D0" w:rsidP="00A31B0A">
      <w:pPr>
        <w:pStyle w:val="Bulletlist1"/>
      </w:pPr>
      <w:r w:rsidRPr="00CF791A">
        <w:t>removal of bulk hazardous materials, including fissile material, radioactive material and radioactive waste and immobilisation of any material that cannot be removed;</w:t>
      </w:r>
    </w:p>
    <w:p w14:paraId="19DFEA6A" w14:textId="4A50E57F" w:rsidR="00E243D0" w:rsidRPr="00CF791A" w:rsidRDefault="00E243D0" w:rsidP="00A31B0A">
      <w:pPr>
        <w:pStyle w:val="Bulletlist1"/>
      </w:pPr>
      <w:r w:rsidRPr="00CF791A">
        <w:t>decontamination of plant, equipment and pipework through post-operational clean out and similar activities to remove residual radioactive material;</w:t>
      </w:r>
    </w:p>
    <w:p w14:paraId="3E30B3C8" w14:textId="77777777" w:rsidR="00E243D0" w:rsidRPr="00CF791A" w:rsidRDefault="00E243D0" w:rsidP="00A31B0A">
      <w:pPr>
        <w:pStyle w:val="Bulletlist1"/>
      </w:pPr>
      <w:r w:rsidRPr="00CF791A">
        <w:t>implementation of an adequate safety case for the care and maintenance period, with arrangements in place for monitoring and inspection and prompt intervention when required.</w:t>
      </w:r>
    </w:p>
    <w:p w14:paraId="6D6DE03D" w14:textId="3F9BA0E6" w:rsidR="00E243D0" w:rsidRPr="00AA159A" w:rsidRDefault="00E243D0" w:rsidP="009B7D05">
      <w:pPr>
        <w:pStyle w:val="SAPHeading"/>
      </w:pPr>
      <w:r w:rsidRPr="00AA159A">
        <w:t>DC.</w:t>
      </w:r>
      <w:r w:rsidR="00F13050" w:rsidRPr="00AA159A">
        <w:t xml:space="preserve">5 </w:t>
      </w:r>
      <w:r w:rsidRPr="00AA159A">
        <w:t>– Records for decommissioning</w:t>
      </w:r>
    </w:p>
    <w:p w14:paraId="60294EBF" w14:textId="752D1FF9" w:rsidR="00E243D0" w:rsidRPr="00CF791A" w:rsidRDefault="00E243D0" w:rsidP="001D3910">
      <w:pPr>
        <w:pStyle w:val="SAPBodyText"/>
        <w:rPr>
          <w:bCs/>
        </w:rPr>
        <w:sectPr w:rsidR="00E243D0" w:rsidRPr="00CF791A" w:rsidSect="00E243D0">
          <w:pgSz w:w="11906" w:h="16838" w:code="9"/>
          <w:pgMar w:top="1440" w:right="1440" w:bottom="1440" w:left="1440" w:header="397" w:footer="397" w:gutter="0"/>
          <w:cols w:space="312"/>
          <w:docGrid w:linePitch="360"/>
        </w:sectPr>
      </w:pPr>
      <w:r w:rsidRPr="00AA159A">
        <w:t xml:space="preserve">Documents and records that may be required for decommissioning purposes should be identified, prepared, updated and retained so that they will be available when needed throughout the whole lifecycle of the facility. </w:t>
      </w:r>
    </w:p>
    <w:p w14:paraId="2BBEE555" w14:textId="77777777" w:rsidR="00E243D0" w:rsidRPr="00AA159A" w:rsidRDefault="00E243D0" w:rsidP="005364DE">
      <w:pPr>
        <w:pStyle w:val="Heading1"/>
      </w:pPr>
      <w:bookmarkStart w:id="165" w:name="_Toc219206153"/>
      <w:bookmarkStart w:id="166" w:name="_Toc219748180"/>
      <w:bookmarkStart w:id="167" w:name="_Toc235711332"/>
      <w:r w:rsidRPr="00AA159A">
        <w:lastRenderedPageBreak/>
        <w:t>Land quality management</w:t>
      </w:r>
      <w:bookmarkEnd w:id="165"/>
      <w:bookmarkEnd w:id="166"/>
      <w:bookmarkEnd w:id="167"/>
    </w:p>
    <w:p w14:paraId="3FE31987" w14:textId="74153442" w:rsidR="00873182" w:rsidRPr="00CF791A" w:rsidRDefault="00873182" w:rsidP="00097776">
      <w:pPr>
        <w:pStyle w:val="Paragraph"/>
      </w:pPr>
      <w:r w:rsidRPr="00CF791A">
        <w:t>Land quality management refers to the prevention of contamination of land and groundwater, and the assessment and remediation or clean-up (including control and monitoring) of radioactive and non-radioactive contamination. It covers implementing measures to prevent contamination to identify and control any contamination that occurs and to ultimately remediate it to achieve the site’s target end-state.</w:t>
      </w:r>
    </w:p>
    <w:p w14:paraId="06572CCF" w14:textId="4C186CEE" w:rsidR="00873182" w:rsidRPr="00CF791A" w:rsidRDefault="00873182" w:rsidP="003861BC">
      <w:pPr>
        <w:pStyle w:val="Paragraph"/>
      </w:pPr>
      <w:r w:rsidRPr="00CF791A">
        <w:t xml:space="preserve">Radioactively contaminated land is considered to be an accumulation of nuclear matter. Land quality management does not cover radioactive waste that is present in a disposal authorised by an environmental permit (such as in on-site disposals). </w:t>
      </w:r>
      <w:r w:rsidR="00E75B0D">
        <w:br/>
      </w:r>
      <w:r w:rsidRPr="00CF791A">
        <w:t>The remediation of radioactively contaminated land will typically generate radioactive waste that should be managed in accordance with the NM SAPs.</w:t>
      </w:r>
    </w:p>
    <w:p w14:paraId="595EAFBA" w14:textId="50787C7B" w:rsidR="00873182" w:rsidRPr="00AA159A" w:rsidRDefault="00873182" w:rsidP="009B7D05">
      <w:pPr>
        <w:pStyle w:val="SAPHeading"/>
      </w:pPr>
      <w:r w:rsidRPr="00AA159A">
        <w:t>RL.1 – Land quality management</w:t>
      </w:r>
    </w:p>
    <w:p w14:paraId="20886B0F" w14:textId="77777777" w:rsidR="00873182" w:rsidRPr="00AA159A" w:rsidRDefault="00873182" w:rsidP="006C4609">
      <w:pPr>
        <w:pStyle w:val="SAPBodyText"/>
      </w:pPr>
      <w:r w:rsidRPr="00AA159A">
        <w:t>Dutyholders should take all reasonably practicable measures to prevent radioactive contamination of land or groundwater and to ensure that if it occurs, or if it has already occurred, it is managed safely and unacceptable risks to people or the environment are mitigated.</w:t>
      </w:r>
    </w:p>
    <w:p w14:paraId="2C7FD4EC" w14:textId="77777777" w:rsidR="00873182" w:rsidRPr="00CF791A" w:rsidRDefault="00873182" w:rsidP="003861BC">
      <w:pPr>
        <w:pStyle w:val="Paragraph"/>
      </w:pPr>
      <w:r w:rsidRPr="00CF791A">
        <w:t xml:space="preserve">A land quality strategy, supported by a risk informed implementation plan, should consider the control and remediation of any radioactively contaminated land on the site, or arising from the site, through to the site end-state. The strategy and plan should provide the objectives and justified basis for how radioactively contaminated land will be managed to achieve the site end-state. It should cover both known areas of contaminated land and the approach to identification and control of any future findings of areas of contamination. </w:t>
      </w:r>
    </w:p>
    <w:p w14:paraId="3F183D99" w14:textId="17CE9626" w:rsidR="00873182" w:rsidRPr="00CF791A" w:rsidRDefault="00873182" w:rsidP="003861BC">
      <w:pPr>
        <w:pStyle w:val="Paragraph"/>
      </w:pPr>
      <w:r w:rsidRPr="00CF791A">
        <w:t xml:space="preserve">The strategy should ensure that an adequate safety case is in place at all times to demonstrate that the radioactively contaminated land is being managed in an adequately safe condition, informed by the conceptual site model </w:t>
      </w:r>
      <w:r w:rsidR="007A50AA">
        <w:t>(refer to</w:t>
      </w:r>
      <w:r w:rsidRPr="00CF791A">
        <w:t xml:space="preserve"> RL.</w:t>
      </w:r>
      <w:r w:rsidR="003D096C" w:rsidRPr="00CF791A">
        <w:t>2</w:t>
      </w:r>
      <w:r w:rsidRPr="00CF791A">
        <w:t xml:space="preserve">). </w:t>
      </w:r>
    </w:p>
    <w:p w14:paraId="1FFFE496" w14:textId="6B62F4E3" w:rsidR="00873182" w:rsidRPr="00CF791A" w:rsidRDefault="00873182" w:rsidP="003861BC">
      <w:pPr>
        <w:pStyle w:val="Paragraph"/>
      </w:pPr>
      <w:r w:rsidRPr="00CF791A">
        <w:t xml:space="preserve">The strategy should ensure appropriate records needed for the safe and effective control and remediation of radioactively contaminated land, now and in the future, are made and retained </w:t>
      </w:r>
      <w:r w:rsidR="007A50AA">
        <w:t>(refer to</w:t>
      </w:r>
      <w:r w:rsidR="00CE7B0C">
        <w:t xml:space="preserve"> MS.3).</w:t>
      </w:r>
    </w:p>
    <w:p w14:paraId="36F10557" w14:textId="77777777" w:rsidR="00873182" w:rsidRPr="00CF791A" w:rsidRDefault="00873182" w:rsidP="003861BC">
      <w:pPr>
        <w:pStyle w:val="Paragraph"/>
      </w:pPr>
      <w:r w:rsidRPr="00CF791A">
        <w:t>Where possible, any radioactively contaminated land should be remediated to appropriate standards prior to construction commencing upon it, unless it can be justified that no alternative options are reasonably practicable. The land quality strategy should ensure that any new construction is adequately informed by the conceptual site model to ensure control and remediation of radioactively contaminated land on the site is not adversely affected.</w:t>
      </w:r>
    </w:p>
    <w:p w14:paraId="5766B2F2" w14:textId="442D5DFE" w:rsidR="00873182" w:rsidRPr="00AA159A" w:rsidRDefault="00873182" w:rsidP="009B7D05">
      <w:pPr>
        <w:pStyle w:val="SAPHeading"/>
      </w:pPr>
      <w:r w:rsidRPr="00AA159A">
        <w:lastRenderedPageBreak/>
        <w:t>RL.</w:t>
      </w:r>
      <w:r w:rsidR="00F13050" w:rsidRPr="00AA159A">
        <w:t xml:space="preserve">2 </w:t>
      </w:r>
      <w:r w:rsidR="00E7091C" w:rsidRPr="00AA159A">
        <w:t>–</w:t>
      </w:r>
      <w:r w:rsidR="00FB4184" w:rsidRPr="00AA159A">
        <w:t xml:space="preserve"> </w:t>
      </w:r>
      <w:r w:rsidRPr="00AA159A">
        <w:t>Conceptual site model</w:t>
      </w:r>
    </w:p>
    <w:p w14:paraId="19EBCDAD" w14:textId="0B97989A" w:rsidR="00873182" w:rsidRPr="00AA159A" w:rsidRDefault="00873182" w:rsidP="006C4609">
      <w:pPr>
        <w:pStyle w:val="SAPBodyText"/>
      </w:pPr>
      <w:r w:rsidRPr="00AA159A">
        <w:t xml:space="preserve">An </w:t>
      </w:r>
      <w:r w:rsidR="002D645E" w:rsidRPr="00AA159A">
        <w:t>up-to-date</w:t>
      </w:r>
      <w:r w:rsidRPr="00AA159A">
        <w:t xml:space="preserve"> conceptual site model should be maintained to support the safe management of radioactively contaminated land and associated control and remediation activities</w:t>
      </w:r>
    </w:p>
    <w:p w14:paraId="30C85A56" w14:textId="063E1E92" w:rsidR="00873182" w:rsidRPr="00CF791A" w:rsidRDefault="00873182" w:rsidP="00566B7A">
      <w:pPr>
        <w:pStyle w:val="Paragraph"/>
      </w:pPr>
      <w:r w:rsidRPr="00CF791A">
        <w:t>There should be an on-going programme of work to develop and maintain an up-to-date conceptual site model identifying known and potential sources of contamination and the linkages to at risk receptors to inform decisions on its management and remediation. This should include an appropriate programme of surveys, investigation, monitoring and characterisation to characterise known areas of radioactively contaminated land and to detect and characterise any new areas of radioactive contamination that may have resulted from migration from areas of existing contamination or arising from leaks and escapes from other sources etc. This regime should be used to monitor the migration of contamination and effectiveness of remediation methods, as appropriate.</w:t>
      </w:r>
    </w:p>
    <w:p w14:paraId="2FDFD27A" w14:textId="10412C64" w:rsidR="00E243D0" w:rsidRPr="00CF791A" w:rsidRDefault="00E243D0" w:rsidP="00E243D0">
      <w:pPr>
        <w:spacing w:after="0" w:line="240" w:lineRule="auto"/>
        <w:rPr>
          <w:color w:val="22413A"/>
          <w:sz w:val="48"/>
        </w:rPr>
      </w:pPr>
      <w:bookmarkStart w:id="168" w:name="_Toc219206154"/>
    </w:p>
    <w:bookmarkEnd w:id="168"/>
    <w:p w14:paraId="2D0CBFEF" w14:textId="3C529791" w:rsidR="00E243D0" w:rsidRPr="00CF791A" w:rsidRDefault="00E243D0" w:rsidP="00E243D0">
      <w:pPr>
        <w:sectPr w:rsidR="00E243D0" w:rsidRPr="00CF791A" w:rsidSect="00E243D0">
          <w:pgSz w:w="11906" w:h="16838" w:code="9"/>
          <w:pgMar w:top="1440" w:right="1440" w:bottom="1440" w:left="1440" w:header="397" w:footer="397" w:gutter="0"/>
          <w:cols w:space="312"/>
          <w:docGrid w:linePitch="360"/>
        </w:sectPr>
      </w:pPr>
    </w:p>
    <w:p w14:paraId="1F50E79C" w14:textId="783DD5D0" w:rsidR="00E75B0D" w:rsidRDefault="00E75B0D" w:rsidP="000C5554">
      <w:pPr>
        <w:pStyle w:val="Heading1"/>
        <w:numPr>
          <w:ilvl w:val="0"/>
          <w:numId w:val="0"/>
        </w:numPr>
      </w:pPr>
      <w:bookmarkStart w:id="169" w:name="_Toc219206155"/>
      <w:bookmarkStart w:id="170" w:name="_Toc219748182"/>
      <w:bookmarkStart w:id="171" w:name="_Toc235711333"/>
      <w:r>
        <w:lastRenderedPageBreak/>
        <w:t>List of acronyms and a</w:t>
      </w:r>
      <w:r w:rsidR="00E243D0" w:rsidRPr="00AA159A">
        <w:t>bbreviation</w:t>
      </w:r>
      <w:r w:rsidR="000735AA">
        <w:t>s</w:t>
      </w:r>
      <w:bookmarkEnd w:id="169"/>
      <w:bookmarkEnd w:id="170"/>
      <w:bookmarkEnd w:id="171"/>
    </w:p>
    <w:tbl>
      <w:tblPr>
        <w:tblStyle w:val="ONRTable1"/>
        <w:tblW w:w="5000" w:type="pct"/>
        <w:tblInd w:w="0" w:type="dxa"/>
        <w:tblLook w:val="01E0" w:firstRow="1" w:lastRow="1" w:firstColumn="1" w:lastColumn="1" w:noHBand="0" w:noVBand="0"/>
      </w:tblPr>
      <w:tblGrid>
        <w:gridCol w:w="2760"/>
        <w:gridCol w:w="6266"/>
      </w:tblGrid>
      <w:tr w:rsidR="00E243D0" w:rsidRPr="00CF791A" w14:paraId="4DD44FFF" w14:textId="77777777" w:rsidTr="000C5554">
        <w:trPr>
          <w:cnfStyle w:val="100000000000" w:firstRow="1" w:lastRow="0" w:firstColumn="0" w:lastColumn="0" w:oddVBand="0" w:evenVBand="0" w:oddHBand="0" w:evenHBand="0" w:firstRowFirstColumn="0" w:firstRowLastColumn="0" w:lastRowFirstColumn="0" w:lastRowLastColumn="0"/>
          <w:cantSplit/>
          <w:tblHeader/>
        </w:trPr>
        <w:tc>
          <w:tcPr>
            <w:tcW w:w="1529" w:type="pct"/>
          </w:tcPr>
          <w:p w14:paraId="7E15046D" w14:textId="62F8B927" w:rsidR="00E243D0" w:rsidRPr="00CF791A" w:rsidRDefault="00E243D0">
            <w:pPr>
              <w:spacing w:before="60" w:after="60"/>
              <w:rPr>
                <w:szCs w:val="24"/>
              </w:rPr>
            </w:pPr>
            <w:r w:rsidRPr="00CF791A">
              <w:rPr>
                <w:szCs w:val="24"/>
              </w:rPr>
              <w:t>Acronym/abbreviation</w:t>
            </w:r>
          </w:p>
        </w:tc>
        <w:tc>
          <w:tcPr>
            <w:tcW w:w="3471" w:type="pct"/>
          </w:tcPr>
          <w:p w14:paraId="0757C95B" w14:textId="77777777" w:rsidR="00E243D0" w:rsidRPr="00CF791A" w:rsidRDefault="00E243D0">
            <w:pPr>
              <w:spacing w:before="60" w:after="60"/>
              <w:rPr>
                <w:szCs w:val="24"/>
              </w:rPr>
            </w:pPr>
            <w:r w:rsidRPr="00CF791A">
              <w:rPr>
                <w:szCs w:val="24"/>
              </w:rPr>
              <w:t>Description</w:t>
            </w:r>
          </w:p>
        </w:tc>
      </w:tr>
      <w:tr w:rsidR="00E243D0" w:rsidRPr="00CF791A" w14:paraId="24D8CE0D" w14:textId="77777777" w:rsidTr="000C5554">
        <w:trPr>
          <w:cantSplit/>
        </w:trPr>
        <w:tc>
          <w:tcPr>
            <w:tcW w:w="1529" w:type="pct"/>
          </w:tcPr>
          <w:p w14:paraId="650DBC5B" w14:textId="77777777" w:rsidR="00E243D0" w:rsidRPr="00CF791A" w:rsidRDefault="00E243D0">
            <w:pPr>
              <w:spacing w:before="60" w:after="60"/>
              <w:rPr>
                <w:szCs w:val="24"/>
              </w:rPr>
            </w:pPr>
            <w:r w:rsidRPr="00CF791A">
              <w:rPr>
                <w:szCs w:val="24"/>
              </w:rPr>
              <w:t>ACoP</w:t>
            </w:r>
          </w:p>
        </w:tc>
        <w:tc>
          <w:tcPr>
            <w:tcW w:w="3471" w:type="pct"/>
          </w:tcPr>
          <w:p w14:paraId="5AFFDD47" w14:textId="77777777" w:rsidR="00E243D0" w:rsidRPr="00CF791A" w:rsidRDefault="00E243D0">
            <w:pPr>
              <w:spacing w:before="60" w:after="60"/>
              <w:rPr>
                <w:szCs w:val="24"/>
              </w:rPr>
            </w:pPr>
            <w:r w:rsidRPr="00CF791A">
              <w:rPr>
                <w:szCs w:val="24"/>
              </w:rPr>
              <w:t>Approved code of practice</w:t>
            </w:r>
          </w:p>
        </w:tc>
      </w:tr>
      <w:tr w:rsidR="00E243D0" w:rsidRPr="00CF791A" w14:paraId="7FA0B0D6" w14:textId="77777777" w:rsidTr="000C5554">
        <w:trPr>
          <w:cantSplit/>
        </w:trPr>
        <w:tc>
          <w:tcPr>
            <w:tcW w:w="1529" w:type="pct"/>
          </w:tcPr>
          <w:p w14:paraId="2C6599B9" w14:textId="77777777" w:rsidR="00E243D0" w:rsidRPr="00CF791A" w:rsidRDefault="00E243D0">
            <w:pPr>
              <w:spacing w:before="60" w:after="60"/>
              <w:rPr>
                <w:szCs w:val="24"/>
              </w:rPr>
            </w:pPr>
            <w:r w:rsidRPr="00CF791A">
              <w:rPr>
                <w:szCs w:val="24"/>
              </w:rPr>
              <w:t>ALARP</w:t>
            </w:r>
          </w:p>
        </w:tc>
        <w:tc>
          <w:tcPr>
            <w:tcW w:w="3471" w:type="pct"/>
          </w:tcPr>
          <w:p w14:paraId="50C70F3E" w14:textId="77777777" w:rsidR="00E243D0" w:rsidRPr="00CF791A" w:rsidRDefault="00E243D0">
            <w:pPr>
              <w:spacing w:before="60" w:after="60"/>
              <w:rPr>
                <w:szCs w:val="24"/>
              </w:rPr>
            </w:pPr>
            <w:r w:rsidRPr="00CF791A" w:rsidDel="00304871">
              <w:rPr>
                <w:szCs w:val="24"/>
              </w:rPr>
              <w:t xml:space="preserve">As low as reasonably </w:t>
            </w:r>
            <w:r w:rsidRPr="00CF791A">
              <w:rPr>
                <w:szCs w:val="24"/>
              </w:rPr>
              <w:t>practicable</w:t>
            </w:r>
          </w:p>
        </w:tc>
      </w:tr>
      <w:tr w:rsidR="00E243D0" w:rsidRPr="00CF791A" w14:paraId="619F4394" w14:textId="77777777" w:rsidTr="000C5554">
        <w:trPr>
          <w:cantSplit/>
        </w:trPr>
        <w:tc>
          <w:tcPr>
            <w:tcW w:w="1529" w:type="pct"/>
          </w:tcPr>
          <w:p w14:paraId="6BA129DC" w14:textId="77777777" w:rsidR="00E243D0" w:rsidRPr="00CF791A" w:rsidRDefault="00E243D0">
            <w:pPr>
              <w:spacing w:before="60" w:after="60"/>
              <w:rPr>
                <w:szCs w:val="24"/>
              </w:rPr>
            </w:pPr>
            <w:r w:rsidRPr="00CF791A">
              <w:rPr>
                <w:szCs w:val="24"/>
              </w:rPr>
              <w:t>BSL</w:t>
            </w:r>
          </w:p>
        </w:tc>
        <w:tc>
          <w:tcPr>
            <w:tcW w:w="3471" w:type="pct"/>
          </w:tcPr>
          <w:p w14:paraId="20CFDEB3" w14:textId="77777777" w:rsidR="00E243D0" w:rsidRPr="00CF791A" w:rsidRDefault="00E243D0">
            <w:pPr>
              <w:spacing w:before="60" w:after="60"/>
              <w:rPr>
                <w:szCs w:val="24"/>
              </w:rPr>
            </w:pPr>
            <w:r w:rsidRPr="00CF791A">
              <w:rPr>
                <w:szCs w:val="24"/>
              </w:rPr>
              <w:t>Basic safety level</w:t>
            </w:r>
          </w:p>
        </w:tc>
      </w:tr>
      <w:tr w:rsidR="009C131A" w:rsidRPr="00CF791A" w14:paraId="0883606B" w14:textId="77777777" w:rsidTr="000C5554">
        <w:trPr>
          <w:cantSplit/>
        </w:trPr>
        <w:tc>
          <w:tcPr>
            <w:tcW w:w="1529" w:type="pct"/>
          </w:tcPr>
          <w:p w14:paraId="4052A8AA" w14:textId="07B8B258" w:rsidR="009C131A" w:rsidRPr="00CF791A" w:rsidRDefault="009C131A">
            <w:pPr>
              <w:spacing w:before="60" w:after="60"/>
              <w:rPr>
                <w:szCs w:val="24"/>
              </w:rPr>
            </w:pPr>
            <w:r w:rsidRPr="00CF791A">
              <w:rPr>
                <w:szCs w:val="24"/>
              </w:rPr>
              <w:t>BSO</w:t>
            </w:r>
          </w:p>
        </w:tc>
        <w:tc>
          <w:tcPr>
            <w:tcW w:w="3471" w:type="pct"/>
          </w:tcPr>
          <w:p w14:paraId="3E1D639D" w14:textId="05267A45" w:rsidR="009C131A" w:rsidRPr="00CF791A" w:rsidRDefault="009C131A">
            <w:pPr>
              <w:spacing w:before="60" w:after="60"/>
              <w:rPr>
                <w:szCs w:val="24"/>
              </w:rPr>
            </w:pPr>
            <w:r w:rsidRPr="00CF791A">
              <w:rPr>
                <w:szCs w:val="24"/>
              </w:rPr>
              <w:t>Basic safety objective</w:t>
            </w:r>
          </w:p>
        </w:tc>
      </w:tr>
      <w:tr w:rsidR="009C131A" w:rsidRPr="00CF791A" w14:paraId="0300AA18" w14:textId="77777777" w:rsidTr="000C5554">
        <w:trPr>
          <w:cantSplit/>
        </w:trPr>
        <w:tc>
          <w:tcPr>
            <w:tcW w:w="1529" w:type="pct"/>
          </w:tcPr>
          <w:p w14:paraId="3316AF4E" w14:textId="582727F3" w:rsidR="009C131A" w:rsidRPr="00CF791A" w:rsidRDefault="009C131A">
            <w:pPr>
              <w:spacing w:before="60" w:after="60"/>
              <w:rPr>
                <w:szCs w:val="24"/>
              </w:rPr>
            </w:pPr>
            <w:r w:rsidRPr="00CF791A">
              <w:rPr>
                <w:szCs w:val="24"/>
              </w:rPr>
              <w:t>CCF</w:t>
            </w:r>
          </w:p>
        </w:tc>
        <w:tc>
          <w:tcPr>
            <w:tcW w:w="3471" w:type="pct"/>
          </w:tcPr>
          <w:p w14:paraId="0850134A" w14:textId="067A6256" w:rsidR="009C131A" w:rsidRPr="00CF791A" w:rsidRDefault="009C131A">
            <w:pPr>
              <w:spacing w:before="60" w:after="60"/>
              <w:rPr>
                <w:szCs w:val="24"/>
              </w:rPr>
            </w:pPr>
            <w:r w:rsidRPr="00CF791A">
              <w:rPr>
                <w:szCs w:val="24"/>
              </w:rPr>
              <w:t>Common cause failure</w:t>
            </w:r>
          </w:p>
        </w:tc>
      </w:tr>
      <w:tr w:rsidR="009C131A" w:rsidRPr="00CF791A" w14:paraId="325183E7" w14:textId="77777777" w:rsidTr="000C5554">
        <w:trPr>
          <w:cantSplit/>
        </w:trPr>
        <w:tc>
          <w:tcPr>
            <w:tcW w:w="1529" w:type="pct"/>
          </w:tcPr>
          <w:p w14:paraId="3BABDEB2" w14:textId="09432838" w:rsidR="009C131A" w:rsidRPr="00CF791A" w:rsidRDefault="009C131A">
            <w:pPr>
              <w:spacing w:before="60" w:after="60"/>
              <w:rPr>
                <w:szCs w:val="24"/>
              </w:rPr>
            </w:pPr>
            <w:r w:rsidRPr="00CF791A">
              <w:rPr>
                <w:szCs w:val="24"/>
              </w:rPr>
              <w:t>COMAH</w:t>
            </w:r>
          </w:p>
        </w:tc>
        <w:tc>
          <w:tcPr>
            <w:tcW w:w="3471" w:type="pct"/>
          </w:tcPr>
          <w:p w14:paraId="4B8B192C" w14:textId="45A76B48" w:rsidR="009C131A" w:rsidRPr="00CF791A" w:rsidRDefault="009C131A">
            <w:pPr>
              <w:spacing w:before="60" w:after="60"/>
              <w:rPr>
                <w:szCs w:val="24"/>
              </w:rPr>
            </w:pPr>
            <w:r w:rsidRPr="00CF791A">
              <w:rPr>
                <w:szCs w:val="24"/>
              </w:rPr>
              <w:t>Control of Major Accident Hazards Regulations 2015</w:t>
            </w:r>
          </w:p>
        </w:tc>
      </w:tr>
      <w:tr w:rsidR="009C131A" w:rsidRPr="00CF791A" w14:paraId="06627DF8" w14:textId="77777777" w:rsidTr="000C5554">
        <w:trPr>
          <w:cantSplit/>
        </w:trPr>
        <w:tc>
          <w:tcPr>
            <w:tcW w:w="1529" w:type="pct"/>
          </w:tcPr>
          <w:p w14:paraId="7C3E035D" w14:textId="12175D36" w:rsidR="009C131A" w:rsidRPr="00CF791A" w:rsidRDefault="009C131A">
            <w:pPr>
              <w:spacing w:before="60" w:after="60"/>
              <w:rPr>
                <w:szCs w:val="24"/>
              </w:rPr>
            </w:pPr>
            <w:r w:rsidRPr="00CF791A">
              <w:rPr>
                <w:szCs w:val="24"/>
              </w:rPr>
              <w:t>DBA</w:t>
            </w:r>
          </w:p>
        </w:tc>
        <w:tc>
          <w:tcPr>
            <w:tcW w:w="3471" w:type="pct"/>
          </w:tcPr>
          <w:p w14:paraId="72140DCE" w14:textId="60A9D867" w:rsidR="009C131A" w:rsidRPr="00CF791A" w:rsidRDefault="009C131A">
            <w:pPr>
              <w:spacing w:before="60" w:after="60"/>
              <w:rPr>
                <w:szCs w:val="24"/>
              </w:rPr>
            </w:pPr>
            <w:r w:rsidRPr="00CF791A">
              <w:rPr>
                <w:szCs w:val="24"/>
              </w:rPr>
              <w:t>Design basis analysis</w:t>
            </w:r>
          </w:p>
        </w:tc>
      </w:tr>
      <w:tr w:rsidR="009C131A" w:rsidRPr="00CF791A" w14:paraId="545F0E74" w14:textId="77777777" w:rsidTr="000C5554">
        <w:trPr>
          <w:cantSplit/>
        </w:trPr>
        <w:tc>
          <w:tcPr>
            <w:tcW w:w="1529" w:type="pct"/>
          </w:tcPr>
          <w:p w14:paraId="78E600A7" w14:textId="2C7C30C9" w:rsidR="009C131A" w:rsidRPr="00CF791A" w:rsidRDefault="009C131A">
            <w:pPr>
              <w:spacing w:before="60" w:after="60"/>
              <w:rPr>
                <w:szCs w:val="24"/>
              </w:rPr>
            </w:pPr>
            <w:r w:rsidRPr="00CF791A">
              <w:rPr>
                <w:szCs w:val="24"/>
              </w:rPr>
              <w:t>DNSR</w:t>
            </w:r>
          </w:p>
        </w:tc>
        <w:tc>
          <w:tcPr>
            <w:tcW w:w="3471" w:type="pct"/>
          </w:tcPr>
          <w:p w14:paraId="2AB3F231" w14:textId="43C89CEB" w:rsidR="009C131A" w:rsidRPr="00CF791A" w:rsidRDefault="009C131A">
            <w:pPr>
              <w:spacing w:before="60" w:after="60"/>
              <w:rPr>
                <w:szCs w:val="24"/>
              </w:rPr>
            </w:pPr>
            <w:r w:rsidRPr="00CF791A">
              <w:rPr>
                <w:szCs w:val="24"/>
              </w:rPr>
              <w:t>Defence Nuclear Safety Regulator</w:t>
            </w:r>
          </w:p>
        </w:tc>
      </w:tr>
      <w:tr w:rsidR="009C131A" w:rsidRPr="00CF791A" w14:paraId="7D55C21D" w14:textId="77777777" w:rsidTr="000C5554">
        <w:trPr>
          <w:cantSplit/>
        </w:trPr>
        <w:tc>
          <w:tcPr>
            <w:tcW w:w="1529" w:type="pct"/>
          </w:tcPr>
          <w:p w14:paraId="5DBA4B03" w14:textId="559A33F8" w:rsidR="009C131A" w:rsidRPr="00CF791A" w:rsidRDefault="009C131A">
            <w:pPr>
              <w:spacing w:before="60" w:after="60"/>
              <w:rPr>
                <w:szCs w:val="24"/>
              </w:rPr>
            </w:pPr>
            <w:r w:rsidRPr="00CF791A">
              <w:rPr>
                <w:szCs w:val="24"/>
              </w:rPr>
              <w:t>EA(S)R</w:t>
            </w:r>
          </w:p>
        </w:tc>
        <w:tc>
          <w:tcPr>
            <w:tcW w:w="3471" w:type="pct"/>
          </w:tcPr>
          <w:p w14:paraId="4EDC87E2" w14:textId="05BD2207" w:rsidR="009C131A" w:rsidRPr="00CF791A" w:rsidRDefault="009C131A">
            <w:pPr>
              <w:spacing w:before="60" w:after="60"/>
              <w:rPr>
                <w:szCs w:val="24"/>
              </w:rPr>
            </w:pPr>
            <w:r w:rsidRPr="00CF791A">
              <w:rPr>
                <w:szCs w:val="24"/>
              </w:rPr>
              <w:t>Environmental Authorisations (Scotland) Regulations 2018</w:t>
            </w:r>
          </w:p>
        </w:tc>
      </w:tr>
      <w:tr w:rsidR="009C131A" w:rsidRPr="00CF791A" w14:paraId="1D84BFF3" w14:textId="77777777" w:rsidTr="000C5554">
        <w:trPr>
          <w:cantSplit/>
        </w:trPr>
        <w:tc>
          <w:tcPr>
            <w:tcW w:w="1529" w:type="pct"/>
          </w:tcPr>
          <w:p w14:paraId="5E04CAA5" w14:textId="78CA5EA5" w:rsidR="009C131A" w:rsidRPr="00CF791A" w:rsidRDefault="009C131A">
            <w:pPr>
              <w:spacing w:before="60" w:after="60"/>
              <w:rPr>
                <w:szCs w:val="24"/>
              </w:rPr>
            </w:pPr>
            <w:r w:rsidRPr="00CF791A">
              <w:rPr>
                <w:szCs w:val="24"/>
              </w:rPr>
              <w:t>EMIT</w:t>
            </w:r>
          </w:p>
        </w:tc>
        <w:tc>
          <w:tcPr>
            <w:tcW w:w="3471" w:type="pct"/>
          </w:tcPr>
          <w:p w14:paraId="78DEFC5F" w14:textId="5B5FCDAF" w:rsidR="009C131A" w:rsidRPr="00CF791A" w:rsidRDefault="009C131A">
            <w:pPr>
              <w:spacing w:before="60" w:after="60"/>
              <w:rPr>
                <w:szCs w:val="24"/>
              </w:rPr>
            </w:pPr>
            <w:r w:rsidRPr="00CF791A">
              <w:rPr>
                <w:szCs w:val="24"/>
              </w:rPr>
              <w:t>Examination, maintenance, inspection and testing</w:t>
            </w:r>
          </w:p>
        </w:tc>
      </w:tr>
      <w:tr w:rsidR="009C131A" w:rsidRPr="00CF791A" w14:paraId="04154B3C" w14:textId="77777777" w:rsidTr="000C5554">
        <w:trPr>
          <w:cantSplit/>
        </w:trPr>
        <w:tc>
          <w:tcPr>
            <w:tcW w:w="1529" w:type="pct"/>
          </w:tcPr>
          <w:p w14:paraId="08C49570" w14:textId="1D16123F" w:rsidR="009C131A" w:rsidRPr="00CF791A" w:rsidRDefault="009C131A">
            <w:pPr>
              <w:spacing w:before="60" w:after="60"/>
              <w:rPr>
                <w:szCs w:val="24"/>
              </w:rPr>
            </w:pPr>
            <w:r w:rsidRPr="00CF791A">
              <w:rPr>
                <w:szCs w:val="24"/>
              </w:rPr>
              <w:t>EPR16</w:t>
            </w:r>
          </w:p>
        </w:tc>
        <w:tc>
          <w:tcPr>
            <w:tcW w:w="3471" w:type="pct"/>
          </w:tcPr>
          <w:p w14:paraId="78A59A17" w14:textId="4AC5BB56" w:rsidR="009C131A" w:rsidRPr="00CF791A" w:rsidRDefault="009C131A">
            <w:pPr>
              <w:spacing w:before="60" w:after="60"/>
              <w:rPr>
                <w:szCs w:val="24"/>
              </w:rPr>
            </w:pPr>
            <w:r w:rsidRPr="00CF791A">
              <w:rPr>
                <w:szCs w:val="24"/>
              </w:rPr>
              <w:t>The Environmental Permitting (England and Wales) Regulations 2016</w:t>
            </w:r>
          </w:p>
        </w:tc>
      </w:tr>
      <w:tr w:rsidR="00692A7B" w:rsidRPr="00CF791A" w14:paraId="06F41C29" w14:textId="77777777" w:rsidTr="000C5554">
        <w:trPr>
          <w:cantSplit/>
        </w:trPr>
        <w:tc>
          <w:tcPr>
            <w:tcW w:w="1529" w:type="pct"/>
          </w:tcPr>
          <w:p w14:paraId="7BA5C58F" w14:textId="501A1985" w:rsidR="00692A7B" w:rsidRPr="00CF791A" w:rsidRDefault="00692A7B">
            <w:pPr>
              <w:spacing w:before="60" w:after="60"/>
              <w:rPr>
                <w:szCs w:val="24"/>
              </w:rPr>
            </w:pPr>
            <w:r>
              <w:rPr>
                <w:szCs w:val="24"/>
              </w:rPr>
              <w:t>GB</w:t>
            </w:r>
          </w:p>
        </w:tc>
        <w:tc>
          <w:tcPr>
            <w:tcW w:w="3471" w:type="pct"/>
          </w:tcPr>
          <w:p w14:paraId="219908D2" w14:textId="73201522" w:rsidR="00692A7B" w:rsidRPr="00CF791A" w:rsidRDefault="00692A7B">
            <w:pPr>
              <w:spacing w:before="60" w:after="60"/>
              <w:rPr>
                <w:szCs w:val="24"/>
              </w:rPr>
            </w:pPr>
            <w:r>
              <w:rPr>
                <w:szCs w:val="24"/>
              </w:rPr>
              <w:t>Great Britain</w:t>
            </w:r>
          </w:p>
        </w:tc>
      </w:tr>
      <w:tr w:rsidR="009C131A" w:rsidRPr="00CF791A" w14:paraId="4A896FC0" w14:textId="77777777" w:rsidTr="000C5554">
        <w:trPr>
          <w:cantSplit/>
        </w:trPr>
        <w:tc>
          <w:tcPr>
            <w:tcW w:w="1529" w:type="pct"/>
          </w:tcPr>
          <w:p w14:paraId="3FF3FF69" w14:textId="7BFCE555" w:rsidR="009C131A" w:rsidRPr="00CF791A" w:rsidRDefault="009C131A">
            <w:pPr>
              <w:spacing w:before="60" w:after="60"/>
              <w:rPr>
                <w:szCs w:val="24"/>
              </w:rPr>
            </w:pPr>
            <w:r w:rsidRPr="00CF791A">
              <w:rPr>
                <w:szCs w:val="24"/>
              </w:rPr>
              <w:t>HAZOP</w:t>
            </w:r>
          </w:p>
        </w:tc>
        <w:tc>
          <w:tcPr>
            <w:tcW w:w="3471" w:type="pct"/>
          </w:tcPr>
          <w:p w14:paraId="0E9A24FB" w14:textId="2B91D5FC" w:rsidR="009C131A" w:rsidRPr="00CF791A" w:rsidRDefault="009C131A">
            <w:pPr>
              <w:spacing w:before="60" w:after="60"/>
              <w:rPr>
                <w:szCs w:val="24"/>
              </w:rPr>
            </w:pPr>
            <w:r w:rsidRPr="00CF791A">
              <w:rPr>
                <w:szCs w:val="24"/>
              </w:rPr>
              <w:t>Hazard and Operability study</w:t>
            </w:r>
          </w:p>
        </w:tc>
      </w:tr>
      <w:tr w:rsidR="00A06E26" w:rsidRPr="00CF791A" w14:paraId="4582979A" w14:textId="77777777" w:rsidTr="000C5554">
        <w:trPr>
          <w:cantSplit/>
        </w:trPr>
        <w:tc>
          <w:tcPr>
            <w:tcW w:w="1529" w:type="pct"/>
          </w:tcPr>
          <w:p w14:paraId="7399384E" w14:textId="71D7D6BB" w:rsidR="00A06E26" w:rsidRPr="00CF791A" w:rsidRDefault="00A06E26">
            <w:pPr>
              <w:spacing w:before="60" w:after="60"/>
              <w:rPr>
                <w:szCs w:val="24"/>
              </w:rPr>
            </w:pPr>
            <w:r>
              <w:rPr>
                <w:szCs w:val="24"/>
              </w:rPr>
              <w:t>HBSC</w:t>
            </w:r>
          </w:p>
        </w:tc>
        <w:tc>
          <w:tcPr>
            <w:tcW w:w="3471" w:type="pct"/>
          </w:tcPr>
          <w:p w14:paraId="5811FF79" w14:textId="4384008E" w:rsidR="00A06E26" w:rsidRPr="00CF791A" w:rsidRDefault="00A06E26">
            <w:pPr>
              <w:spacing w:before="60" w:after="60"/>
              <w:rPr>
                <w:szCs w:val="24"/>
              </w:rPr>
            </w:pPr>
            <w:r>
              <w:rPr>
                <w:szCs w:val="24"/>
              </w:rPr>
              <w:t>Human Based Safety Claim</w:t>
            </w:r>
          </w:p>
        </w:tc>
      </w:tr>
      <w:tr w:rsidR="009C131A" w:rsidRPr="00CF791A" w14:paraId="6CE998E8" w14:textId="77777777" w:rsidTr="000C5554">
        <w:trPr>
          <w:cantSplit/>
        </w:trPr>
        <w:tc>
          <w:tcPr>
            <w:tcW w:w="1529" w:type="pct"/>
          </w:tcPr>
          <w:p w14:paraId="1590E5EE" w14:textId="49FB543B" w:rsidR="009C131A" w:rsidRPr="00CF791A" w:rsidRDefault="009C131A">
            <w:pPr>
              <w:spacing w:before="60" w:after="60"/>
              <w:rPr>
                <w:szCs w:val="24"/>
              </w:rPr>
            </w:pPr>
            <w:r w:rsidRPr="00CF791A">
              <w:rPr>
                <w:szCs w:val="24"/>
              </w:rPr>
              <w:t>HECA</w:t>
            </w:r>
          </w:p>
        </w:tc>
        <w:tc>
          <w:tcPr>
            <w:tcW w:w="3471" w:type="pct"/>
          </w:tcPr>
          <w:p w14:paraId="72D19261" w14:textId="7C469130" w:rsidR="009C131A" w:rsidRPr="00CF791A" w:rsidRDefault="009C131A">
            <w:pPr>
              <w:spacing w:before="60" w:after="60"/>
              <w:rPr>
                <w:szCs w:val="24"/>
              </w:rPr>
            </w:pPr>
            <w:r w:rsidRPr="00CF791A">
              <w:rPr>
                <w:szCs w:val="24"/>
              </w:rPr>
              <w:t>Hazard evaluation and consequence assessment</w:t>
            </w:r>
          </w:p>
        </w:tc>
      </w:tr>
      <w:tr w:rsidR="0057015D" w:rsidRPr="00CF791A" w14:paraId="4A019B2C" w14:textId="77777777" w:rsidTr="000C5554">
        <w:trPr>
          <w:cantSplit/>
        </w:trPr>
        <w:tc>
          <w:tcPr>
            <w:tcW w:w="1529" w:type="pct"/>
          </w:tcPr>
          <w:p w14:paraId="1B4D4743" w14:textId="0ED06146" w:rsidR="0057015D" w:rsidRPr="00CF791A" w:rsidRDefault="0057015D">
            <w:pPr>
              <w:spacing w:before="60" w:after="60"/>
              <w:rPr>
                <w:szCs w:val="24"/>
              </w:rPr>
            </w:pPr>
            <w:r>
              <w:rPr>
                <w:szCs w:val="24"/>
              </w:rPr>
              <w:t>HRA</w:t>
            </w:r>
          </w:p>
        </w:tc>
        <w:tc>
          <w:tcPr>
            <w:tcW w:w="3471" w:type="pct"/>
          </w:tcPr>
          <w:p w14:paraId="7EB39254" w14:textId="4A968E26" w:rsidR="0057015D" w:rsidRPr="00CF791A" w:rsidRDefault="0057015D">
            <w:pPr>
              <w:spacing w:before="60" w:after="60"/>
              <w:rPr>
                <w:szCs w:val="24"/>
              </w:rPr>
            </w:pPr>
            <w:r>
              <w:rPr>
                <w:szCs w:val="24"/>
              </w:rPr>
              <w:t>Human Reliability Analysis</w:t>
            </w:r>
          </w:p>
        </w:tc>
      </w:tr>
      <w:tr w:rsidR="009C131A" w:rsidRPr="00CF791A" w14:paraId="34D6237B" w14:textId="77777777" w:rsidTr="000C5554">
        <w:trPr>
          <w:cantSplit/>
        </w:trPr>
        <w:tc>
          <w:tcPr>
            <w:tcW w:w="1529" w:type="pct"/>
          </w:tcPr>
          <w:p w14:paraId="589BFE48" w14:textId="4E04D66E" w:rsidR="009C131A" w:rsidRPr="00CF791A" w:rsidRDefault="009C131A">
            <w:pPr>
              <w:spacing w:before="60" w:after="60"/>
              <w:rPr>
                <w:szCs w:val="24"/>
              </w:rPr>
            </w:pPr>
            <w:r w:rsidRPr="00CF791A">
              <w:rPr>
                <w:szCs w:val="24"/>
              </w:rPr>
              <w:t>HSE</w:t>
            </w:r>
          </w:p>
        </w:tc>
        <w:tc>
          <w:tcPr>
            <w:tcW w:w="3471" w:type="pct"/>
          </w:tcPr>
          <w:p w14:paraId="7376EFB0" w14:textId="4B782573" w:rsidR="009C131A" w:rsidRPr="00CF791A" w:rsidRDefault="009C131A">
            <w:pPr>
              <w:spacing w:before="60" w:after="60"/>
              <w:rPr>
                <w:szCs w:val="24"/>
              </w:rPr>
            </w:pPr>
            <w:r w:rsidRPr="00CF791A">
              <w:rPr>
                <w:szCs w:val="24"/>
              </w:rPr>
              <w:t>Health and Safety Executive</w:t>
            </w:r>
          </w:p>
        </w:tc>
      </w:tr>
      <w:tr w:rsidR="009C131A" w:rsidRPr="00CF791A" w14:paraId="383BB4B5" w14:textId="77777777" w:rsidTr="000C5554">
        <w:trPr>
          <w:cantSplit/>
        </w:trPr>
        <w:tc>
          <w:tcPr>
            <w:tcW w:w="1529" w:type="pct"/>
          </w:tcPr>
          <w:p w14:paraId="161BF8EF" w14:textId="7AFE96C4" w:rsidR="009C131A" w:rsidRPr="00CF791A" w:rsidRDefault="009C131A">
            <w:pPr>
              <w:spacing w:before="60" w:after="60"/>
              <w:rPr>
                <w:szCs w:val="24"/>
              </w:rPr>
            </w:pPr>
            <w:r w:rsidRPr="00CF791A">
              <w:rPr>
                <w:szCs w:val="24"/>
              </w:rPr>
              <w:t>HSWA/The HSW Act</w:t>
            </w:r>
          </w:p>
        </w:tc>
        <w:tc>
          <w:tcPr>
            <w:tcW w:w="3471" w:type="pct"/>
          </w:tcPr>
          <w:p w14:paraId="4A2994BB" w14:textId="347ECDA1" w:rsidR="009C131A" w:rsidRPr="00CF791A" w:rsidRDefault="009C131A">
            <w:pPr>
              <w:spacing w:before="60" w:after="60"/>
              <w:rPr>
                <w:szCs w:val="24"/>
              </w:rPr>
            </w:pPr>
            <w:r w:rsidRPr="00CF791A">
              <w:rPr>
                <w:szCs w:val="24"/>
              </w:rPr>
              <w:t>The Health and Safety at Work etc. Act 1974</w:t>
            </w:r>
          </w:p>
        </w:tc>
      </w:tr>
      <w:tr w:rsidR="009C131A" w:rsidRPr="00CF791A" w14:paraId="34DAEC4B" w14:textId="77777777" w:rsidTr="000C5554">
        <w:trPr>
          <w:cantSplit/>
        </w:trPr>
        <w:tc>
          <w:tcPr>
            <w:tcW w:w="1529" w:type="pct"/>
          </w:tcPr>
          <w:p w14:paraId="6590575F" w14:textId="3BDCD714" w:rsidR="009C131A" w:rsidRPr="00CF791A" w:rsidRDefault="009C131A">
            <w:pPr>
              <w:spacing w:before="60" w:after="60"/>
              <w:rPr>
                <w:szCs w:val="24"/>
              </w:rPr>
            </w:pPr>
            <w:r w:rsidRPr="00CF791A">
              <w:rPr>
                <w:szCs w:val="24"/>
              </w:rPr>
              <w:t>IAEA</w:t>
            </w:r>
          </w:p>
        </w:tc>
        <w:tc>
          <w:tcPr>
            <w:tcW w:w="3471" w:type="pct"/>
          </w:tcPr>
          <w:p w14:paraId="6D74CC9F" w14:textId="3B87DFBE" w:rsidR="009C131A" w:rsidRPr="00CF791A" w:rsidRDefault="009C131A">
            <w:pPr>
              <w:spacing w:before="60" w:after="60"/>
              <w:rPr>
                <w:szCs w:val="24"/>
              </w:rPr>
            </w:pPr>
            <w:r w:rsidRPr="00CF791A">
              <w:rPr>
                <w:szCs w:val="24"/>
              </w:rPr>
              <w:t>International Atomic Energy Agency</w:t>
            </w:r>
          </w:p>
        </w:tc>
      </w:tr>
      <w:tr w:rsidR="009C131A" w:rsidRPr="00CF791A" w14:paraId="01735D46" w14:textId="77777777" w:rsidTr="000C5554">
        <w:trPr>
          <w:cantSplit/>
        </w:trPr>
        <w:tc>
          <w:tcPr>
            <w:tcW w:w="1529" w:type="pct"/>
          </w:tcPr>
          <w:p w14:paraId="4DA7CEE3" w14:textId="0A65C8AF" w:rsidR="009C131A" w:rsidRPr="00CF791A" w:rsidRDefault="009C131A">
            <w:pPr>
              <w:spacing w:before="60" w:after="60"/>
              <w:rPr>
                <w:szCs w:val="24"/>
              </w:rPr>
            </w:pPr>
            <w:r w:rsidRPr="00CF791A">
              <w:rPr>
                <w:szCs w:val="24"/>
              </w:rPr>
              <w:t>ILO</w:t>
            </w:r>
          </w:p>
        </w:tc>
        <w:tc>
          <w:tcPr>
            <w:tcW w:w="3471" w:type="pct"/>
          </w:tcPr>
          <w:p w14:paraId="39B8CBE8" w14:textId="46999DE5" w:rsidR="009C131A" w:rsidRPr="00CF791A" w:rsidRDefault="009C131A">
            <w:pPr>
              <w:spacing w:before="60" w:after="60"/>
              <w:rPr>
                <w:szCs w:val="24"/>
              </w:rPr>
            </w:pPr>
            <w:r w:rsidRPr="00CF791A">
              <w:rPr>
                <w:szCs w:val="24"/>
              </w:rPr>
              <w:t>International Labour Organisation</w:t>
            </w:r>
          </w:p>
        </w:tc>
      </w:tr>
      <w:tr w:rsidR="009C131A" w:rsidRPr="00CF791A" w14:paraId="3953F113" w14:textId="77777777" w:rsidTr="000C5554">
        <w:trPr>
          <w:cantSplit/>
        </w:trPr>
        <w:tc>
          <w:tcPr>
            <w:tcW w:w="1529" w:type="pct"/>
          </w:tcPr>
          <w:p w14:paraId="41CDFFAD" w14:textId="74B3789D" w:rsidR="009C131A" w:rsidRPr="00CF791A" w:rsidRDefault="009C131A">
            <w:pPr>
              <w:spacing w:before="60" w:after="60"/>
              <w:rPr>
                <w:szCs w:val="24"/>
              </w:rPr>
            </w:pPr>
            <w:r w:rsidRPr="00CF791A">
              <w:rPr>
                <w:szCs w:val="24"/>
              </w:rPr>
              <w:t>IRR17</w:t>
            </w:r>
          </w:p>
        </w:tc>
        <w:tc>
          <w:tcPr>
            <w:tcW w:w="3471" w:type="pct"/>
          </w:tcPr>
          <w:p w14:paraId="16D66100" w14:textId="07ECA6B1" w:rsidR="009C131A" w:rsidRPr="00CF791A" w:rsidRDefault="009C131A">
            <w:pPr>
              <w:spacing w:before="60" w:after="60"/>
              <w:rPr>
                <w:szCs w:val="24"/>
              </w:rPr>
            </w:pPr>
            <w:r w:rsidRPr="00CF791A">
              <w:rPr>
                <w:szCs w:val="24"/>
              </w:rPr>
              <w:t>Ionising Radiations Regulations 2017</w:t>
            </w:r>
          </w:p>
        </w:tc>
      </w:tr>
      <w:tr w:rsidR="00D56483" w:rsidRPr="00CF791A" w14:paraId="37C93316" w14:textId="77777777" w:rsidTr="000C5554">
        <w:trPr>
          <w:cantSplit/>
        </w:trPr>
        <w:tc>
          <w:tcPr>
            <w:tcW w:w="1529" w:type="pct"/>
          </w:tcPr>
          <w:p w14:paraId="271083D5" w14:textId="553D5887" w:rsidR="00D56483" w:rsidRPr="00CF791A" w:rsidRDefault="00D56483">
            <w:pPr>
              <w:spacing w:before="60" w:after="60"/>
              <w:rPr>
                <w:szCs w:val="24"/>
              </w:rPr>
            </w:pPr>
            <w:r>
              <w:rPr>
                <w:szCs w:val="24"/>
              </w:rPr>
              <w:t>LC</w:t>
            </w:r>
          </w:p>
        </w:tc>
        <w:tc>
          <w:tcPr>
            <w:tcW w:w="3471" w:type="pct"/>
          </w:tcPr>
          <w:p w14:paraId="3F9E5254" w14:textId="0E772342" w:rsidR="00D56483" w:rsidRPr="00CF791A" w:rsidRDefault="001B161A">
            <w:pPr>
              <w:spacing w:before="60" w:after="60"/>
              <w:rPr>
                <w:szCs w:val="24"/>
              </w:rPr>
            </w:pPr>
            <w:r w:rsidRPr="001B161A">
              <w:rPr>
                <w:szCs w:val="24"/>
              </w:rPr>
              <w:t>Licence Condition</w:t>
            </w:r>
          </w:p>
        </w:tc>
      </w:tr>
      <w:tr w:rsidR="009C131A" w:rsidRPr="00CF791A" w14:paraId="2371F0E4" w14:textId="77777777" w:rsidTr="000C5554">
        <w:trPr>
          <w:cantSplit/>
        </w:trPr>
        <w:tc>
          <w:tcPr>
            <w:tcW w:w="1529" w:type="pct"/>
          </w:tcPr>
          <w:p w14:paraId="30D53222" w14:textId="155F01E8" w:rsidR="009C131A" w:rsidRPr="00CF791A" w:rsidRDefault="009C131A" w:rsidP="00975911">
            <w:pPr>
              <w:spacing w:before="60" w:after="60"/>
              <w:rPr>
                <w:szCs w:val="24"/>
              </w:rPr>
            </w:pPr>
            <w:r w:rsidRPr="00CF791A">
              <w:lastRenderedPageBreak/>
              <w:t>LL</w:t>
            </w:r>
          </w:p>
        </w:tc>
        <w:tc>
          <w:tcPr>
            <w:tcW w:w="3471" w:type="pct"/>
          </w:tcPr>
          <w:p w14:paraId="7DF10C4D" w14:textId="3232FEF8" w:rsidR="009C131A" w:rsidRPr="00CF791A" w:rsidRDefault="009C131A" w:rsidP="00975911">
            <w:pPr>
              <w:spacing w:before="60" w:after="60"/>
              <w:rPr>
                <w:szCs w:val="24"/>
              </w:rPr>
            </w:pPr>
            <w:r w:rsidRPr="00CF791A">
              <w:t>Legal Limit</w:t>
            </w:r>
          </w:p>
        </w:tc>
      </w:tr>
      <w:tr w:rsidR="009C131A" w:rsidRPr="00CF791A" w14:paraId="0FA0BF9C" w14:textId="77777777" w:rsidTr="000C5554">
        <w:trPr>
          <w:cantSplit/>
        </w:trPr>
        <w:tc>
          <w:tcPr>
            <w:tcW w:w="1529" w:type="pct"/>
          </w:tcPr>
          <w:p w14:paraId="645448F5" w14:textId="76B411A7" w:rsidR="009C131A" w:rsidRPr="00CF791A" w:rsidRDefault="009C131A">
            <w:pPr>
              <w:spacing w:before="60" w:after="60"/>
              <w:rPr>
                <w:szCs w:val="24"/>
              </w:rPr>
            </w:pPr>
            <w:r w:rsidRPr="00CF791A">
              <w:rPr>
                <w:szCs w:val="24"/>
              </w:rPr>
              <w:t>the Management Regulations</w:t>
            </w:r>
          </w:p>
        </w:tc>
        <w:tc>
          <w:tcPr>
            <w:tcW w:w="3471" w:type="pct"/>
          </w:tcPr>
          <w:p w14:paraId="107FBDCB" w14:textId="6FDC433D" w:rsidR="009C131A" w:rsidRPr="00CF791A" w:rsidRDefault="009C131A">
            <w:pPr>
              <w:spacing w:before="60" w:after="60"/>
              <w:rPr>
                <w:szCs w:val="24"/>
              </w:rPr>
            </w:pPr>
            <w:r w:rsidRPr="00CF791A">
              <w:rPr>
                <w:szCs w:val="24"/>
              </w:rPr>
              <w:t>The Management of Health and Safety at Work Regulations 1999</w:t>
            </w:r>
          </w:p>
        </w:tc>
      </w:tr>
      <w:tr w:rsidR="009C131A" w:rsidRPr="00CF791A" w14:paraId="7D87C97C" w14:textId="77777777" w:rsidTr="000C5554">
        <w:trPr>
          <w:cantSplit/>
        </w:trPr>
        <w:tc>
          <w:tcPr>
            <w:tcW w:w="1529" w:type="pct"/>
          </w:tcPr>
          <w:p w14:paraId="455F8313" w14:textId="299256F2" w:rsidR="009C131A" w:rsidRPr="00CF791A" w:rsidRDefault="009C131A">
            <w:pPr>
              <w:spacing w:before="60" w:after="60"/>
              <w:rPr>
                <w:szCs w:val="24"/>
              </w:rPr>
            </w:pPr>
            <w:r w:rsidRPr="00CF791A">
              <w:rPr>
                <w:szCs w:val="24"/>
              </w:rPr>
              <w:t>NIA</w:t>
            </w:r>
          </w:p>
        </w:tc>
        <w:tc>
          <w:tcPr>
            <w:tcW w:w="3471" w:type="pct"/>
          </w:tcPr>
          <w:p w14:paraId="7C344D56" w14:textId="1AD5CDC4" w:rsidR="009C131A" w:rsidRPr="00CF791A" w:rsidRDefault="009C131A">
            <w:pPr>
              <w:spacing w:before="60" w:after="60"/>
              <w:rPr>
                <w:szCs w:val="24"/>
              </w:rPr>
            </w:pPr>
            <w:r w:rsidRPr="00CF791A">
              <w:rPr>
                <w:szCs w:val="24"/>
              </w:rPr>
              <w:t>The Nuclear Installations Act 1965 (as amended)</w:t>
            </w:r>
          </w:p>
        </w:tc>
      </w:tr>
      <w:tr w:rsidR="009C131A" w:rsidRPr="00CF791A" w14:paraId="12280A2F" w14:textId="77777777" w:rsidTr="000C5554">
        <w:trPr>
          <w:cantSplit/>
        </w:trPr>
        <w:tc>
          <w:tcPr>
            <w:tcW w:w="1529" w:type="pct"/>
          </w:tcPr>
          <w:p w14:paraId="5D4993F4" w14:textId="1785CA8A" w:rsidR="009C131A" w:rsidRPr="00CF791A" w:rsidRDefault="009C131A">
            <w:pPr>
              <w:spacing w:before="60" w:after="60"/>
              <w:rPr>
                <w:szCs w:val="24"/>
              </w:rPr>
            </w:pPr>
            <w:r w:rsidRPr="00CF791A">
              <w:rPr>
                <w:szCs w:val="24"/>
              </w:rPr>
              <w:t>NRW</w:t>
            </w:r>
          </w:p>
        </w:tc>
        <w:tc>
          <w:tcPr>
            <w:tcW w:w="3471" w:type="pct"/>
          </w:tcPr>
          <w:p w14:paraId="6ABDE5DC" w14:textId="5E764DBD" w:rsidR="009C131A" w:rsidRPr="00CF791A" w:rsidRDefault="009C131A">
            <w:pPr>
              <w:spacing w:before="60" w:after="60"/>
              <w:rPr>
                <w:szCs w:val="24"/>
              </w:rPr>
            </w:pPr>
            <w:r w:rsidRPr="00CF791A">
              <w:rPr>
                <w:szCs w:val="24"/>
              </w:rPr>
              <w:t>Natural Resources Wales</w:t>
            </w:r>
          </w:p>
        </w:tc>
      </w:tr>
      <w:tr w:rsidR="001A1DB4" w:rsidRPr="00CF791A" w14:paraId="7F09BF63" w14:textId="77777777" w:rsidTr="000C5554">
        <w:trPr>
          <w:cantSplit/>
        </w:trPr>
        <w:tc>
          <w:tcPr>
            <w:tcW w:w="1529" w:type="pct"/>
          </w:tcPr>
          <w:p w14:paraId="2FC93F9F" w14:textId="76BAF08F" w:rsidR="001A1DB4" w:rsidRPr="00CF791A" w:rsidRDefault="001A1DB4">
            <w:pPr>
              <w:spacing w:before="60" w:after="60"/>
              <w:rPr>
                <w:szCs w:val="24"/>
              </w:rPr>
            </w:pPr>
            <w:r>
              <w:rPr>
                <w:szCs w:val="24"/>
              </w:rPr>
              <w:t>ONMACS</w:t>
            </w:r>
          </w:p>
        </w:tc>
        <w:tc>
          <w:tcPr>
            <w:tcW w:w="3471" w:type="pct"/>
          </w:tcPr>
          <w:p w14:paraId="569A7866" w14:textId="73C1DD32" w:rsidR="001A1DB4" w:rsidRPr="00CF791A" w:rsidRDefault="001E43DA">
            <w:pPr>
              <w:spacing w:before="60" w:after="60"/>
              <w:rPr>
                <w:szCs w:val="24"/>
              </w:rPr>
            </w:pPr>
            <w:r>
              <w:rPr>
                <w:szCs w:val="24"/>
              </w:rPr>
              <w:t xml:space="preserve">ONR </w:t>
            </w:r>
            <w:r w:rsidR="007D5198" w:rsidRPr="007D5198">
              <w:rPr>
                <w:szCs w:val="24"/>
              </w:rPr>
              <w:t>Nuclear Material Accountancy, Control and Safeguards Assessment Principles</w:t>
            </w:r>
          </w:p>
        </w:tc>
      </w:tr>
      <w:tr w:rsidR="009C131A" w:rsidRPr="00CF791A" w14:paraId="2459A57C" w14:textId="77777777" w:rsidTr="000C5554">
        <w:trPr>
          <w:cantSplit/>
        </w:trPr>
        <w:tc>
          <w:tcPr>
            <w:tcW w:w="1529" w:type="pct"/>
          </w:tcPr>
          <w:p w14:paraId="251B57B6" w14:textId="0E075DC2" w:rsidR="009C131A" w:rsidRPr="00CF791A" w:rsidRDefault="009C131A">
            <w:pPr>
              <w:spacing w:before="60" w:after="60"/>
              <w:rPr>
                <w:szCs w:val="24"/>
              </w:rPr>
            </w:pPr>
            <w:r w:rsidRPr="00CF791A">
              <w:rPr>
                <w:szCs w:val="24"/>
              </w:rPr>
              <w:t>ONR</w:t>
            </w:r>
          </w:p>
        </w:tc>
        <w:tc>
          <w:tcPr>
            <w:tcW w:w="3471" w:type="pct"/>
          </w:tcPr>
          <w:p w14:paraId="2500A228" w14:textId="060995EA" w:rsidR="009C131A" w:rsidRPr="00CF791A" w:rsidRDefault="009C131A">
            <w:pPr>
              <w:spacing w:before="60" w:after="60"/>
              <w:rPr>
                <w:szCs w:val="24"/>
              </w:rPr>
            </w:pPr>
            <w:r w:rsidRPr="00CF791A">
              <w:rPr>
                <w:szCs w:val="24"/>
              </w:rPr>
              <w:t>Office for Nuclear Regulation</w:t>
            </w:r>
          </w:p>
        </w:tc>
      </w:tr>
      <w:tr w:rsidR="009C131A" w:rsidRPr="00CF791A" w14:paraId="604F0C94" w14:textId="77777777" w:rsidTr="000C5554">
        <w:trPr>
          <w:cantSplit/>
        </w:trPr>
        <w:tc>
          <w:tcPr>
            <w:tcW w:w="1529" w:type="pct"/>
          </w:tcPr>
          <w:p w14:paraId="1E2E4E6E" w14:textId="1079FC4E" w:rsidR="009C131A" w:rsidRPr="00CF791A" w:rsidRDefault="009C131A">
            <w:pPr>
              <w:spacing w:before="60" w:after="60"/>
              <w:rPr>
                <w:szCs w:val="24"/>
              </w:rPr>
            </w:pPr>
            <w:r w:rsidRPr="00CF791A">
              <w:rPr>
                <w:szCs w:val="24"/>
              </w:rPr>
              <w:t>Pa</w:t>
            </w:r>
          </w:p>
        </w:tc>
        <w:tc>
          <w:tcPr>
            <w:tcW w:w="3471" w:type="pct"/>
          </w:tcPr>
          <w:p w14:paraId="71839744" w14:textId="15C90203" w:rsidR="009C131A" w:rsidRPr="00CF791A" w:rsidRDefault="009C131A">
            <w:pPr>
              <w:spacing w:before="60" w:after="60"/>
              <w:rPr>
                <w:szCs w:val="24"/>
              </w:rPr>
            </w:pPr>
            <w:r w:rsidRPr="00CF791A">
              <w:rPr>
                <w:szCs w:val="24"/>
              </w:rPr>
              <w:t>Per annum</w:t>
            </w:r>
          </w:p>
        </w:tc>
      </w:tr>
      <w:tr w:rsidR="009C131A" w:rsidRPr="00CF791A" w14:paraId="46EC88F5" w14:textId="77777777" w:rsidTr="000C5554">
        <w:trPr>
          <w:cantSplit/>
        </w:trPr>
        <w:tc>
          <w:tcPr>
            <w:tcW w:w="1529" w:type="pct"/>
          </w:tcPr>
          <w:p w14:paraId="53A273CA" w14:textId="62D6E0F7" w:rsidR="009C131A" w:rsidRPr="00CF791A" w:rsidRDefault="009C131A">
            <w:pPr>
              <w:spacing w:before="60" w:after="60"/>
              <w:rPr>
                <w:szCs w:val="24"/>
              </w:rPr>
            </w:pPr>
            <w:r w:rsidRPr="00CF791A">
              <w:rPr>
                <w:szCs w:val="24"/>
              </w:rPr>
              <w:t>PSA</w:t>
            </w:r>
          </w:p>
        </w:tc>
        <w:tc>
          <w:tcPr>
            <w:tcW w:w="3471" w:type="pct"/>
          </w:tcPr>
          <w:p w14:paraId="1A40E70C" w14:textId="44377847" w:rsidR="009C131A" w:rsidRPr="00CF791A" w:rsidRDefault="009C131A">
            <w:pPr>
              <w:spacing w:before="60" w:after="60"/>
              <w:rPr>
                <w:szCs w:val="24"/>
              </w:rPr>
            </w:pPr>
            <w:r w:rsidRPr="00CF791A">
              <w:rPr>
                <w:szCs w:val="24"/>
              </w:rPr>
              <w:t>Probabilistic safety analysis</w:t>
            </w:r>
          </w:p>
        </w:tc>
      </w:tr>
      <w:tr w:rsidR="009C131A" w:rsidRPr="00CF791A" w14:paraId="307A735E" w14:textId="77777777" w:rsidTr="000C5554">
        <w:trPr>
          <w:cantSplit/>
        </w:trPr>
        <w:tc>
          <w:tcPr>
            <w:tcW w:w="1529" w:type="pct"/>
          </w:tcPr>
          <w:p w14:paraId="7B4EF16C" w14:textId="2E72A678" w:rsidR="009C131A" w:rsidRPr="00CF791A" w:rsidRDefault="009C131A">
            <w:pPr>
              <w:spacing w:before="60" w:after="60"/>
              <w:rPr>
                <w:szCs w:val="24"/>
              </w:rPr>
            </w:pPr>
            <w:r w:rsidRPr="00CF791A">
              <w:rPr>
                <w:szCs w:val="24"/>
              </w:rPr>
              <w:t>PSR</w:t>
            </w:r>
          </w:p>
        </w:tc>
        <w:tc>
          <w:tcPr>
            <w:tcW w:w="3471" w:type="pct"/>
          </w:tcPr>
          <w:p w14:paraId="1E90B4F2" w14:textId="06182F2D" w:rsidR="009C131A" w:rsidRPr="00CF791A" w:rsidRDefault="009C131A">
            <w:pPr>
              <w:spacing w:before="60" w:after="60"/>
              <w:rPr>
                <w:szCs w:val="24"/>
              </w:rPr>
            </w:pPr>
            <w:r w:rsidRPr="00CF791A">
              <w:rPr>
                <w:szCs w:val="24"/>
              </w:rPr>
              <w:t>Periodic safety review</w:t>
            </w:r>
          </w:p>
        </w:tc>
      </w:tr>
      <w:tr w:rsidR="009C131A" w:rsidRPr="00CF791A" w14:paraId="02C76571" w14:textId="77777777" w:rsidTr="000C5554">
        <w:trPr>
          <w:cantSplit/>
        </w:trPr>
        <w:tc>
          <w:tcPr>
            <w:tcW w:w="1529" w:type="pct"/>
          </w:tcPr>
          <w:p w14:paraId="64A8B39D" w14:textId="0B4D4653" w:rsidR="009C131A" w:rsidRPr="00CF791A" w:rsidRDefault="009C131A">
            <w:pPr>
              <w:spacing w:before="60" w:after="60"/>
              <w:rPr>
                <w:szCs w:val="24"/>
              </w:rPr>
            </w:pPr>
            <w:r w:rsidRPr="00CF791A">
              <w:rPr>
                <w:szCs w:val="24"/>
              </w:rPr>
              <w:t>R2P2</w:t>
            </w:r>
          </w:p>
        </w:tc>
        <w:tc>
          <w:tcPr>
            <w:tcW w:w="3471" w:type="pct"/>
          </w:tcPr>
          <w:p w14:paraId="36FF7F67" w14:textId="55345AC3" w:rsidR="009C131A" w:rsidRPr="00CF791A" w:rsidRDefault="009C131A">
            <w:pPr>
              <w:spacing w:before="60" w:after="60"/>
              <w:rPr>
                <w:szCs w:val="24"/>
              </w:rPr>
            </w:pPr>
            <w:r w:rsidRPr="00CF791A">
              <w:rPr>
                <w:szCs w:val="24"/>
              </w:rPr>
              <w:t>Reducing risks, protecting people: HSE’s decision making process</w:t>
            </w:r>
          </w:p>
        </w:tc>
      </w:tr>
      <w:tr w:rsidR="00981439" w:rsidRPr="00CF791A" w14:paraId="3469C650" w14:textId="77777777" w:rsidTr="000C5554">
        <w:trPr>
          <w:cantSplit/>
        </w:trPr>
        <w:tc>
          <w:tcPr>
            <w:tcW w:w="1529" w:type="pct"/>
          </w:tcPr>
          <w:p w14:paraId="1F3EBCA8" w14:textId="5489C636" w:rsidR="00981439" w:rsidRPr="00CF791A" w:rsidRDefault="00981439">
            <w:pPr>
              <w:spacing w:before="60" w:after="60"/>
              <w:rPr>
                <w:szCs w:val="24"/>
              </w:rPr>
            </w:pPr>
            <w:r>
              <w:rPr>
                <w:szCs w:val="24"/>
              </w:rPr>
              <w:t>RFL</w:t>
            </w:r>
          </w:p>
        </w:tc>
        <w:tc>
          <w:tcPr>
            <w:tcW w:w="3471" w:type="pct"/>
          </w:tcPr>
          <w:p w14:paraId="44D82E01" w14:textId="6E57ECEA" w:rsidR="00981439" w:rsidRPr="00CF791A" w:rsidRDefault="00981439">
            <w:pPr>
              <w:spacing w:before="60" w:after="60"/>
              <w:rPr>
                <w:szCs w:val="24"/>
              </w:rPr>
            </w:pPr>
            <w:r>
              <w:rPr>
                <w:szCs w:val="24"/>
              </w:rPr>
              <w:t>Regulatory Focus Level</w:t>
            </w:r>
          </w:p>
        </w:tc>
      </w:tr>
      <w:tr w:rsidR="009C131A" w:rsidRPr="00CF791A" w14:paraId="56EB7D70" w14:textId="77777777" w:rsidTr="000C5554">
        <w:trPr>
          <w:cantSplit/>
        </w:trPr>
        <w:tc>
          <w:tcPr>
            <w:tcW w:w="1529" w:type="pct"/>
          </w:tcPr>
          <w:p w14:paraId="368B5D6B" w14:textId="6C9682A3" w:rsidR="009C131A" w:rsidRPr="00CF791A" w:rsidRDefault="009C131A">
            <w:pPr>
              <w:spacing w:before="60" w:after="60"/>
              <w:rPr>
                <w:szCs w:val="24"/>
              </w:rPr>
            </w:pPr>
            <w:r w:rsidRPr="00CF791A">
              <w:rPr>
                <w:szCs w:val="24"/>
              </w:rPr>
              <w:t>RPV</w:t>
            </w:r>
          </w:p>
        </w:tc>
        <w:tc>
          <w:tcPr>
            <w:tcW w:w="3471" w:type="pct"/>
          </w:tcPr>
          <w:p w14:paraId="1B8BA2A6" w14:textId="613AE5F3" w:rsidR="009C131A" w:rsidRPr="00CF791A" w:rsidRDefault="009C131A">
            <w:pPr>
              <w:spacing w:before="60" w:after="60"/>
              <w:rPr>
                <w:szCs w:val="24"/>
              </w:rPr>
            </w:pPr>
            <w:r w:rsidRPr="00CF791A">
              <w:rPr>
                <w:szCs w:val="24"/>
              </w:rPr>
              <w:t>Reactor pressure vessel</w:t>
            </w:r>
          </w:p>
        </w:tc>
      </w:tr>
      <w:tr w:rsidR="009C131A" w:rsidRPr="00CF791A" w14:paraId="03B01AE3" w14:textId="77777777" w:rsidTr="000C5554">
        <w:trPr>
          <w:cantSplit/>
        </w:trPr>
        <w:tc>
          <w:tcPr>
            <w:tcW w:w="1529" w:type="pct"/>
          </w:tcPr>
          <w:p w14:paraId="2338284D" w14:textId="79832FE3" w:rsidR="009C131A" w:rsidRPr="00CF791A" w:rsidRDefault="009C131A">
            <w:pPr>
              <w:spacing w:before="60" w:after="60"/>
              <w:rPr>
                <w:szCs w:val="24"/>
              </w:rPr>
            </w:pPr>
            <w:r w:rsidRPr="00CF791A">
              <w:rPr>
                <w:szCs w:val="24"/>
              </w:rPr>
              <w:t>REPPIR</w:t>
            </w:r>
          </w:p>
        </w:tc>
        <w:tc>
          <w:tcPr>
            <w:tcW w:w="3471" w:type="pct"/>
          </w:tcPr>
          <w:p w14:paraId="3C6EDA0E" w14:textId="462D07F9" w:rsidR="009C131A" w:rsidRPr="00CF791A" w:rsidRDefault="009C131A">
            <w:pPr>
              <w:spacing w:before="60" w:after="60"/>
              <w:rPr>
                <w:szCs w:val="24"/>
              </w:rPr>
            </w:pPr>
            <w:r w:rsidRPr="00CF791A">
              <w:rPr>
                <w:szCs w:val="24"/>
              </w:rPr>
              <w:t>Radiation (Emergency Preparedness and Public Information) Regulations 2019</w:t>
            </w:r>
          </w:p>
        </w:tc>
      </w:tr>
      <w:tr w:rsidR="009C131A" w:rsidRPr="00CF791A" w14:paraId="56DC210F" w14:textId="77777777" w:rsidTr="000C5554">
        <w:trPr>
          <w:cantSplit/>
        </w:trPr>
        <w:tc>
          <w:tcPr>
            <w:tcW w:w="1529" w:type="pct"/>
          </w:tcPr>
          <w:p w14:paraId="16043B1A" w14:textId="7DF0A357" w:rsidR="009C131A" w:rsidRPr="00CF791A" w:rsidRDefault="009C131A">
            <w:pPr>
              <w:spacing w:before="60" w:after="60"/>
              <w:rPr>
                <w:szCs w:val="24"/>
              </w:rPr>
            </w:pPr>
            <w:r w:rsidRPr="00CF791A">
              <w:rPr>
                <w:szCs w:val="24"/>
              </w:rPr>
              <w:t>SAA</w:t>
            </w:r>
          </w:p>
        </w:tc>
        <w:tc>
          <w:tcPr>
            <w:tcW w:w="3471" w:type="pct"/>
          </w:tcPr>
          <w:p w14:paraId="3B5C169C" w14:textId="774F819A" w:rsidR="009C131A" w:rsidRPr="00CF791A" w:rsidRDefault="009C131A">
            <w:pPr>
              <w:spacing w:before="60" w:after="60"/>
              <w:rPr>
                <w:szCs w:val="24"/>
              </w:rPr>
            </w:pPr>
            <w:r w:rsidRPr="00CF791A">
              <w:rPr>
                <w:szCs w:val="24"/>
              </w:rPr>
              <w:t>Severe Accident Analysis</w:t>
            </w:r>
          </w:p>
        </w:tc>
      </w:tr>
      <w:tr w:rsidR="009C131A" w:rsidRPr="00CF791A" w14:paraId="444B9EB1" w14:textId="77777777" w:rsidTr="000C5554">
        <w:trPr>
          <w:cantSplit/>
        </w:trPr>
        <w:tc>
          <w:tcPr>
            <w:tcW w:w="1529" w:type="pct"/>
          </w:tcPr>
          <w:p w14:paraId="55ED13BD" w14:textId="704236F6" w:rsidR="009C131A" w:rsidRPr="00CF791A" w:rsidRDefault="009C131A">
            <w:pPr>
              <w:spacing w:before="60" w:after="60"/>
              <w:rPr>
                <w:szCs w:val="24"/>
              </w:rPr>
            </w:pPr>
            <w:r w:rsidRPr="00CF791A">
              <w:rPr>
                <w:szCs w:val="24"/>
              </w:rPr>
              <w:t>SAP</w:t>
            </w:r>
          </w:p>
        </w:tc>
        <w:tc>
          <w:tcPr>
            <w:tcW w:w="3471" w:type="pct"/>
          </w:tcPr>
          <w:p w14:paraId="031B2AF5" w14:textId="30B21B57" w:rsidR="009C131A" w:rsidRPr="00CF791A" w:rsidRDefault="009C131A">
            <w:pPr>
              <w:spacing w:before="60" w:after="60"/>
              <w:rPr>
                <w:szCs w:val="24"/>
              </w:rPr>
            </w:pPr>
            <w:r w:rsidRPr="00CF791A">
              <w:rPr>
                <w:szCs w:val="24"/>
              </w:rPr>
              <w:t>Safety assessment principle(s)</w:t>
            </w:r>
          </w:p>
        </w:tc>
      </w:tr>
      <w:tr w:rsidR="009C131A" w:rsidRPr="00CF791A" w14:paraId="5C6184FD" w14:textId="77777777" w:rsidTr="000C5554">
        <w:trPr>
          <w:cantSplit/>
        </w:trPr>
        <w:tc>
          <w:tcPr>
            <w:tcW w:w="1529" w:type="pct"/>
          </w:tcPr>
          <w:p w14:paraId="2413D428" w14:textId="2731D14A" w:rsidR="009C131A" w:rsidRPr="00CF791A" w:rsidRDefault="009C131A">
            <w:pPr>
              <w:spacing w:before="60" w:after="60"/>
              <w:rPr>
                <w:szCs w:val="24"/>
              </w:rPr>
            </w:pPr>
            <w:r w:rsidRPr="00CF791A">
              <w:rPr>
                <w:szCs w:val="24"/>
              </w:rPr>
              <w:t>SFAIRP</w:t>
            </w:r>
          </w:p>
        </w:tc>
        <w:tc>
          <w:tcPr>
            <w:tcW w:w="3471" w:type="pct"/>
          </w:tcPr>
          <w:p w14:paraId="27BEC392" w14:textId="7B60C556" w:rsidR="009C131A" w:rsidRPr="00CF791A" w:rsidRDefault="009C131A">
            <w:pPr>
              <w:spacing w:before="60" w:after="60"/>
              <w:rPr>
                <w:szCs w:val="24"/>
              </w:rPr>
            </w:pPr>
            <w:r w:rsidRPr="00CF791A">
              <w:rPr>
                <w:szCs w:val="24"/>
              </w:rPr>
              <w:t>So far as is reasonably practicable</w:t>
            </w:r>
          </w:p>
        </w:tc>
      </w:tr>
      <w:tr w:rsidR="009C131A" w:rsidRPr="00CF791A" w14:paraId="6F39FA1E" w14:textId="77777777" w:rsidTr="000C5554">
        <w:trPr>
          <w:cantSplit/>
        </w:trPr>
        <w:tc>
          <w:tcPr>
            <w:tcW w:w="1529" w:type="pct"/>
          </w:tcPr>
          <w:p w14:paraId="2437CCA8" w14:textId="13B4CCFE" w:rsidR="009C131A" w:rsidRPr="00CF791A" w:rsidRDefault="009C131A">
            <w:pPr>
              <w:spacing w:before="60" w:after="60"/>
              <w:rPr>
                <w:szCs w:val="24"/>
              </w:rPr>
            </w:pPr>
            <w:r w:rsidRPr="00CF791A">
              <w:rPr>
                <w:szCs w:val="24"/>
              </w:rPr>
              <w:t>SEPA</w:t>
            </w:r>
          </w:p>
        </w:tc>
        <w:tc>
          <w:tcPr>
            <w:tcW w:w="3471" w:type="pct"/>
          </w:tcPr>
          <w:p w14:paraId="0BB30E58" w14:textId="2F58A0B0" w:rsidR="009C131A" w:rsidRPr="00CF791A" w:rsidRDefault="009C131A">
            <w:pPr>
              <w:spacing w:before="60" w:after="60"/>
              <w:rPr>
                <w:szCs w:val="24"/>
              </w:rPr>
            </w:pPr>
            <w:r w:rsidRPr="00CF791A">
              <w:rPr>
                <w:szCs w:val="24"/>
              </w:rPr>
              <w:t>Scottish Environment Protection Agency</w:t>
            </w:r>
          </w:p>
        </w:tc>
      </w:tr>
      <w:tr w:rsidR="009C131A" w:rsidRPr="00CF791A" w14:paraId="5BD7DC85" w14:textId="77777777" w:rsidTr="000C5554">
        <w:trPr>
          <w:cantSplit/>
        </w:trPr>
        <w:tc>
          <w:tcPr>
            <w:tcW w:w="1529" w:type="pct"/>
          </w:tcPr>
          <w:p w14:paraId="1E3D3AED" w14:textId="4359F2B3" w:rsidR="009C131A" w:rsidRPr="00CF791A" w:rsidRDefault="009C131A">
            <w:pPr>
              <w:spacing w:before="60" w:after="60"/>
              <w:rPr>
                <w:szCs w:val="24"/>
              </w:rPr>
            </w:pPr>
            <w:r w:rsidRPr="00CF791A">
              <w:rPr>
                <w:szCs w:val="24"/>
              </w:rPr>
              <w:t>SSC</w:t>
            </w:r>
          </w:p>
        </w:tc>
        <w:tc>
          <w:tcPr>
            <w:tcW w:w="3471" w:type="pct"/>
          </w:tcPr>
          <w:p w14:paraId="2E0A4A79" w14:textId="3584FC02" w:rsidR="009C131A" w:rsidRPr="00CF791A" w:rsidRDefault="009C131A">
            <w:pPr>
              <w:spacing w:before="60" w:after="60"/>
              <w:rPr>
                <w:szCs w:val="24"/>
              </w:rPr>
            </w:pPr>
            <w:r w:rsidRPr="00CF791A">
              <w:rPr>
                <w:szCs w:val="24"/>
              </w:rPr>
              <w:t>Structures, systems and components</w:t>
            </w:r>
          </w:p>
        </w:tc>
      </w:tr>
      <w:tr w:rsidR="009C131A" w:rsidRPr="00CF791A" w14:paraId="6DBE9D23" w14:textId="77777777" w:rsidTr="000C5554">
        <w:trPr>
          <w:cantSplit/>
        </w:trPr>
        <w:tc>
          <w:tcPr>
            <w:tcW w:w="1529" w:type="pct"/>
          </w:tcPr>
          <w:p w14:paraId="0333CEFC" w14:textId="18D843CD" w:rsidR="009C131A" w:rsidRPr="00CF791A" w:rsidRDefault="009C131A">
            <w:pPr>
              <w:spacing w:before="60" w:after="60"/>
              <w:rPr>
                <w:szCs w:val="24"/>
              </w:rPr>
            </w:pPr>
            <w:r w:rsidRPr="00CF791A">
              <w:rPr>
                <w:szCs w:val="24"/>
              </w:rPr>
              <w:t>Sv</w:t>
            </w:r>
          </w:p>
        </w:tc>
        <w:tc>
          <w:tcPr>
            <w:tcW w:w="3471" w:type="pct"/>
          </w:tcPr>
          <w:p w14:paraId="759845E7" w14:textId="15086B59" w:rsidR="009C131A" w:rsidRPr="00CF791A" w:rsidRDefault="009C131A">
            <w:pPr>
              <w:spacing w:before="60" w:after="60"/>
              <w:rPr>
                <w:szCs w:val="24"/>
              </w:rPr>
            </w:pPr>
            <w:r w:rsidRPr="00CF791A">
              <w:rPr>
                <w:szCs w:val="24"/>
              </w:rPr>
              <w:t xml:space="preserve">Sievert </w:t>
            </w:r>
          </w:p>
        </w:tc>
      </w:tr>
      <w:tr w:rsidR="001B000D" w:rsidRPr="00CF791A" w14:paraId="67FABFFA" w14:textId="77777777" w:rsidTr="000C5554">
        <w:trPr>
          <w:cantSplit/>
        </w:trPr>
        <w:tc>
          <w:tcPr>
            <w:tcW w:w="1529" w:type="pct"/>
          </w:tcPr>
          <w:p w14:paraId="10F763D4" w14:textId="1F33148F" w:rsidR="001B000D" w:rsidRPr="00CF791A" w:rsidRDefault="001B000D">
            <w:pPr>
              <w:spacing w:before="60" w:after="60"/>
              <w:rPr>
                <w:szCs w:val="24"/>
              </w:rPr>
            </w:pPr>
            <w:r>
              <w:rPr>
                <w:szCs w:val="24"/>
              </w:rPr>
              <w:t>SyAPs</w:t>
            </w:r>
          </w:p>
        </w:tc>
        <w:tc>
          <w:tcPr>
            <w:tcW w:w="3471" w:type="pct"/>
          </w:tcPr>
          <w:p w14:paraId="7DBD733C" w14:textId="2DA3A6E3" w:rsidR="001B000D" w:rsidRPr="00CF791A" w:rsidRDefault="00A7654C">
            <w:pPr>
              <w:spacing w:before="60" w:after="60"/>
              <w:rPr>
                <w:szCs w:val="24"/>
              </w:rPr>
            </w:pPr>
            <w:r w:rsidRPr="00A7654C">
              <w:rPr>
                <w:szCs w:val="24"/>
              </w:rPr>
              <w:t>Security Assessment Principles</w:t>
            </w:r>
          </w:p>
        </w:tc>
      </w:tr>
      <w:tr w:rsidR="009C131A" w:rsidRPr="00CF791A" w14:paraId="652C8AD8" w14:textId="77777777" w:rsidTr="000C5554">
        <w:trPr>
          <w:cantSplit/>
        </w:trPr>
        <w:tc>
          <w:tcPr>
            <w:tcW w:w="1529" w:type="pct"/>
          </w:tcPr>
          <w:p w14:paraId="449F3FFA" w14:textId="7F0AEFB3" w:rsidR="009C131A" w:rsidRPr="00CF791A" w:rsidRDefault="009C131A">
            <w:pPr>
              <w:spacing w:before="60" w:after="60"/>
              <w:rPr>
                <w:szCs w:val="24"/>
              </w:rPr>
            </w:pPr>
            <w:r w:rsidRPr="00CF791A">
              <w:rPr>
                <w:szCs w:val="24"/>
              </w:rPr>
              <w:t>TAG</w:t>
            </w:r>
          </w:p>
        </w:tc>
        <w:tc>
          <w:tcPr>
            <w:tcW w:w="3471" w:type="pct"/>
          </w:tcPr>
          <w:p w14:paraId="2C6621D4" w14:textId="619A92F9" w:rsidR="009C131A" w:rsidRPr="00CF791A" w:rsidRDefault="009C131A">
            <w:pPr>
              <w:spacing w:before="60" w:after="60"/>
              <w:rPr>
                <w:szCs w:val="24"/>
              </w:rPr>
            </w:pPr>
            <w:r w:rsidRPr="00CF791A">
              <w:rPr>
                <w:szCs w:val="24"/>
              </w:rPr>
              <w:t>Technical assessment guide</w:t>
            </w:r>
          </w:p>
        </w:tc>
      </w:tr>
      <w:tr w:rsidR="009C131A" w:rsidRPr="00CF791A" w14:paraId="76A540FF" w14:textId="77777777" w:rsidTr="000C5554">
        <w:trPr>
          <w:cantSplit/>
        </w:trPr>
        <w:tc>
          <w:tcPr>
            <w:tcW w:w="1529" w:type="pct"/>
          </w:tcPr>
          <w:p w14:paraId="78D76F96" w14:textId="77777777" w:rsidR="009C131A" w:rsidRPr="00CF791A" w:rsidRDefault="009C131A">
            <w:pPr>
              <w:spacing w:before="60" w:after="60"/>
              <w:rPr>
                <w:szCs w:val="24"/>
              </w:rPr>
            </w:pPr>
            <w:r w:rsidRPr="00CF791A">
              <w:rPr>
                <w:szCs w:val="24"/>
              </w:rPr>
              <w:t>TOR</w:t>
            </w:r>
          </w:p>
        </w:tc>
        <w:tc>
          <w:tcPr>
            <w:tcW w:w="3471" w:type="pct"/>
          </w:tcPr>
          <w:p w14:paraId="7BE0B5A4" w14:textId="77777777" w:rsidR="009C131A" w:rsidRPr="00CF791A" w:rsidRDefault="009C131A">
            <w:pPr>
              <w:spacing w:before="60" w:after="60"/>
              <w:rPr>
                <w:szCs w:val="24"/>
              </w:rPr>
            </w:pPr>
            <w:r w:rsidRPr="00CF791A">
              <w:rPr>
                <w:szCs w:val="24"/>
              </w:rPr>
              <w:t>The tolerability of risk from nuclear power stations</w:t>
            </w:r>
          </w:p>
        </w:tc>
      </w:tr>
    </w:tbl>
    <w:p w14:paraId="4CBFB8B3" w14:textId="5826D46B" w:rsidR="00E243D0" w:rsidRPr="00CF791A" w:rsidRDefault="000735AA" w:rsidP="000C5554">
      <w:pPr>
        <w:pStyle w:val="Caption"/>
        <w:spacing w:before="120" w:after="240"/>
        <w:rPr>
          <w:lang w:bidi="ar-SA"/>
        </w:rPr>
        <w:sectPr w:rsidR="00E243D0" w:rsidRPr="00CF791A" w:rsidSect="00E243D0">
          <w:pgSz w:w="11906" w:h="16838" w:code="9"/>
          <w:pgMar w:top="1440" w:right="1440" w:bottom="1440" w:left="1440" w:header="397" w:footer="397" w:gutter="0"/>
          <w:cols w:space="312"/>
          <w:docGrid w:linePitch="360"/>
        </w:sectPr>
      </w:pPr>
      <w:r>
        <w:t xml:space="preserve">Table </w:t>
      </w:r>
      <w:fldSimple w:instr=" SEQ Table \* ARABIC ">
        <w:r>
          <w:rPr>
            <w:noProof/>
          </w:rPr>
          <w:t>4</w:t>
        </w:r>
      </w:fldSimple>
      <w:r>
        <w:t xml:space="preserve"> - List of acronyms/abbreviations referenced in this document</w:t>
      </w:r>
    </w:p>
    <w:bookmarkStart w:id="172" w:name="_Toc235711334" w:displacedByCustomXml="next"/>
    <w:bookmarkStart w:id="173" w:name="_Toc219748184" w:displacedByCustomXml="next"/>
    <w:bookmarkStart w:id="174" w:name="_Toc219206157" w:displacedByCustomXml="next"/>
    <w:sdt>
      <w:sdtPr>
        <w:rPr>
          <w:color w:val="auto"/>
          <w:sz w:val="24"/>
        </w:rPr>
        <w:id w:val="1042490500"/>
        <w:docPartObj>
          <w:docPartGallery w:val="Bibliographies"/>
          <w:docPartUnique/>
        </w:docPartObj>
      </w:sdtPr>
      <w:sdtEndPr/>
      <w:sdtContent>
        <w:p w14:paraId="54883674" w14:textId="6F655F9D" w:rsidR="00E75B0D" w:rsidRDefault="00E75B0D" w:rsidP="000C5554">
          <w:pPr>
            <w:pStyle w:val="Heading1"/>
            <w:numPr>
              <w:ilvl w:val="0"/>
              <w:numId w:val="0"/>
            </w:numPr>
            <w:ind w:left="851" w:hanging="851"/>
          </w:pPr>
          <w:r>
            <w:t>References</w:t>
          </w:r>
          <w:bookmarkEnd w:id="172"/>
        </w:p>
        <w:sdt>
          <w:sdtPr>
            <w:id w:val="-573587230"/>
            <w:bibliography/>
          </w:sdtPr>
          <w:sdtEndPr/>
          <w:sdtContent>
            <w:p w14:paraId="1A63F536" w14:textId="77777777" w:rsidR="00690128" w:rsidRDefault="00E75B0D">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690128" w14:paraId="36980044" w14:textId="77777777">
                <w:trPr>
                  <w:divId w:val="437065084"/>
                  <w:tblCellSpacing w:w="15" w:type="dxa"/>
                </w:trPr>
                <w:tc>
                  <w:tcPr>
                    <w:tcW w:w="50" w:type="pct"/>
                    <w:hideMark/>
                  </w:tcPr>
                  <w:p w14:paraId="4D3ED44A" w14:textId="69AFDAA6" w:rsidR="00690128" w:rsidRDefault="00690128">
                    <w:pPr>
                      <w:pStyle w:val="Bibliography"/>
                      <w:rPr>
                        <w:noProof/>
                        <w:szCs w:val="24"/>
                      </w:rPr>
                    </w:pPr>
                    <w:r>
                      <w:rPr>
                        <w:noProof/>
                      </w:rPr>
                      <w:t xml:space="preserve">[1] </w:t>
                    </w:r>
                  </w:p>
                </w:tc>
                <w:tc>
                  <w:tcPr>
                    <w:tcW w:w="0" w:type="auto"/>
                    <w:hideMark/>
                  </w:tcPr>
                  <w:p w14:paraId="7E62FD2F" w14:textId="77777777" w:rsidR="00690128" w:rsidRDefault="00690128">
                    <w:pPr>
                      <w:pStyle w:val="Bibliography"/>
                      <w:rPr>
                        <w:noProof/>
                      </w:rPr>
                    </w:pPr>
                    <w:r>
                      <w:rPr>
                        <w:noProof/>
                      </w:rPr>
                      <w:t xml:space="preserve">ONR, Security Assessment Principles for the Civil Nuclear Industry (SyAPs), 2022. </w:t>
                    </w:r>
                  </w:p>
                </w:tc>
              </w:tr>
              <w:tr w:rsidR="00690128" w14:paraId="467A0352" w14:textId="77777777">
                <w:trPr>
                  <w:divId w:val="437065084"/>
                  <w:tblCellSpacing w:w="15" w:type="dxa"/>
                </w:trPr>
                <w:tc>
                  <w:tcPr>
                    <w:tcW w:w="50" w:type="pct"/>
                    <w:hideMark/>
                  </w:tcPr>
                  <w:p w14:paraId="004F04DA" w14:textId="77777777" w:rsidR="00690128" w:rsidRDefault="00690128">
                    <w:pPr>
                      <w:pStyle w:val="Bibliography"/>
                      <w:rPr>
                        <w:noProof/>
                      </w:rPr>
                    </w:pPr>
                    <w:r>
                      <w:rPr>
                        <w:noProof/>
                      </w:rPr>
                      <w:t xml:space="preserve">[2] </w:t>
                    </w:r>
                  </w:p>
                </w:tc>
                <w:tc>
                  <w:tcPr>
                    <w:tcW w:w="0" w:type="auto"/>
                    <w:hideMark/>
                  </w:tcPr>
                  <w:p w14:paraId="7279D1FE" w14:textId="77777777" w:rsidR="00690128" w:rsidRDefault="00690128">
                    <w:pPr>
                      <w:pStyle w:val="Bibliography"/>
                      <w:rPr>
                        <w:noProof/>
                      </w:rPr>
                    </w:pPr>
                    <w:r>
                      <w:rPr>
                        <w:noProof/>
                      </w:rPr>
                      <w:t xml:space="preserve">ONR, Nuclear Material Accountancy, Control and Safeguards Assessment Principles (ONMACS), 2025. </w:t>
                    </w:r>
                  </w:p>
                </w:tc>
              </w:tr>
              <w:tr w:rsidR="00690128" w14:paraId="4C7AC3B2" w14:textId="77777777">
                <w:trPr>
                  <w:divId w:val="437065084"/>
                  <w:tblCellSpacing w:w="15" w:type="dxa"/>
                </w:trPr>
                <w:tc>
                  <w:tcPr>
                    <w:tcW w:w="50" w:type="pct"/>
                    <w:hideMark/>
                  </w:tcPr>
                  <w:p w14:paraId="51DE475D" w14:textId="77777777" w:rsidR="00690128" w:rsidRDefault="00690128">
                    <w:pPr>
                      <w:pStyle w:val="Bibliography"/>
                      <w:rPr>
                        <w:noProof/>
                      </w:rPr>
                    </w:pPr>
                    <w:r>
                      <w:rPr>
                        <w:noProof/>
                      </w:rPr>
                      <w:t xml:space="preserve">[3] </w:t>
                    </w:r>
                  </w:p>
                </w:tc>
                <w:tc>
                  <w:tcPr>
                    <w:tcW w:w="0" w:type="auto"/>
                    <w:hideMark/>
                  </w:tcPr>
                  <w:p w14:paraId="5764AE2C" w14:textId="77777777" w:rsidR="00690128" w:rsidRDefault="00690128">
                    <w:pPr>
                      <w:pStyle w:val="Bibliography"/>
                      <w:rPr>
                        <w:noProof/>
                      </w:rPr>
                    </w:pPr>
                    <w:r>
                      <w:rPr>
                        <w:noProof/>
                      </w:rPr>
                      <w:t>IAEA, “Safety Standards and Nuclear Security Series publications,” [Online]. Available: https://www.iaea.org/publications/series/all.</w:t>
                    </w:r>
                  </w:p>
                </w:tc>
              </w:tr>
              <w:tr w:rsidR="00690128" w14:paraId="297CE627" w14:textId="77777777">
                <w:trPr>
                  <w:divId w:val="437065084"/>
                  <w:tblCellSpacing w:w="15" w:type="dxa"/>
                </w:trPr>
                <w:tc>
                  <w:tcPr>
                    <w:tcW w:w="50" w:type="pct"/>
                    <w:hideMark/>
                  </w:tcPr>
                  <w:p w14:paraId="1CB26B38" w14:textId="77777777" w:rsidR="00690128" w:rsidRDefault="00690128">
                    <w:pPr>
                      <w:pStyle w:val="Bibliography"/>
                      <w:rPr>
                        <w:noProof/>
                      </w:rPr>
                    </w:pPr>
                    <w:r>
                      <w:rPr>
                        <w:noProof/>
                      </w:rPr>
                      <w:t xml:space="preserve">[4] </w:t>
                    </w:r>
                  </w:p>
                </w:tc>
                <w:tc>
                  <w:tcPr>
                    <w:tcW w:w="0" w:type="auto"/>
                    <w:hideMark/>
                  </w:tcPr>
                  <w:p w14:paraId="03C7F7DF" w14:textId="77777777" w:rsidR="00690128" w:rsidRDefault="00690128">
                    <w:pPr>
                      <w:pStyle w:val="Bibliography"/>
                      <w:rPr>
                        <w:noProof/>
                      </w:rPr>
                    </w:pPr>
                    <w:r>
                      <w:rPr>
                        <w:noProof/>
                      </w:rPr>
                      <w:t>HSE, “The Tolerability of Risks from Nuclear Power Stations,” 1988 (Revised 1992). [Online]. Available: https://www.onr.org.uk/media/v1vi3v21/tolerability.pdf.</w:t>
                    </w:r>
                  </w:p>
                </w:tc>
              </w:tr>
              <w:tr w:rsidR="00690128" w14:paraId="7AEF154E" w14:textId="77777777">
                <w:trPr>
                  <w:divId w:val="437065084"/>
                  <w:tblCellSpacing w:w="15" w:type="dxa"/>
                </w:trPr>
                <w:tc>
                  <w:tcPr>
                    <w:tcW w:w="50" w:type="pct"/>
                    <w:hideMark/>
                  </w:tcPr>
                  <w:p w14:paraId="37962C3A" w14:textId="77777777" w:rsidR="00690128" w:rsidRDefault="00690128">
                    <w:pPr>
                      <w:pStyle w:val="Bibliography"/>
                      <w:rPr>
                        <w:noProof/>
                      </w:rPr>
                    </w:pPr>
                    <w:r>
                      <w:rPr>
                        <w:noProof/>
                      </w:rPr>
                      <w:t xml:space="preserve">[5] </w:t>
                    </w:r>
                  </w:p>
                </w:tc>
                <w:tc>
                  <w:tcPr>
                    <w:tcW w:w="0" w:type="auto"/>
                    <w:hideMark/>
                  </w:tcPr>
                  <w:p w14:paraId="172B808B" w14:textId="77777777" w:rsidR="00690128" w:rsidRDefault="00690128">
                    <w:pPr>
                      <w:pStyle w:val="Bibliography"/>
                      <w:rPr>
                        <w:noProof/>
                      </w:rPr>
                    </w:pPr>
                    <w:r>
                      <w:rPr>
                        <w:noProof/>
                      </w:rPr>
                      <w:t>HSE, “'Reducing risks, protecting people' (R2P2): HSE’s decision-making process,” 2001. [Online]. Available: https://www.hse.gov.uk/enforce/expert/index.htm.</w:t>
                    </w:r>
                  </w:p>
                </w:tc>
              </w:tr>
              <w:tr w:rsidR="00690128" w14:paraId="045DAF8F" w14:textId="77777777">
                <w:trPr>
                  <w:divId w:val="437065084"/>
                  <w:tblCellSpacing w:w="15" w:type="dxa"/>
                </w:trPr>
                <w:tc>
                  <w:tcPr>
                    <w:tcW w:w="50" w:type="pct"/>
                    <w:hideMark/>
                  </w:tcPr>
                  <w:p w14:paraId="4111561C" w14:textId="77777777" w:rsidR="00690128" w:rsidRDefault="00690128">
                    <w:pPr>
                      <w:pStyle w:val="Bibliography"/>
                      <w:rPr>
                        <w:noProof/>
                      </w:rPr>
                    </w:pPr>
                    <w:r>
                      <w:rPr>
                        <w:noProof/>
                      </w:rPr>
                      <w:t xml:space="preserve">[6] </w:t>
                    </w:r>
                  </w:p>
                </w:tc>
                <w:tc>
                  <w:tcPr>
                    <w:tcW w:w="0" w:type="auto"/>
                    <w:hideMark/>
                  </w:tcPr>
                  <w:p w14:paraId="512144EA" w14:textId="77777777" w:rsidR="00690128" w:rsidRDefault="00690128">
                    <w:pPr>
                      <w:pStyle w:val="Bibliography"/>
                      <w:rPr>
                        <w:noProof/>
                      </w:rPr>
                    </w:pPr>
                    <w:r>
                      <w:rPr>
                        <w:noProof/>
                      </w:rPr>
                      <w:t>HSE, “ACoP - L121: Working with ionising radiation. Ionising Radiations Regulations 2017,” March 2018 (second edition). [Online]. Available: https://www.hse.gov.uk/pubns/books/l121.htm.</w:t>
                    </w:r>
                  </w:p>
                </w:tc>
              </w:tr>
              <w:tr w:rsidR="00690128" w14:paraId="086FBB0F" w14:textId="77777777">
                <w:trPr>
                  <w:divId w:val="437065084"/>
                  <w:tblCellSpacing w:w="15" w:type="dxa"/>
                </w:trPr>
                <w:tc>
                  <w:tcPr>
                    <w:tcW w:w="50" w:type="pct"/>
                    <w:hideMark/>
                  </w:tcPr>
                  <w:p w14:paraId="1924BFAB" w14:textId="77777777" w:rsidR="00690128" w:rsidRDefault="00690128">
                    <w:pPr>
                      <w:pStyle w:val="Bibliography"/>
                      <w:rPr>
                        <w:noProof/>
                      </w:rPr>
                    </w:pPr>
                    <w:r>
                      <w:rPr>
                        <w:noProof/>
                      </w:rPr>
                      <w:t xml:space="preserve">[7] </w:t>
                    </w:r>
                  </w:p>
                </w:tc>
                <w:tc>
                  <w:tcPr>
                    <w:tcW w:w="0" w:type="auto"/>
                    <w:hideMark/>
                  </w:tcPr>
                  <w:p w14:paraId="31D9B7DF" w14:textId="77777777" w:rsidR="00690128" w:rsidRDefault="00690128">
                    <w:pPr>
                      <w:pStyle w:val="Bibliography"/>
                      <w:rPr>
                        <w:noProof/>
                      </w:rPr>
                    </w:pPr>
                    <w:r>
                      <w:rPr>
                        <w:noProof/>
                      </w:rPr>
                      <w:t>HSE, “The Radiation (Emergency Preparedness and Public Information) Regulations 2019 - Approved Code of Practice and guidance,” [Online]. Available: https://www.onr.org.uk/media/zamdzwr1/reppir-2019-acop.pdf.</w:t>
                    </w:r>
                  </w:p>
                </w:tc>
              </w:tr>
              <w:tr w:rsidR="00690128" w14:paraId="53D83DE1" w14:textId="77777777">
                <w:trPr>
                  <w:divId w:val="437065084"/>
                  <w:tblCellSpacing w:w="15" w:type="dxa"/>
                </w:trPr>
                <w:tc>
                  <w:tcPr>
                    <w:tcW w:w="50" w:type="pct"/>
                    <w:hideMark/>
                  </w:tcPr>
                  <w:p w14:paraId="4167E825" w14:textId="77777777" w:rsidR="00690128" w:rsidRDefault="00690128">
                    <w:pPr>
                      <w:pStyle w:val="Bibliography"/>
                      <w:rPr>
                        <w:noProof/>
                      </w:rPr>
                    </w:pPr>
                    <w:r>
                      <w:rPr>
                        <w:noProof/>
                      </w:rPr>
                      <w:t xml:space="preserve">[8] </w:t>
                    </w:r>
                  </w:p>
                </w:tc>
                <w:tc>
                  <w:tcPr>
                    <w:tcW w:w="0" w:type="auto"/>
                    <w:hideMark/>
                  </w:tcPr>
                  <w:p w14:paraId="4A41A809" w14:textId="77777777" w:rsidR="00690128" w:rsidRDefault="00690128">
                    <w:pPr>
                      <w:pStyle w:val="Bibliography"/>
                      <w:rPr>
                        <w:noProof/>
                      </w:rPr>
                    </w:pPr>
                    <w:r>
                      <w:rPr>
                        <w:noProof/>
                      </w:rPr>
                      <w:t>Department for Energy Security and Net Zero, “National Nuclear Emergency Planning and Response Guidance,” 29 October 2015. [Online]. Available: https://www.gov.uk/government/publications/national-nuclear-emergency-planning-and-response-guidance.</w:t>
                    </w:r>
                  </w:p>
                </w:tc>
              </w:tr>
            </w:tbl>
            <w:p w14:paraId="29CACE0F" w14:textId="77777777" w:rsidR="00690128" w:rsidRDefault="00690128">
              <w:pPr>
                <w:divId w:val="437065084"/>
                <w:rPr>
                  <w:rFonts w:eastAsia="Times New Roman"/>
                  <w:noProof/>
                </w:rPr>
              </w:pPr>
            </w:p>
            <w:p w14:paraId="089DF110" w14:textId="5BEEB367" w:rsidR="00E75B0D" w:rsidRDefault="00E75B0D">
              <w:r>
                <w:rPr>
                  <w:b/>
                  <w:bCs/>
                </w:rPr>
                <w:fldChar w:fldCharType="end"/>
              </w:r>
            </w:p>
          </w:sdtContent>
        </w:sdt>
      </w:sdtContent>
    </w:sdt>
    <w:p w14:paraId="3208DCE8" w14:textId="77777777" w:rsidR="00722DAE" w:rsidRPr="00CF791A" w:rsidRDefault="00722DAE" w:rsidP="001A3921">
      <w:pPr>
        <w:spacing w:after="0" w:line="240" w:lineRule="auto"/>
      </w:pPr>
    </w:p>
    <w:p w14:paraId="5ADB0308" w14:textId="77777777" w:rsidR="00C46226" w:rsidRDefault="00C46226" w:rsidP="00171724">
      <w:pPr>
        <w:pStyle w:val="Heading1"/>
        <w:numPr>
          <w:ilvl w:val="0"/>
          <w:numId w:val="0"/>
        </w:numPr>
        <w:ind w:left="851" w:hanging="851"/>
        <w:sectPr w:rsidR="00C46226" w:rsidSect="00996A47">
          <w:pgSz w:w="11906" w:h="16838" w:code="9"/>
          <w:pgMar w:top="1440" w:right="1440" w:bottom="1440" w:left="1440" w:header="397" w:footer="397" w:gutter="0"/>
          <w:cols w:space="312"/>
          <w:docGrid w:linePitch="360"/>
        </w:sectPr>
      </w:pPr>
    </w:p>
    <w:p w14:paraId="24CF5C2D" w14:textId="428F5484" w:rsidR="00171724" w:rsidRPr="00CF791A" w:rsidRDefault="00171724" w:rsidP="000C5554">
      <w:pPr>
        <w:pStyle w:val="Heading1"/>
        <w:numPr>
          <w:ilvl w:val="0"/>
          <w:numId w:val="0"/>
        </w:numPr>
        <w:ind w:left="851" w:hanging="851"/>
      </w:pPr>
      <w:bookmarkStart w:id="175" w:name="_Toc235711335"/>
      <w:bookmarkEnd w:id="174"/>
      <w:bookmarkEnd w:id="173"/>
      <w:r>
        <w:rPr>
          <w:rStyle w:val="Style2"/>
        </w:rPr>
        <w:lastRenderedPageBreak/>
        <w:t>Document control information</w:t>
      </w:r>
      <w:bookmarkEnd w:id="175"/>
    </w:p>
    <w:p w14:paraId="76111592" w14:textId="406205A3" w:rsidR="00171724" w:rsidRPr="00CF791A" w:rsidRDefault="00171724" w:rsidP="00171724">
      <w:pPr>
        <w:rPr>
          <w:szCs w:val="24"/>
        </w:rPr>
      </w:pPr>
      <w:r w:rsidRPr="00CF791A">
        <w:rPr>
          <w:b/>
          <w:bCs/>
          <w:szCs w:val="24"/>
        </w:rPr>
        <w:t>Issue</w:t>
      </w:r>
      <w:r w:rsidRPr="00CF791A">
        <w:rPr>
          <w:szCs w:val="24"/>
        </w:rPr>
        <w:t xml:space="preserve">: </w:t>
      </w:r>
      <w:sdt>
        <w:sdtPr>
          <w:rPr>
            <w:szCs w:val="24"/>
          </w:rPr>
          <w:alias w:val="Status"/>
          <w:tag w:val=""/>
          <w:id w:val="-363136698"/>
          <w:placeholder>
            <w:docPart w:val="A060FBB04FB04E2A8F752577B007401B"/>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0 (For consultation)</w:t>
          </w:r>
        </w:sdtContent>
      </w:sdt>
    </w:p>
    <w:p w14:paraId="08757D60" w14:textId="77777777" w:rsidR="00171724" w:rsidRPr="00CF791A" w:rsidRDefault="00171724" w:rsidP="00171724">
      <w:pPr>
        <w:rPr>
          <w:szCs w:val="24"/>
        </w:rPr>
      </w:pPr>
      <w:r w:rsidRPr="00CF791A">
        <w:rPr>
          <w:b/>
          <w:bCs/>
          <w:szCs w:val="24"/>
        </w:rPr>
        <w:t>Published</w:t>
      </w:r>
      <w:r w:rsidRPr="00CF791A">
        <w:rPr>
          <w:szCs w:val="24"/>
        </w:rPr>
        <w:t xml:space="preserve">: </w:t>
      </w:r>
      <w:r w:rsidRPr="005B68CE">
        <w:rPr>
          <w:szCs w:val="24"/>
        </w:rPr>
        <w:t>December 2026</w:t>
      </w:r>
    </w:p>
    <w:p w14:paraId="1E577EC1" w14:textId="77777777" w:rsidR="00171724" w:rsidRDefault="00171724" w:rsidP="00171724">
      <w:pPr>
        <w:rPr>
          <w:szCs w:val="24"/>
        </w:rPr>
      </w:pPr>
      <w:r w:rsidRPr="00CF791A">
        <w:rPr>
          <w:b/>
          <w:bCs/>
          <w:szCs w:val="24"/>
        </w:rPr>
        <w:t>Next scheduled review</w:t>
      </w:r>
      <w:r w:rsidRPr="00CF791A">
        <w:rPr>
          <w:szCs w:val="24"/>
        </w:rPr>
        <w:t xml:space="preserve">: </w:t>
      </w:r>
      <w:r>
        <w:rPr>
          <w:szCs w:val="24"/>
        </w:rPr>
        <w:t>January</w:t>
      </w:r>
      <w:r w:rsidRPr="00000872">
        <w:rPr>
          <w:szCs w:val="24"/>
        </w:rPr>
        <w:t xml:space="preserve"> 203</w:t>
      </w:r>
      <w:r>
        <w:rPr>
          <w:szCs w:val="24"/>
        </w:rPr>
        <w:t>2</w:t>
      </w:r>
    </w:p>
    <w:p w14:paraId="01A350FF" w14:textId="02D9D7DE" w:rsidR="00171724" w:rsidRDefault="00171724" w:rsidP="00171724">
      <w:pPr>
        <w:rPr>
          <w:szCs w:val="24"/>
        </w:rPr>
      </w:pPr>
      <w:r>
        <w:rPr>
          <w:szCs w:val="24"/>
        </w:rPr>
        <w:t>A full revision history of the SAPs can be found on the ONR website.</w:t>
      </w:r>
    </w:p>
    <w:p w14:paraId="1DA67267" w14:textId="77777777" w:rsidR="00171724" w:rsidRPr="00CF791A" w:rsidRDefault="00171724" w:rsidP="00171724">
      <w:pPr>
        <w:rPr>
          <w:szCs w:val="24"/>
        </w:rPr>
      </w:pPr>
    </w:p>
    <w:p w14:paraId="04AC0EA8" w14:textId="77777777" w:rsidR="00E243D0" w:rsidRPr="00CF791A" w:rsidRDefault="00E243D0" w:rsidP="00E243D0">
      <w:pPr>
        <w:pStyle w:val="Paragraph"/>
        <w:ind w:left="1134" w:hanging="1134"/>
        <w:rPr>
          <w:sz w:val="48"/>
          <w:szCs w:val="44"/>
        </w:rPr>
      </w:pPr>
      <w:r w:rsidRPr="00CF791A">
        <w:rPr>
          <w:sz w:val="48"/>
          <w:szCs w:val="44"/>
        </w:rPr>
        <w:t xml:space="preserve">Further information </w:t>
      </w:r>
    </w:p>
    <w:p w14:paraId="57BAF1B6" w14:textId="77777777" w:rsidR="00E243D0" w:rsidRPr="00CF791A" w:rsidRDefault="00E243D0" w:rsidP="00E243D0">
      <w:pPr>
        <w:pStyle w:val="Paragraph"/>
        <w:ind w:left="1134" w:hanging="1134"/>
      </w:pPr>
      <w:r w:rsidRPr="00CF791A">
        <w:t xml:space="preserve">This document is available via the ONR website. </w:t>
      </w:r>
    </w:p>
    <w:p w14:paraId="39D7B32D" w14:textId="7EC6C277" w:rsidR="00E243D0" w:rsidRPr="00CF791A" w:rsidRDefault="00E243D0" w:rsidP="00E243D0">
      <w:pPr>
        <w:pStyle w:val="Paragraph"/>
      </w:pPr>
      <w:r w:rsidRPr="00CF791A">
        <w:t xml:space="preserve">The text of this document may be reproduced free of charge in any format or medium, providing that it is reproduced accurately and not in a misleading context under the terms of the </w:t>
      </w:r>
      <w:hyperlink r:id="rId19" w:history="1">
        <w:r w:rsidR="005F0A82" w:rsidRPr="005F0A82">
          <w:rPr>
            <w:rStyle w:val="Hyperlink"/>
          </w:rPr>
          <w:t>Open Government Licence</w:t>
        </w:r>
      </w:hyperlink>
      <w:r w:rsidRPr="00CF791A" w:rsidDel="005F0A82">
        <w:t xml:space="preserve"> </w:t>
      </w:r>
      <w:r w:rsidRPr="00CF791A">
        <w:t>v</w:t>
      </w:r>
      <w:r w:rsidR="00384C4F">
        <w:t>3</w:t>
      </w:r>
      <w:r w:rsidRPr="00CF791A">
        <w:t>.0.</w:t>
      </w:r>
    </w:p>
    <w:p w14:paraId="230199F2" w14:textId="77777777" w:rsidR="00E243D0" w:rsidRPr="00CF791A" w:rsidRDefault="00E243D0" w:rsidP="00E243D0">
      <w:pPr>
        <w:spacing w:before="240" w:after="120"/>
      </w:pPr>
      <w:r w:rsidRPr="00CF791A">
        <w:t xml:space="preserve">ONR logos cannot be reproduced without the prior written permission of the Office for Nuclear Regulation. Some images and illustrations may not be owned by ONR and cannot be reproduced without permission of the copyright owner. </w:t>
      </w:r>
    </w:p>
    <w:p w14:paraId="0F7B8F2A" w14:textId="77777777" w:rsidR="00E243D0" w:rsidRPr="00CF791A" w:rsidRDefault="00E243D0" w:rsidP="00E243D0">
      <w:pPr>
        <w:spacing w:before="240" w:after="120"/>
      </w:pPr>
      <w:r w:rsidRPr="00CF791A">
        <w:t>Any enquiries regarding this publication should be addressed to:</w:t>
      </w:r>
    </w:p>
    <w:p w14:paraId="12300538" w14:textId="77777777" w:rsidR="00E243D0" w:rsidRPr="00CF791A" w:rsidRDefault="00E243D0" w:rsidP="000C5554">
      <w:pPr>
        <w:spacing w:after="0"/>
        <w:jc w:val="both"/>
      </w:pPr>
      <w:r w:rsidRPr="00CF791A">
        <w:t>ONR Communications team</w:t>
      </w:r>
    </w:p>
    <w:p w14:paraId="5744E958" w14:textId="77777777" w:rsidR="00E243D0" w:rsidRPr="00CF791A" w:rsidRDefault="00E243D0" w:rsidP="000C5554">
      <w:pPr>
        <w:spacing w:after="0"/>
        <w:jc w:val="both"/>
      </w:pPr>
      <w:r w:rsidRPr="00CF791A">
        <w:t>Office for Nuclear Regulation</w:t>
      </w:r>
    </w:p>
    <w:p w14:paraId="09B8B10F" w14:textId="77777777" w:rsidR="00E243D0" w:rsidRPr="00CF791A" w:rsidRDefault="00E243D0" w:rsidP="000C5554">
      <w:pPr>
        <w:spacing w:after="0"/>
        <w:jc w:val="both"/>
      </w:pPr>
      <w:r w:rsidRPr="00CF791A">
        <w:t>Redgrave Court</w:t>
      </w:r>
    </w:p>
    <w:p w14:paraId="0D6D48FF" w14:textId="77777777" w:rsidR="00E243D0" w:rsidRPr="00CF791A" w:rsidRDefault="00E243D0" w:rsidP="000C5554">
      <w:pPr>
        <w:spacing w:after="0"/>
        <w:jc w:val="both"/>
      </w:pPr>
      <w:r w:rsidRPr="00CF791A">
        <w:t>Merton Road</w:t>
      </w:r>
    </w:p>
    <w:p w14:paraId="3496091F" w14:textId="16872237" w:rsidR="00E243D0" w:rsidRPr="00CF791A" w:rsidRDefault="00E243D0" w:rsidP="000C5554">
      <w:pPr>
        <w:spacing w:after="0"/>
        <w:jc w:val="both"/>
      </w:pPr>
      <w:r w:rsidRPr="00CF791A">
        <w:t>Bootle</w:t>
      </w:r>
    </w:p>
    <w:p w14:paraId="7AE8C3B9" w14:textId="77777777" w:rsidR="00E243D0" w:rsidRPr="00CF791A" w:rsidRDefault="00E243D0" w:rsidP="000C5554">
      <w:pPr>
        <w:spacing w:after="0"/>
        <w:jc w:val="both"/>
      </w:pPr>
      <w:r w:rsidRPr="00CF791A">
        <w:t>Merseyside</w:t>
      </w:r>
    </w:p>
    <w:p w14:paraId="4EA98BC3" w14:textId="77777777" w:rsidR="00E243D0" w:rsidRPr="00CF791A" w:rsidRDefault="00E243D0" w:rsidP="000C5554">
      <w:pPr>
        <w:spacing w:after="0"/>
        <w:jc w:val="both"/>
      </w:pPr>
      <w:r w:rsidRPr="00CF791A">
        <w:t>L20 7HS</w:t>
      </w:r>
    </w:p>
    <w:p w14:paraId="18F53475" w14:textId="77777777" w:rsidR="0096606A" w:rsidRPr="00CF791A" w:rsidRDefault="0096606A" w:rsidP="000C5554">
      <w:pPr>
        <w:spacing w:after="0"/>
      </w:pPr>
    </w:p>
    <w:p w14:paraId="5DC44E67" w14:textId="77777777" w:rsidR="004D6921" w:rsidRPr="00CF791A" w:rsidRDefault="004D6921" w:rsidP="000C5554">
      <w:pPr>
        <w:spacing w:after="0"/>
      </w:pPr>
      <w:r w:rsidRPr="00CF791A">
        <w:t>© Office for Nuclear Regulation, 2026</w:t>
      </w:r>
    </w:p>
    <w:p w14:paraId="5963A5E9" w14:textId="2C03EFCF" w:rsidR="00E243D0" w:rsidRPr="00CF791A" w:rsidRDefault="004D6921" w:rsidP="000C5554">
      <w:pPr>
        <w:spacing w:after="0"/>
      </w:pPr>
      <w:r w:rsidRPr="00CF791A">
        <w:t xml:space="preserve">For published documents, the electronic copy on the ONR website remains the most current publicly available version and copying or printing renders this document uncontrolled. If you wish to reuse this information visit </w:t>
      </w:r>
      <w:hyperlink r:id="rId20" w:history="1">
        <w:r w:rsidR="00EA4BA2" w:rsidRPr="00CF791A">
          <w:rPr>
            <w:rStyle w:val="Hyperlink"/>
          </w:rPr>
          <w:t>www.onr.org.uk/copyright</w:t>
        </w:r>
      </w:hyperlink>
      <w:r w:rsidRPr="00CF791A">
        <w:t xml:space="preserve"> for details.</w:t>
      </w:r>
    </w:p>
    <w:p w14:paraId="286C5846" w14:textId="01006849" w:rsidR="0046408E" w:rsidRPr="00CF791A" w:rsidRDefault="0046408E" w:rsidP="00B41A0D">
      <w:pPr>
        <w:spacing w:after="0"/>
        <w:ind w:left="720"/>
      </w:pPr>
      <w:bookmarkStart w:id="176" w:name="_Introduction"/>
      <w:bookmarkStart w:id="177" w:name="_SFAIRP,_ALARP_and"/>
      <w:bookmarkStart w:id="178" w:name="_Fundamental_principles"/>
      <w:bookmarkStart w:id="179" w:name="_FP.3_–_Optimisation"/>
      <w:bookmarkStart w:id="180" w:name="_FP.7_–_Emergency"/>
      <w:bookmarkStart w:id="181" w:name="_Leadership_and_management"/>
      <w:bookmarkStart w:id="182" w:name="_MS.2_–_Capable"/>
      <w:bookmarkStart w:id="183" w:name="_The_regulatory_assessment"/>
      <w:bookmarkStart w:id="184" w:name="_SC.4_–_Safety"/>
      <w:bookmarkStart w:id="185" w:name="_SC.6_–_Safety"/>
      <w:bookmarkStart w:id="186" w:name="_Siting_aspects"/>
      <w:bookmarkStart w:id="187" w:name="_ST.3_–_Local"/>
      <w:bookmarkStart w:id="188" w:name="_ST.4_–_Suitability"/>
      <w:bookmarkStart w:id="189" w:name="_ST.6_–_Multi-facility"/>
      <w:bookmarkStart w:id="190" w:name="_Toc212556519"/>
      <w:bookmarkStart w:id="191" w:name="_Toc212628552"/>
      <w:bookmarkStart w:id="192" w:name="_Toc212630683"/>
      <w:bookmarkStart w:id="193" w:name="_Toc212556520"/>
      <w:bookmarkStart w:id="194" w:name="_Toc212628553"/>
      <w:bookmarkStart w:id="195" w:name="_Toc212630684"/>
      <w:bookmarkStart w:id="196" w:name="_Toc212556521"/>
      <w:bookmarkStart w:id="197" w:name="_Toc212628554"/>
      <w:bookmarkStart w:id="198" w:name="_Toc212630685"/>
      <w:bookmarkStart w:id="199" w:name="_Toc212556522"/>
      <w:bookmarkStart w:id="200" w:name="_Toc212628555"/>
      <w:bookmarkStart w:id="201" w:name="_Toc212630686"/>
      <w:bookmarkStart w:id="202" w:name="_Toc212556523"/>
      <w:bookmarkStart w:id="203" w:name="_Toc212628556"/>
      <w:bookmarkStart w:id="204" w:name="_Toc212630687"/>
      <w:bookmarkStart w:id="205" w:name="_Toc212556524"/>
      <w:bookmarkStart w:id="206" w:name="_Toc212628557"/>
      <w:bookmarkStart w:id="207" w:name="_Toc212630688"/>
      <w:bookmarkStart w:id="208" w:name="_Toc212556525"/>
      <w:bookmarkStart w:id="209" w:name="_Toc212628558"/>
      <w:bookmarkStart w:id="210" w:name="_Toc212630689"/>
      <w:bookmarkStart w:id="211" w:name="_Toc212556526"/>
      <w:bookmarkStart w:id="212" w:name="_Toc212628559"/>
      <w:bookmarkStart w:id="213" w:name="_Toc212630690"/>
      <w:bookmarkStart w:id="214" w:name="_Toc212556527"/>
      <w:bookmarkStart w:id="215" w:name="_Toc212628560"/>
      <w:bookmarkStart w:id="216" w:name="_Toc212630691"/>
      <w:bookmarkStart w:id="217" w:name="_Toc212556528"/>
      <w:bookmarkStart w:id="218" w:name="_Toc212628561"/>
      <w:bookmarkStart w:id="219" w:name="_Toc212630692"/>
      <w:bookmarkStart w:id="220" w:name="_Toc212556529"/>
      <w:bookmarkStart w:id="221" w:name="_Toc212628562"/>
      <w:bookmarkStart w:id="222" w:name="_Toc212630693"/>
      <w:bookmarkStart w:id="223" w:name="_Toc212556530"/>
      <w:bookmarkStart w:id="224" w:name="_Toc212628563"/>
      <w:bookmarkStart w:id="225" w:name="_Toc212630694"/>
      <w:bookmarkStart w:id="226" w:name="_Toc212556531"/>
      <w:bookmarkStart w:id="227" w:name="_Toc212628564"/>
      <w:bookmarkStart w:id="228" w:name="_Toc212630695"/>
      <w:bookmarkStart w:id="229" w:name="_Engineering_principles"/>
      <w:bookmarkStart w:id="230" w:name="_EKP.1_–_Inherent"/>
      <w:bookmarkStart w:id="231" w:name="_EKP.3_–_Defence"/>
      <w:bookmarkStart w:id="232" w:name="_EKP.5_–_Safety"/>
      <w:bookmarkStart w:id="233" w:name="_Safety_classification_and"/>
      <w:bookmarkStart w:id="234" w:name="_ECS.1_–_Safety"/>
      <w:bookmarkStart w:id="235" w:name="_ECS.2_–_Safety"/>
      <w:bookmarkStart w:id="236" w:name="_ECS.3_–_Codes"/>
      <w:bookmarkStart w:id="237" w:name="_ECS.5_–_Use"/>
      <w:bookmarkStart w:id="238" w:name="_EQU.1_–_Qualification"/>
      <w:bookmarkStart w:id="239" w:name="_EDR.1_–_Failure"/>
      <w:bookmarkStart w:id="240" w:name="_EDR.2_–_Redundancy,"/>
      <w:bookmarkStart w:id="241" w:name="_EDR.3_–_Common"/>
      <w:bookmarkStart w:id="242" w:name="_EDR.4_–_Single"/>
      <w:bookmarkStart w:id="243" w:name="_ERL.3_–_Engineered"/>
      <w:bookmarkStart w:id="244" w:name="_EMT.1_–_Identification"/>
      <w:bookmarkStart w:id="245" w:name="_EMT.2_–_Frequency"/>
      <w:bookmarkStart w:id="246" w:name="_EMT.6_–_Reliability"/>
      <w:bookmarkStart w:id="247" w:name="_EMT.8_–_Continuing"/>
      <w:bookmarkStart w:id="248" w:name="_EAD.1_–_Safe"/>
      <w:bookmarkStart w:id="249" w:name="_EAD.2_–_Lifetime"/>
      <w:bookmarkStart w:id="250" w:name="_EAD.3_–_Periodic"/>
      <w:bookmarkStart w:id="251" w:name="_EAD.4_–_Periodic"/>
      <w:bookmarkStart w:id="252" w:name="_EAD.5_–_Obsolescence"/>
      <w:bookmarkStart w:id="253" w:name="_ELO.4_–_Minimisation"/>
      <w:bookmarkStart w:id="254" w:name="_EHA.1_–_Identification"/>
      <w:bookmarkStart w:id="255" w:name="_EHA.19_-_Screening"/>
      <w:bookmarkStart w:id="256" w:name="_EHA.219_-_Screening"/>
      <w:bookmarkStart w:id="257" w:name="_EHA.32_–_Data"/>
      <w:bookmarkStart w:id="258" w:name="_EHA.4_–_Characterisation"/>
      <w:bookmarkStart w:id="259" w:name="_EHA.43_–_Design"/>
      <w:bookmarkStart w:id="260" w:name="_EHA.4_–_Design"/>
      <w:bookmarkStart w:id="261" w:name="_EHA.54_–_Design"/>
      <w:bookmarkStart w:id="262" w:name="_EHA.4_5_–"/>
      <w:bookmarkStart w:id="263" w:name="_EHA.5_–_Hazard"/>
      <w:bookmarkStart w:id="264" w:name="_EHA.65_–_Hazard"/>
      <w:bookmarkStart w:id="265" w:name="_EHA.5_–_Design"/>
      <w:bookmarkStart w:id="266" w:name="_EHA.75_–_Design"/>
      <w:bookmarkStart w:id="267" w:name="_EHA.18_–_Beyond"/>
      <w:bookmarkStart w:id="268" w:name="_EHA.8_–_Cliff"/>
      <w:bookmarkStart w:id="269" w:name="_EHA.7_–_‘Cliff-edge’"/>
      <w:bookmarkStart w:id="270" w:name="_EHA.12_–_Flooding"/>
      <w:bookmarkStart w:id="271" w:name="_EHA.13_–_Use,"/>
      <w:bookmarkStart w:id="272" w:name="_EHA.15_–_Hazards"/>
      <w:bookmarkStart w:id="273" w:name="_EMC.1_–_Safety"/>
      <w:bookmarkStart w:id="274" w:name="_EMC.2_–_Use"/>
      <w:bookmarkStart w:id="275" w:name="_EMC.3_–_Evidence"/>
      <w:bookmarkStart w:id="276" w:name="_EMC.4_–_Procedural"/>
      <w:bookmarkStart w:id="277" w:name="_EMC.5_–_Defects"/>
      <w:bookmarkStart w:id="278" w:name="_EMC.7_–_Loadings"/>
      <w:bookmarkStart w:id="279" w:name="_EMC.8_–_Providing"/>
      <w:bookmarkStart w:id="280" w:name="_EMC.13_–_Materials"/>
      <w:bookmarkStart w:id="281" w:name="_EMC.20_–_Records"/>
      <w:bookmarkStart w:id="282" w:name="_EMC.27_–_Examination"/>
      <w:bookmarkStart w:id="283" w:name="_EMC.28_–_Margins"/>
      <w:bookmarkStart w:id="284" w:name="_EMC.30_–_Qualification"/>
      <w:bookmarkStart w:id="285" w:name="_EMC.21_–_Safe"/>
      <w:bookmarkStart w:id="286" w:name="_EMC.24_–_Operation"/>
      <w:bookmarkStart w:id="287" w:name="_EMC.25_-_Leakage"/>
      <w:bookmarkStart w:id="288" w:name="_EMC.26_–_Forewarning"/>
      <w:bookmarkStart w:id="289" w:name="_EMC.32_–_Stress"/>
      <w:bookmarkStart w:id="290" w:name="_EMC.34_–_Defect"/>
      <w:bookmarkStart w:id="291" w:name="_EMC.34_–_Defect_1"/>
      <w:bookmarkStart w:id="292" w:name="_ECE.9_–_Earthworks"/>
      <w:bookmarkStart w:id="293" w:name="_ECE.17_–_Prevention"/>
      <w:bookmarkStart w:id="294" w:name="_ECE.20_–_Inspection,"/>
      <w:bookmarkStart w:id="295" w:name="_ECE.23_–_Inspection"/>
      <w:bookmarkStart w:id="296" w:name="_EGR.1_–_Safety"/>
      <w:bookmarkStart w:id="297" w:name="_ESS.4_–_Adequacy"/>
      <w:bookmarkStart w:id="298" w:name="_ESS.8_–_Automatic"/>
      <w:bookmarkStart w:id="299" w:name="_ESS.9_–_Time"/>
      <w:bookmarkStart w:id="300" w:name="_ESS.10_–_Definition"/>
      <w:bookmarkStart w:id="301" w:name="_ESS.11_–_Demonstration"/>
      <w:bookmarkStart w:id="302" w:name="_ESS.21_–_Safety"/>
      <w:bookmarkStart w:id="303" w:name="_ESS.22_–_Avoidance"/>
      <w:bookmarkStart w:id="304" w:name="_ESR.1_–_Provision"/>
      <w:bookmarkStart w:id="305" w:name="_ESR.10_–_Demands"/>
      <w:bookmarkStart w:id="306" w:name="_Essential_services"/>
      <w:bookmarkStart w:id="307" w:name="_ESS.3_–_Capacity,"/>
      <w:bookmarkStart w:id="308" w:name="_Human_factors"/>
      <w:bookmarkStart w:id="309" w:name="_EHF.1_–_Integration"/>
      <w:bookmarkStart w:id="310" w:name="_EHF.3_–_Identification"/>
      <w:bookmarkStart w:id="311" w:name="_EHF.4_–_Identification"/>
      <w:bookmarkStart w:id="312" w:name="_EHF.5_–_Task"/>
      <w:bookmarkStart w:id="313" w:name="_EHF.6_–_Workspace"/>
      <w:bookmarkStart w:id="314" w:name="_EHF.7_–_User"/>
      <w:bookmarkStart w:id="315" w:name="_EHF.8_–_Personnel"/>
      <w:bookmarkStart w:id="316" w:name="_EHF.9_–_Procedures"/>
      <w:bookmarkStart w:id="317" w:name="_EHF.11_–_Staffing"/>
      <w:bookmarkStart w:id="318" w:name="_EHF.12_–_Fitness"/>
      <w:bookmarkStart w:id="319" w:name="_EHF.10_–_Human"/>
      <w:bookmarkStart w:id="320" w:name="_ENM.1_–_Strategies"/>
      <w:bookmarkStart w:id="321" w:name="_ENM.5_–_Characterisation"/>
      <w:bookmarkStart w:id="322" w:name="_Radiation_protection"/>
      <w:bookmarkStart w:id="323" w:name="_Fault_analysis"/>
      <w:bookmarkStart w:id="324" w:name="_FA.1_-_Design"/>
      <w:bookmarkStart w:id="325" w:name="_FA.2_-_Identification"/>
      <w:bookmarkStart w:id="326" w:name="_FA.4_–_Fault"/>
      <w:bookmarkStart w:id="327" w:name="_FA.5_–_Initiating"/>
      <w:bookmarkStart w:id="328" w:name="_FA.6_–_Fault"/>
      <w:bookmarkStart w:id="329" w:name="_FA.7_–_Consequences"/>
      <w:bookmarkStart w:id="330" w:name="_FA.8_–_Linking"/>
      <w:bookmarkStart w:id="331" w:name="_FA.9_–_Further"/>
      <w:bookmarkStart w:id="332" w:name="_FA.12_–_Scope"/>
      <w:bookmarkStart w:id="333" w:name="_FA.15_–_Scope"/>
      <w:bookmarkStart w:id="334" w:name="_FA.16_–_Use"/>
      <w:bookmarkStart w:id="335" w:name="_FA.25_–_Relationship"/>
      <w:bookmarkStart w:id="336" w:name="_FA.26_–_Further"/>
      <w:bookmarkStart w:id="337" w:name="_FA.27_–_Practical"/>
      <w:bookmarkStart w:id="338" w:name="_Toc217295804"/>
      <w:bookmarkStart w:id="339" w:name="_Toc217295805"/>
      <w:bookmarkStart w:id="340" w:name="_Toc217295806"/>
      <w:bookmarkStart w:id="341" w:name="_Toc217295807"/>
      <w:bookmarkStart w:id="342" w:name="_AV.1_–_Theoretical"/>
      <w:bookmarkStart w:id="343" w:name="_AV.3_–_Use"/>
      <w:bookmarkStart w:id="344" w:name="_AV.5_–_Documentation"/>
      <w:bookmarkStart w:id="345" w:name="_AV.7_–_Data"/>
      <w:bookmarkStart w:id="346" w:name="_AV.8_–_Update"/>
      <w:bookmarkStart w:id="347" w:name="_Numerical_targets"/>
      <w:bookmarkStart w:id="348" w:name="_Toc217295809"/>
      <w:bookmarkStart w:id="349" w:name="_Toc217295810"/>
      <w:bookmarkStart w:id="350" w:name="_Toc217295811"/>
      <w:bookmarkStart w:id="351" w:name="_Toc217295812"/>
      <w:bookmarkStart w:id="352" w:name="_Toc217295813"/>
      <w:bookmarkStart w:id="353" w:name="_Toc217295814"/>
      <w:bookmarkStart w:id="354" w:name="_Toc217295815"/>
      <w:bookmarkStart w:id="355" w:name="_Toc217295816"/>
      <w:bookmarkStart w:id="356" w:name="_Toc217295817"/>
      <w:bookmarkStart w:id="357" w:name="_Toc217295818"/>
      <w:bookmarkStart w:id="358" w:name="_Toc217295819"/>
      <w:bookmarkStart w:id="359" w:name="_Toc217295820"/>
      <w:bookmarkStart w:id="360" w:name="_NT.3_–_Applying"/>
      <w:bookmarkStart w:id="361" w:name="_Toc217295821"/>
      <w:bookmarkStart w:id="362" w:name="_Toc217295822"/>
      <w:bookmarkStart w:id="363" w:name="_Toc217295823"/>
      <w:bookmarkStart w:id="364" w:name="_Toc217295824"/>
      <w:bookmarkStart w:id="365" w:name="_Toc217295825"/>
      <w:bookmarkStart w:id="366" w:name="_Toc217295826"/>
      <w:bookmarkStart w:id="367" w:name="_Toc217295827"/>
      <w:bookmarkStart w:id="368" w:name="_Toc217295828"/>
      <w:bookmarkStart w:id="369" w:name="_Toc217295829"/>
      <w:bookmarkStart w:id="370" w:name="_Toc217295830"/>
      <w:bookmarkStart w:id="371" w:name="_NT.1_–_Assessment"/>
      <w:bookmarkStart w:id="372" w:name="_Toc217295831"/>
      <w:bookmarkStart w:id="373" w:name="_Toc217295832"/>
      <w:bookmarkStart w:id="374" w:name="_Toc217295833"/>
      <w:bookmarkStart w:id="375" w:name="_Toc217295834"/>
      <w:bookmarkStart w:id="376" w:name="_Toc217295835"/>
      <w:bookmarkStart w:id="377" w:name="_Toc217295836"/>
      <w:bookmarkStart w:id="378" w:name="_Toc217295837"/>
      <w:bookmarkStart w:id="379" w:name="_Toc217295861"/>
      <w:bookmarkStart w:id="380" w:name="_Toc217295862"/>
      <w:bookmarkStart w:id="381" w:name="_Toc217295863"/>
      <w:bookmarkStart w:id="382" w:name="_Toc217295864"/>
      <w:bookmarkStart w:id="383" w:name="_Toc217295865"/>
      <w:bookmarkStart w:id="384" w:name="_Toc217295866"/>
      <w:bookmarkStart w:id="385" w:name="_Toc217295867"/>
      <w:bookmarkStart w:id="386" w:name="_Toc217295868"/>
      <w:bookmarkStart w:id="387" w:name="_Toc217295869"/>
      <w:bookmarkStart w:id="388" w:name="_Toc217295870"/>
      <w:bookmarkStart w:id="389" w:name="_Toc217295871"/>
      <w:bookmarkStart w:id="390" w:name="_Toc217295872"/>
      <w:bookmarkStart w:id="391" w:name="_Toc217295895"/>
      <w:bookmarkStart w:id="392" w:name="_Toc217295896"/>
      <w:bookmarkStart w:id="393" w:name="_Toc217295897"/>
      <w:bookmarkStart w:id="394" w:name="_Toc217295898"/>
      <w:bookmarkStart w:id="395" w:name="_Toc217295899"/>
      <w:bookmarkStart w:id="396" w:name="_Target_5:_Individual"/>
      <w:bookmarkStart w:id="397" w:name="_Toc217295900"/>
      <w:bookmarkStart w:id="398" w:name="_Toc217295901"/>
      <w:bookmarkStart w:id="399" w:name="_Toc217295902"/>
      <w:bookmarkStart w:id="400" w:name="_Toc217295903"/>
      <w:bookmarkStart w:id="401" w:name="_Toc217295904"/>
      <w:bookmarkStart w:id="402" w:name="_Toc217295905"/>
      <w:bookmarkStart w:id="403" w:name="_Toc217295928"/>
      <w:bookmarkStart w:id="404" w:name="_Toc217295929"/>
      <w:bookmarkStart w:id="405" w:name="_Toc217295930"/>
      <w:bookmarkStart w:id="406" w:name="_Toc217295931"/>
      <w:bookmarkStart w:id="407" w:name="_Toc217295932"/>
      <w:bookmarkStart w:id="408" w:name="_Toc217295933"/>
      <w:bookmarkStart w:id="409" w:name="_Toc217295934"/>
      <w:bookmarkStart w:id="410" w:name="_Toc217295935"/>
      <w:bookmarkStart w:id="411" w:name="_Toc217295936"/>
      <w:bookmarkStart w:id="412" w:name="_Target_7:_Individual"/>
      <w:bookmarkStart w:id="413" w:name="_Toc217295937"/>
      <w:bookmarkStart w:id="414" w:name="_Toc217295938"/>
      <w:bookmarkStart w:id="415" w:name="_Toc217295939"/>
      <w:bookmarkStart w:id="416" w:name="_Toc217295940"/>
      <w:bookmarkStart w:id="417" w:name="_Toc217295941"/>
      <w:bookmarkStart w:id="418" w:name="_Toc217295942"/>
      <w:bookmarkStart w:id="419" w:name="_Toc217295943"/>
      <w:bookmarkStart w:id="420" w:name="_Toc217295970"/>
      <w:bookmarkStart w:id="421" w:name="_Toc217295971"/>
      <w:bookmarkStart w:id="422" w:name="_Toc217295972"/>
      <w:bookmarkStart w:id="423" w:name="_Toc217295973"/>
      <w:bookmarkStart w:id="424" w:name="_Toc217295974"/>
      <w:bookmarkStart w:id="425" w:name="_Toc217295975"/>
      <w:bookmarkStart w:id="426" w:name="_Toc217295976"/>
      <w:bookmarkStart w:id="427" w:name="_Toc217295977"/>
      <w:bookmarkStart w:id="428" w:name="_Toc217295978"/>
      <w:bookmarkStart w:id="429" w:name="_Toc217295979"/>
      <w:bookmarkStart w:id="430" w:name="_Toc217295980"/>
      <w:bookmarkStart w:id="431" w:name="_Toc217295981"/>
      <w:bookmarkStart w:id="432" w:name="_Toc217295982"/>
      <w:bookmarkStart w:id="433" w:name="_Toc217295983"/>
      <w:bookmarkStart w:id="434" w:name="_Toc217295984"/>
      <w:bookmarkStart w:id="435" w:name="_Toc217295985"/>
      <w:bookmarkStart w:id="436" w:name="_Toc217295986"/>
      <w:bookmarkStart w:id="437" w:name="_Toc217295987"/>
      <w:bookmarkStart w:id="438" w:name="_Toc217295988"/>
      <w:bookmarkStart w:id="439" w:name="_Toc217295989"/>
      <w:bookmarkStart w:id="440" w:name="_Toc217295990"/>
      <w:bookmarkStart w:id="441" w:name="_Target_9:_Total"/>
      <w:bookmarkStart w:id="442" w:name="_Toc217295991"/>
      <w:bookmarkStart w:id="443" w:name="_Toc217295992"/>
      <w:bookmarkStart w:id="444" w:name="_Toc217295993"/>
      <w:bookmarkStart w:id="445" w:name="_Toc217295994"/>
      <w:bookmarkStart w:id="446" w:name="_Toc217295995"/>
      <w:bookmarkStart w:id="447" w:name="_Toc217295996"/>
      <w:bookmarkStart w:id="448" w:name="_Toc217295997"/>
      <w:bookmarkStart w:id="449" w:name="_Toc217295998"/>
      <w:bookmarkStart w:id="450" w:name="_Toc217295999"/>
      <w:bookmarkStart w:id="451" w:name="_Toc217296000"/>
      <w:bookmarkStart w:id="452" w:name="_Toc217296001"/>
      <w:bookmarkStart w:id="453" w:name="_Toc217296002"/>
      <w:bookmarkStart w:id="454" w:name="_Toc217296003"/>
      <w:bookmarkStart w:id="455" w:name="_Toc217296004"/>
      <w:bookmarkStart w:id="456" w:name="_Toc217296005"/>
      <w:bookmarkStart w:id="457" w:name="_Toc217296006"/>
      <w:bookmarkStart w:id="458" w:name="_NT.2_–_Time"/>
      <w:bookmarkStart w:id="459" w:name="_Toc217296007"/>
      <w:bookmarkStart w:id="460" w:name="_Toc217296008"/>
      <w:bookmarkStart w:id="461" w:name="_Toc217296009"/>
      <w:bookmarkStart w:id="462" w:name="_Toc217296010"/>
      <w:bookmarkStart w:id="463" w:name="_Toc217296011"/>
      <w:bookmarkStart w:id="464" w:name="_Toc217296012"/>
      <w:bookmarkStart w:id="465" w:name="_Toc217296013"/>
      <w:bookmarkStart w:id="466" w:name="_Toc217296014"/>
      <w:bookmarkStart w:id="467" w:name="_Toc217296015"/>
      <w:bookmarkStart w:id="468" w:name="_Accident_management_and"/>
      <w:bookmarkStart w:id="469" w:name="_AM.1_–_Planning"/>
      <w:bookmarkStart w:id="470" w:name="_Radioactive_waste_management"/>
      <w:bookmarkStart w:id="471" w:name="_DC.1_–_Design"/>
      <w:bookmarkStart w:id="472" w:name="_DC.5_–_Passive"/>
      <w:bookmarkStart w:id="473" w:name="_RL.7_–_Records"/>
      <w:bookmarkStart w:id="474" w:name="_RL.10_Conceptual_site"/>
      <w:bookmarkStart w:id="475" w:name="_RW.1_–_Strategies"/>
      <w:bookmarkStart w:id="476" w:name="_RW.2_–_Generation"/>
      <w:bookmarkStart w:id="477" w:name="_RW.4_–_Characterisation"/>
      <w:bookmarkStart w:id="478" w:name="_RW.5_-_Storage"/>
      <w:bookmarkStart w:id="479" w:name="_RW.6_–_Passive"/>
      <w:bookmarkStart w:id="480" w:name="_RW.7_–_Making"/>
      <w:bookmarkStart w:id="481" w:name="_Decommissioning"/>
      <w:bookmarkStart w:id="482" w:name="_DC.2_–_Decommissioning"/>
      <w:bookmarkStart w:id="483" w:name="_DC.4_–_Planning"/>
      <w:bookmarkStart w:id="484" w:name="_DC.9_–_Decommissioning"/>
      <w:bookmarkStart w:id="485" w:name="_Land_quality_management"/>
      <w:bookmarkStart w:id="486" w:name="_RL.1_–_Strategies"/>
      <w:bookmarkStart w:id="487" w:name="_RL.4_–_Characterisation"/>
      <w:bookmarkStart w:id="488" w:name="_RL.5_–_Survey,"/>
      <w:bookmarkStart w:id="489" w:name="_RL.6_–_Plan"/>
      <w:bookmarkStart w:id="490" w:name="_Annex_1_-"/>
      <w:bookmarkStart w:id="491" w:name="_Annex_1_–"/>
      <w:bookmarkStart w:id="492" w:name="_Annex_2:_Basis"/>
      <w:bookmarkStart w:id="493" w:name="_Annex_2_–"/>
      <w:bookmarkStart w:id="494" w:name="_Glossary"/>
      <w:bookmarkStart w:id="495" w:name="_Abbreviations"/>
      <w:bookmarkStart w:id="496" w:name="_SAPs_revision_history"/>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sectPr w:rsidR="0046408E" w:rsidRPr="00CF791A" w:rsidSect="00996A47">
      <w:headerReference w:type="default" r:id="rId21"/>
      <w:headerReference w:type="first" r:id="rId22"/>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987ED" w14:textId="77777777" w:rsidR="00533EC4" w:rsidRPr="008E530E" w:rsidRDefault="00533EC4" w:rsidP="007D199A">
      <w:pPr>
        <w:spacing w:after="0"/>
      </w:pPr>
      <w:r w:rsidRPr="008E530E">
        <w:separator/>
      </w:r>
    </w:p>
    <w:p w14:paraId="30503DA1" w14:textId="77777777" w:rsidR="00533EC4" w:rsidRPr="008E530E" w:rsidRDefault="00533EC4"/>
  </w:endnote>
  <w:endnote w:type="continuationSeparator" w:id="0">
    <w:p w14:paraId="22850C83" w14:textId="77777777" w:rsidR="00533EC4" w:rsidRPr="008E530E" w:rsidRDefault="00533EC4" w:rsidP="007D199A">
      <w:pPr>
        <w:spacing w:after="0"/>
      </w:pPr>
      <w:r w:rsidRPr="008E530E">
        <w:continuationSeparator/>
      </w:r>
    </w:p>
    <w:p w14:paraId="653DB316" w14:textId="77777777" w:rsidR="00533EC4" w:rsidRPr="008E530E" w:rsidRDefault="00533EC4"/>
  </w:endnote>
  <w:endnote w:type="continuationNotice" w:id="1">
    <w:p w14:paraId="711A4B44" w14:textId="77777777" w:rsidR="00533EC4" w:rsidRPr="008E530E" w:rsidRDefault="00533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3B57" w14:textId="59C6714E" w:rsidR="0096606A" w:rsidRPr="0096606A" w:rsidRDefault="0096606A">
    <w:pPr>
      <w:pStyle w:val="Footer"/>
    </w:pPr>
    <w:r w:rsidRPr="0096606A">
      <w:t xml:space="preserve">Page </w:t>
    </w:r>
    <w:r w:rsidRPr="000C5554">
      <w:fldChar w:fldCharType="begin"/>
    </w:r>
    <w:r w:rsidRPr="000C5554">
      <w:instrText>PAGE  \* Arabic  \* MERGEFORMAT</w:instrText>
    </w:r>
    <w:r w:rsidRPr="000C5554">
      <w:fldChar w:fldCharType="separate"/>
    </w:r>
    <w:r w:rsidRPr="000C5554">
      <w:t>1</w:t>
    </w:r>
    <w:r w:rsidRPr="000C5554">
      <w:fldChar w:fldCharType="end"/>
    </w:r>
    <w:r w:rsidRPr="0096606A">
      <w:t xml:space="preserve"> of </w:t>
    </w:r>
    <w:fldSimple w:instr="NUMPAGES  \* Arabic  \* MERGEFORMAT">
      <w:r w:rsidRPr="000C5554">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DBD93" w14:textId="77777777" w:rsidR="00533EC4" w:rsidRPr="008E530E" w:rsidRDefault="00533EC4" w:rsidP="005E0344">
      <w:pPr>
        <w:spacing w:after="120"/>
        <w:rPr>
          <w:color w:val="000000" w:themeColor="text2"/>
        </w:rPr>
      </w:pPr>
      <w:r w:rsidRPr="008E530E">
        <w:rPr>
          <w:color w:val="000000" w:themeColor="text2"/>
        </w:rPr>
        <w:separator/>
      </w:r>
    </w:p>
  </w:footnote>
  <w:footnote w:type="continuationSeparator" w:id="0">
    <w:p w14:paraId="73EAB02B" w14:textId="77777777" w:rsidR="00533EC4" w:rsidRPr="008E530E" w:rsidRDefault="00533EC4" w:rsidP="0090581D">
      <w:pPr>
        <w:spacing w:after="120"/>
        <w:rPr>
          <w:color w:val="000000" w:themeColor="text2"/>
        </w:rPr>
      </w:pPr>
      <w:r w:rsidRPr="008E530E">
        <w:rPr>
          <w:color w:val="000000" w:themeColor="text2"/>
        </w:rPr>
        <w:continuationSeparator/>
      </w:r>
    </w:p>
    <w:p w14:paraId="0D755EC1" w14:textId="77777777" w:rsidR="00533EC4" w:rsidRPr="008E530E" w:rsidRDefault="00533EC4"/>
  </w:footnote>
  <w:footnote w:type="continuationNotice" w:id="1">
    <w:p w14:paraId="0262ECC5" w14:textId="77777777" w:rsidR="00533EC4" w:rsidRPr="008E530E" w:rsidRDefault="00533EC4">
      <w:pPr>
        <w:spacing w:after="0"/>
      </w:pPr>
    </w:p>
    <w:p w14:paraId="2821F831" w14:textId="77777777" w:rsidR="00533EC4" w:rsidRPr="008E530E" w:rsidRDefault="00533E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DCA0" w14:textId="706986BB" w:rsidR="00E243D0" w:rsidRPr="008E530E" w:rsidRDefault="00736AFF" w:rsidP="00736AFF">
    <w:pPr>
      <w:pStyle w:val="Header"/>
      <w:tabs>
        <w:tab w:val="right" w:pos="9000"/>
      </w:tabs>
      <w:rPr>
        <w:sz w:val="20"/>
        <w:szCs w:val="28"/>
      </w:rPr>
    </w:pPr>
    <w:r w:rsidRPr="008E530E">
      <w:rPr>
        <w:sz w:val="20"/>
        <w:szCs w:val="28"/>
      </w:rPr>
      <w:t xml:space="preserve">Safety assessment principles for nuclear facilities (2026 edition) | Issue: </w:t>
    </w:r>
    <w:sdt>
      <w:sdtPr>
        <w:rPr>
          <w:sz w:val="20"/>
          <w:szCs w:val="28"/>
        </w:rPr>
        <w:alias w:val="Status"/>
        <w:tag w:val=""/>
        <w:id w:val="1612476000"/>
        <w:placeholder>
          <w:docPart w:val="8CDB535349404FBD8E7FDDEF6A54EFFB"/>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8"/>
          </w:rPr>
          <w:t>0 (For consultation)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7A9E" w14:textId="77777777" w:rsidR="00E243D0" w:rsidRPr="008E530E" w:rsidRDefault="00E243D0" w:rsidP="002C3D04">
    <w:pPr>
      <w:pStyle w:val="Header"/>
      <w:tabs>
        <w:tab w:val="right" w:pos="9000"/>
      </w:tabs>
      <w:rPr>
        <w:sz w:val="16"/>
      </w:rPr>
    </w:pPr>
    <w:r w:rsidRPr="008E530E">
      <w:rPr>
        <w:sz w:val="16"/>
      </w:rPr>
      <w:t>Safety assessment principles for nuclear facilities</w:t>
    </w:r>
    <w:r w:rsidRPr="008E530E">
      <w:rPr>
        <w:sz w:val="16"/>
      </w:rPr>
      <w:tab/>
      <w:t>Introduction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67CB" w14:textId="1B62B7E3" w:rsidR="008C791E" w:rsidRPr="008E530E" w:rsidRDefault="00F651B8" w:rsidP="002C3D04">
    <w:pPr>
      <w:pStyle w:val="Header"/>
      <w:tabs>
        <w:tab w:val="right" w:pos="9000"/>
      </w:tabs>
      <w:rPr>
        <w:sz w:val="20"/>
        <w:szCs w:val="28"/>
      </w:rPr>
    </w:pPr>
    <w:r w:rsidRPr="008E530E">
      <w:rPr>
        <w:sz w:val="20"/>
        <w:szCs w:val="28"/>
      </w:rPr>
      <w:t>Safety assessment principles for nuclear facilities (2026 edition)</w:t>
    </w:r>
    <w:r w:rsidR="00DD2D75" w:rsidRPr="008E530E">
      <w:rPr>
        <w:sz w:val="20"/>
        <w:szCs w:val="28"/>
      </w:rPr>
      <w:t xml:space="preserve"> | Issue: </w:t>
    </w:r>
    <w:sdt>
      <w:sdtPr>
        <w:rPr>
          <w:sz w:val="20"/>
          <w:szCs w:val="28"/>
        </w:rPr>
        <w:alias w:val="Status"/>
        <w:tag w:val=""/>
        <w:id w:val="226963833"/>
        <w:placeholder>
          <w:docPart w:val="80B0007185F44E61B7EC7B0F24B9833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71724">
          <w:rPr>
            <w:sz w:val="20"/>
            <w:szCs w:val="28"/>
          </w:rPr>
          <w:t>0 (For consultation)</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FCE2" w14:textId="77777777" w:rsidR="008C791E" w:rsidRPr="008E530E" w:rsidRDefault="008C791E" w:rsidP="002C3D04">
    <w:pPr>
      <w:pStyle w:val="Header"/>
      <w:tabs>
        <w:tab w:val="right" w:pos="9000"/>
      </w:tabs>
      <w:rPr>
        <w:sz w:val="16"/>
      </w:rPr>
    </w:pPr>
    <w:r w:rsidRPr="008E530E">
      <w:rPr>
        <w:sz w:val="16"/>
      </w:rPr>
      <w:t>Safety assessment principles for nuclear facilities</w:t>
    </w:r>
    <w:r w:rsidRPr="008E530E">
      <w:rPr>
        <w:sz w:val="16"/>
      </w:rPr>
      <w:tab/>
      <w:t>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2497"/>
    <w:multiLevelType w:val="multilevel"/>
    <w:tmpl w:val="42E0F34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980299"/>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D31C7F"/>
    <w:multiLevelType w:val="multilevel"/>
    <w:tmpl w:val="4516ED42"/>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3A067C"/>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3F4164"/>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71372A"/>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7742C57"/>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397B93"/>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B1D10A0"/>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EB117B"/>
    <w:multiLevelType w:val="multilevel"/>
    <w:tmpl w:val="409CF974"/>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sz w:val="36"/>
        <w:szCs w:val="16"/>
      </w:rPr>
    </w:lvl>
    <w:lvl w:ilvl="2">
      <w:start w:val="1"/>
      <w:numFmt w:val="decimal"/>
      <w:pStyle w:val="Heading3"/>
      <w:lvlText w:val="%1.%2.%3."/>
      <w:lvlJc w:val="left"/>
      <w:pPr>
        <w:ind w:left="357" w:hanging="357"/>
      </w:pPr>
      <w:rPr>
        <w:rFonts w:hint="default"/>
        <w:sz w:val="28"/>
        <w:szCs w:val="12"/>
      </w:rPr>
    </w:lvl>
    <w:lvl w:ilvl="3">
      <w:start w:val="1"/>
      <w:numFmt w:val="decimal"/>
      <w:pStyle w:val="Heading4"/>
      <w:lvlText w:val="%1.%2.%3.%4."/>
      <w:lvlJc w:val="left"/>
      <w:pPr>
        <w:ind w:left="357" w:hanging="357"/>
      </w:pPr>
      <w:rPr>
        <w:rFonts w:hint="default"/>
        <w:sz w:val="24"/>
        <w:szCs w:val="10"/>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123C3A32"/>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7F1A8E"/>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790FAA"/>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9C5EF8"/>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F704B3"/>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1852FC"/>
    <w:multiLevelType w:val="multilevel"/>
    <w:tmpl w:val="246CBA62"/>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DE348C1"/>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E43912"/>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05472C"/>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B841E8"/>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61C3BD5"/>
    <w:multiLevelType w:val="multilevel"/>
    <w:tmpl w:val="FAF8929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78D0730"/>
    <w:multiLevelType w:val="multilevel"/>
    <w:tmpl w:val="9B605F8C"/>
    <w:lvl w:ilvl="0">
      <w:start w:val="1"/>
      <w:numFmt w:val="bullet"/>
      <w:pStyle w:val="Bullet1"/>
      <w:lvlText w:val=""/>
      <w:lvlJc w:val="left"/>
      <w:pPr>
        <w:tabs>
          <w:tab w:val="num" w:pos="-31680"/>
        </w:tabs>
        <w:ind w:left="1440" w:hanging="720"/>
      </w:pPr>
      <w:rPr>
        <w:rFonts w:ascii="Wingdings" w:hAnsi="Wingdings" w:hint="default"/>
        <w:b w:val="0"/>
        <w:i w:val="0"/>
        <w:sz w:val="22"/>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22" w15:restartNumberingAfterBreak="0">
    <w:nsid w:val="2CA45DD2"/>
    <w:multiLevelType w:val="multilevel"/>
    <w:tmpl w:val="385217D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B707C1"/>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4D542E"/>
    <w:multiLevelType w:val="hybridMultilevel"/>
    <w:tmpl w:val="50C6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616387"/>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7" w15:restartNumberingAfterBreak="0">
    <w:nsid w:val="3BB84F87"/>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3B0F0C"/>
    <w:multiLevelType w:val="multilevel"/>
    <w:tmpl w:val="527604DA"/>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421DB2"/>
    <w:multiLevelType w:val="multilevel"/>
    <w:tmpl w:val="81B8159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AA35DF"/>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49012DA"/>
    <w:multiLevelType w:val="hybridMultilevel"/>
    <w:tmpl w:val="0B0E9B2A"/>
    <w:lvl w:ilvl="0" w:tplc="FEEAE03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912809"/>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BE304B8"/>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F2D29DD"/>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9612C2D"/>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A1C3D63"/>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07C4C70"/>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2F64435"/>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44D260A"/>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C857C1"/>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C9A1E6C"/>
    <w:multiLevelType w:val="multilevel"/>
    <w:tmpl w:val="F5B4B55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EE753E3"/>
    <w:multiLevelType w:val="multilevel"/>
    <w:tmpl w:val="0BF0431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F6666B8"/>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F9E51EE"/>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18A0F99"/>
    <w:multiLevelType w:val="multilevel"/>
    <w:tmpl w:val="B6A2067E"/>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4AE0764"/>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5F46359"/>
    <w:multiLevelType w:val="hybridMultilevel"/>
    <w:tmpl w:val="976EEE1A"/>
    <w:lvl w:ilvl="0" w:tplc="DCA436E4">
      <w:start w:val="1"/>
      <w:numFmt w:val="bullet"/>
      <w:pStyle w:val="Bulletlist1"/>
      <w:lvlText w:val=""/>
      <w:lvlJc w:val="left"/>
      <w:pPr>
        <w:ind w:left="840" w:hanging="360"/>
      </w:pPr>
      <w:rPr>
        <w:rFonts w:ascii="Symbol" w:hAnsi="Symbol" w:hint="default"/>
        <w:strike w:val="0"/>
        <w:dstrike w:val="0"/>
        <w:color w:val="07716C" w:themeColor="accent1"/>
        <w:sz w:val="24"/>
      </w:rPr>
    </w:lvl>
    <w:lvl w:ilvl="1" w:tplc="E3061EAE">
      <w:start w:val="1"/>
      <w:numFmt w:val="bullet"/>
      <w:pStyle w:val="Bulletlist2"/>
      <w:lvlText w:val="o"/>
      <w:lvlJc w:val="left"/>
      <w:pPr>
        <w:ind w:left="1920" w:hanging="360"/>
      </w:pPr>
      <w:rPr>
        <w:rFonts w:ascii="Courier New" w:hAnsi="Courier New" w:cs="Courier New" w:hint="default"/>
      </w:rPr>
    </w:lvl>
    <w:lvl w:ilvl="2" w:tplc="1898BF92">
      <w:start w:val="1"/>
      <w:numFmt w:val="bullet"/>
      <w:pStyle w:val="BulletList3"/>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769C0CC7"/>
    <w:multiLevelType w:val="multilevel"/>
    <w:tmpl w:val="DC90380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9C250CC"/>
    <w:multiLevelType w:val="multilevel"/>
    <w:tmpl w:val="F2368FF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A251FC7"/>
    <w:multiLevelType w:val="hybridMultilevel"/>
    <w:tmpl w:val="ABF4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5922F7"/>
    <w:multiLevelType w:val="multilevel"/>
    <w:tmpl w:val="2C3A195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DDF364D"/>
    <w:multiLevelType w:val="hybridMultilevel"/>
    <w:tmpl w:val="DDB04242"/>
    <w:lvl w:ilvl="0" w:tplc="339C4CD6">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E3F1CED"/>
    <w:multiLevelType w:val="multilevel"/>
    <w:tmpl w:val="C6D69E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3941461">
    <w:abstractNumId w:val="47"/>
  </w:num>
  <w:num w:numId="2" w16cid:durableId="2138521070">
    <w:abstractNumId w:val="9"/>
  </w:num>
  <w:num w:numId="3" w16cid:durableId="1865559459">
    <w:abstractNumId w:val="50"/>
  </w:num>
  <w:num w:numId="4" w16cid:durableId="1889101713">
    <w:abstractNumId w:val="26"/>
  </w:num>
  <w:num w:numId="5" w16cid:durableId="2141804882">
    <w:abstractNumId w:val="21"/>
  </w:num>
  <w:num w:numId="6" w16cid:durableId="7968040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2071460">
    <w:abstractNumId w:val="31"/>
  </w:num>
  <w:num w:numId="8" w16cid:durableId="1945189241">
    <w:abstractNumId w:val="52"/>
  </w:num>
  <w:num w:numId="9" w16cid:durableId="1860630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645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0364053">
    <w:abstractNumId w:val="24"/>
  </w:num>
  <w:num w:numId="12" w16cid:durableId="6173716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629286">
    <w:abstractNumId w:val="20"/>
  </w:num>
  <w:num w:numId="14" w16cid:durableId="830635286">
    <w:abstractNumId w:val="10"/>
  </w:num>
  <w:num w:numId="15" w16cid:durableId="760224131">
    <w:abstractNumId w:val="48"/>
  </w:num>
  <w:num w:numId="16" w16cid:durableId="1241452314">
    <w:abstractNumId w:val="2"/>
  </w:num>
  <w:num w:numId="17" w16cid:durableId="80683112">
    <w:abstractNumId w:val="42"/>
  </w:num>
  <w:num w:numId="18" w16cid:durableId="222372791">
    <w:abstractNumId w:val="41"/>
  </w:num>
  <w:num w:numId="19" w16cid:durableId="1604267985">
    <w:abstractNumId w:val="15"/>
  </w:num>
  <w:num w:numId="20" w16cid:durableId="936984813">
    <w:abstractNumId w:val="0"/>
  </w:num>
  <w:num w:numId="21" w16cid:durableId="1201287519">
    <w:abstractNumId w:val="28"/>
  </w:num>
  <w:num w:numId="22" w16cid:durableId="1961297814">
    <w:abstractNumId w:val="22"/>
  </w:num>
  <w:num w:numId="23" w16cid:durableId="1363826248">
    <w:abstractNumId w:val="29"/>
  </w:num>
  <w:num w:numId="24" w16cid:durableId="1275746492">
    <w:abstractNumId w:val="1"/>
  </w:num>
  <w:num w:numId="25" w16cid:durableId="1985232154">
    <w:abstractNumId w:val="8"/>
  </w:num>
  <w:num w:numId="26" w16cid:durableId="649868301">
    <w:abstractNumId w:val="17"/>
  </w:num>
  <w:num w:numId="27" w16cid:durableId="1219434374">
    <w:abstractNumId w:val="6"/>
  </w:num>
  <w:num w:numId="28" w16cid:durableId="1830167780">
    <w:abstractNumId w:val="14"/>
  </w:num>
  <w:num w:numId="29" w16cid:durableId="564873359">
    <w:abstractNumId w:val="32"/>
  </w:num>
  <w:num w:numId="30" w16cid:durableId="961613373">
    <w:abstractNumId w:val="37"/>
  </w:num>
  <w:num w:numId="31" w16cid:durableId="1964966368">
    <w:abstractNumId w:val="39"/>
  </w:num>
  <w:num w:numId="32" w16cid:durableId="498277971">
    <w:abstractNumId w:val="19"/>
  </w:num>
  <w:num w:numId="33" w16cid:durableId="788085521">
    <w:abstractNumId w:val="12"/>
  </w:num>
  <w:num w:numId="34" w16cid:durableId="499470433">
    <w:abstractNumId w:val="18"/>
  </w:num>
  <w:num w:numId="35" w16cid:durableId="1869836224">
    <w:abstractNumId w:val="25"/>
  </w:num>
  <w:num w:numId="36" w16cid:durableId="2054226467">
    <w:abstractNumId w:val="11"/>
  </w:num>
  <w:num w:numId="37" w16cid:durableId="82651282">
    <w:abstractNumId w:val="35"/>
  </w:num>
  <w:num w:numId="38" w16cid:durableId="1839299437">
    <w:abstractNumId w:val="3"/>
  </w:num>
  <w:num w:numId="39" w16cid:durableId="1171606836">
    <w:abstractNumId w:val="36"/>
  </w:num>
  <w:num w:numId="40" w16cid:durableId="429279765">
    <w:abstractNumId w:val="13"/>
  </w:num>
  <w:num w:numId="41" w16cid:durableId="1846509459">
    <w:abstractNumId w:val="44"/>
  </w:num>
  <w:num w:numId="42" w16cid:durableId="642930243">
    <w:abstractNumId w:val="46"/>
  </w:num>
  <w:num w:numId="43" w16cid:durableId="2105807457">
    <w:abstractNumId w:val="30"/>
  </w:num>
  <w:num w:numId="44" w16cid:durableId="1663460809">
    <w:abstractNumId w:val="16"/>
  </w:num>
  <w:num w:numId="45" w16cid:durableId="12924580">
    <w:abstractNumId w:val="7"/>
  </w:num>
  <w:num w:numId="46" w16cid:durableId="607278216">
    <w:abstractNumId w:val="33"/>
  </w:num>
  <w:num w:numId="47" w16cid:durableId="1972711867">
    <w:abstractNumId w:val="5"/>
  </w:num>
  <w:num w:numId="48" w16cid:durableId="1764719751">
    <w:abstractNumId w:val="4"/>
  </w:num>
  <w:num w:numId="49" w16cid:durableId="2037610288">
    <w:abstractNumId w:val="38"/>
  </w:num>
  <w:num w:numId="50" w16cid:durableId="1401634148">
    <w:abstractNumId w:val="40"/>
  </w:num>
  <w:num w:numId="51" w16cid:durableId="509300528">
    <w:abstractNumId w:val="23"/>
  </w:num>
  <w:num w:numId="52" w16cid:durableId="1259799231">
    <w:abstractNumId w:val="34"/>
  </w:num>
  <w:num w:numId="53" w16cid:durableId="1832982875">
    <w:abstractNumId w:val="49"/>
  </w:num>
  <w:num w:numId="54" w16cid:durableId="1024938032">
    <w:abstractNumId w:val="27"/>
  </w:num>
  <w:num w:numId="55" w16cid:durableId="1545679923">
    <w:abstractNumId w:val="53"/>
  </w:num>
  <w:num w:numId="56" w16cid:durableId="1082944351">
    <w:abstractNumId w:val="51"/>
  </w:num>
  <w:num w:numId="57" w16cid:durableId="11417426">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3F"/>
    <w:rsid w:val="00000207"/>
    <w:rsid w:val="0000055D"/>
    <w:rsid w:val="00000872"/>
    <w:rsid w:val="00000917"/>
    <w:rsid w:val="00000DD6"/>
    <w:rsid w:val="00000E1C"/>
    <w:rsid w:val="00000E36"/>
    <w:rsid w:val="0000123B"/>
    <w:rsid w:val="00001403"/>
    <w:rsid w:val="0000148D"/>
    <w:rsid w:val="00001601"/>
    <w:rsid w:val="000017AE"/>
    <w:rsid w:val="000018AE"/>
    <w:rsid w:val="00001B56"/>
    <w:rsid w:val="00001D25"/>
    <w:rsid w:val="000022AA"/>
    <w:rsid w:val="000023AD"/>
    <w:rsid w:val="00002B33"/>
    <w:rsid w:val="00002F03"/>
    <w:rsid w:val="00002F38"/>
    <w:rsid w:val="00003201"/>
    <w:rsid w:val="00003594"/>
    <w:rsid w:val="00003757"/>
    <w:rsid w:val="00003F17"/>
    <w:rsid w:val="00004255"/>
    <w:rsid w:val="00004755"/>
    <w:rsid w:val="00004AEE"/>
    <w:rsid w:val="00004B30"/>
    <w:rsid w:val="00004C16"/>
    <w:rsid w:val="00004E6A"/>
    <w:rsid w:val="000050FE"/>
    <w:rsid w:val="0000550E"/>
    <w:rsid w:val="000058EF"/>
    <w:rsid w:val="00005ACA"/>
    <w:rsid w:val="00005B52"/>
    <w:rsid w:val="00005C68"/>
    <w:rsid w:val="00005D1D"/>
    <w:rsid w:val="00005D6C"/>
    <w:rsid w:val="00005F8F"/>
    <w:rsid w:val="0000607E"/>
    <w:rsid w:val="000063FF"/>
    <w:rsid w:val="0000718A"/>
    <w:rsid w:val="00007226"/>
    <w:rsid w:val="00007368"/>
    <w:rsid w:val="000075F1"/>
    <w:rsid w:val="00007852"/>
    <w:rsid w:val="00007CD7"/>
    <w:rsid w:val="00007E1D"/>
    <w:rsid w:val="00007EED"/>
    <w:rsid w:val="0001009E"/>
    <w:rsid w:val="000103D1"/>
    <w:rsid w:val="000104EC"/>
    <w:rsid w:val="000107D8"/>
    <w:rsid w:val="00010971"/>
    <w:rsid w:val="0001097B"/>
    <w:rsid w:val="00010A04"/>
    <w:rsid w:val="00010C90"/>
    <w:rsid w:val="00010F26"/>
    <w:rsid w:val="00011177"/>
    <w:rsid w:val="00011647"/>
    <w:rsid w:val="00011C77"/>
    <w:rsid w:val="00012439"/>
    <w:rsid w:val="000129C6"/>
    <w:rsid w:val="000130B4"/>
    <w:rsid w:val="00013395"/>
    <w:rsid w:val="000136B7"/>
    <w:rsid w:val="000139BA"/>
    <w:rsid w:val="00013D5D"/>
    <w:rsid w:val="00013DC7"/>
    <w:rsid w:val="00013F7B"/>
    <w:rsid w:val="000140FE"/>
    <w:rsid w:val="00014814"/>
    <w:rsid w:val="00014BEC"/>
    <w:rsid w:val="00014C6E"/>
    <w:rsid w:val="0001559D"/>
    <w:rsid w:val="00015930"/>
    <w:rsid w:val="00015C71"/>
    <w:rsid w:val="00016271"/>
    <w:rsid w:val="00016320"/>
    <w:rsid w:val="0001635A"/>
    <w:rsid w:val="0001637F"/>
    <w:rsid w:val="000169C0"/>
    <w:rsid w:val="00016A4B"/>
    <w:rsid w:val="00016A4E"/>
    <w:rsid w:val="00016B74"/>
    <w:rsid w:val="00016BEA"/>
    <w:rsid w:val="00016CBD"/>
    <w:rsid w:val="00016D64"/>
    <w:rsid w:val="00016E73"/>
    <w:rsid w:val="00016E79"/>
    <w:rsid w:val="00017650"/>
    <w:rsid w:val="0001786A"/>
    <w:rsid w:val="00020142"/>
    <w:rsid w:val="0002026F"/>
    <w:rsid w:val="0002039A"/>
    <w:rsid w:val="000205A8"/>
    <w:rsid w:val="00020801"/>
    <w:rsid w:val="00020C64"/>
    <w:rsid w:val="00020DAC"/>
    <w:rsid w:val="00020EE0"/>
    <w:rsid w:val="00021029"/>
    <w:rsid w:val="0002103F"/>
    <w:rsid w:val="00021160"/>
    <w:rsid w:val="000211FB"/>
    <w:rsid w:val="000212A4"/>
    <w:rsid w:val="000214BC"/>
    <w:rsid w:val="000216BC"/>
    <w:rsid w:val="000216DA"/>
    <w:rsid w:val="000218E0"/>
    <w:rsid w:val="00021BA8"/>
    <w:rsid w:val="00021D1B"/>
    <w:rsid w:val="00021E0B"/>
    <w:rsid w:val="00021F56"/>
    <w:rsid w:val="00021F76"/>
    <w:rsid w:val="0002201A"/>
    <w:rsid w:val="0002240B"/>
    <w:rsid w:val="00022A66"/>
    <w:rsid w:val="00022DD7"/>
    <w:rsid w:val="0002310F"/>
    <w:rsid w:val="000234F0"/>
    <w:rsid w:val="00023522"/>
    <w:rsid w:val="000235EF"/>
    <w:rsid w:val="0002387B"/>
    <w:rsid w:val="00023C9D"/>
    <w:rsid w:val="00023F09"/>
    <w:rsid w:val="00024199"/>
    <w:rsid w:val="0002444D"/>
    <w:rsid w:val="000244F1"/>
    <w:rsid w:val="00024522"/>
    <w:rsid w:val="00024626"/>
    <w:rsid w:val="000248C1"/>
    <w:rsid w:val="00024B2E"/>
    <w:rsid w:val="00024BB2"/>
    <w:rsid w:val="00024C9C"/>
    <w:rsid w:val="00024D97"/>
    <w:rsid w:val="00024E26"/>
    <w:rsid w:val="00024F9E"/>
    <w:rsid w:val="00025114"/>
    <w:rsid w:val="000253B8"/>
    <w:rsid w:val="00025489"/>
    <w:rsid w:val="00025673"/>
    <w:rsid w:val="00025A4B"/>
    <w:rsid w:val="00025AF4"/>
    <w:rsid w:val="00025D94"/>
    <w:rsid w:val="0002608B"/>
    <w:rsid w:val="00026312"/>
    <w:rsid w:val="000267C6"/>
    <w:rsid w:val="00026808"/>
    <w:rsid w:val="00026AD0"/>
    <w:rsid w:val="00026F81"/>
    <w:rsid w:val="000271A4"/>
    <w:rsid w:val="00027358"/>
    <w:rsid w:val="000273DB"/>
    <w:rsid w:val="000274ED"/>
    <w:rsid w:val="0002777A"/>
    <w:rsid w:val="00027896"/>
    <w:rsid w:val="00027D08"/>
    <w:rsid w:val="00027F4F"/>
    <w:rsid w:val="00030119"/>
    <w:rsid w:val="0003023A"/>
    <w:rsid w:val="0003041B"/>
    <w:rsid w:val="00030430"/>
    <w:rsid w:val="0003075B"/>
    <w:rsid w:val="0003078E"/>
    <w:rsid w:val="000309CC"/>
    <w:rsid w:val="00030F33"/>
    <w:rsid w:val="000311AB"/>
    <w:rsid w:val="00031306"/>
    <w:rsid w:val="00031887"/>
    <w:rsid w:val="00031A21"/>
    <w:rsid w:val="00031B89"/>
    <w:rsid w:val="00031FA5"/>
    <w:rsid w:val="000321EF"/>
    <w:rsid w:val="00032204"/>
    <w:rsid w:val="00032218"/>
    <w:rsid w:val="000325AC"/>
    <w:rsid w:val="0003264A"/>
    <w:rsid w:val="000330CC"/>
    <w:rsid w:val="00033200"/>
    <w:rsid w:val="000332E7"/>
    <w:rsid w:val="0003358D"/>
    <w:rsid w:val="00033884"/>
    <w:rsid w:val="00033890"/>
    <w:rsid w:val="0003392E"/>
    <w:rsid w:val="00033A65"/>
    <w:rsid w:val="00033B2F"/>
    <w:rsid w:val="000341AD"/>
    <w:rsid w:val="000343B6"/>
    <w:rsid w:val="000344CF"/>
    <w:rsid w:val="000346D4"/>
    <w:rsid w:val="00034822"/>
    <w:rsid w:val="00034983"/>
    <w:rsid w:val="00034A2F"/>
    <w:rsid w:val="00034B87"/>
    <w:rsid w:val="000351D3"/>
    <w:rsid w:val="0003521B"/>
    <w:rsid w:val="00035315"/>
    <w:rsid w:val="00035536"/>
    <w:rsid w:val="00035668"/>
    <w:rsid w:val="00035864"/>
    <w:rsid w:val="0003589E"/>
    <w:rsid w:val="00035E9B"/>
    <w:rsid w:val="00035ED6"/>
    <w:rsid w:val="00036049"/>
    <w:rsid w:val="000360DA"/>
    <w:rsid w:val="00036119"/>
    <w:rsid w:val="000363F3"/>
    <w:rsid w:val="0003642D"/>
    <w:rsid w:val="00036562"/>
    <w:rsid w:val="0003678F"/>
    <w:rsid w:val="0003693D"/>
    <w:rsid w:val="000369D9"/>
    <w:rsid w:val="000374E6"/>
    <w:rsid w:val="000376CD"/>
    <w:rsid w:val="00037C72"/>
    <w:rsid w:val="00037CB8"/>
    <w:rsid w:val="00037CF9"/>
    <w:rsid w:val="00040029"/>
    <w:rsid w:val="000400A9"/>
    <w:rsid w:val="000403ED"/>
    <w:rsid w:val="000404C2"/>
    <w:rsid w:val="000405D5"/>
    <w:rsid w:val="000405D6"/>
    <w:rsid w:val="0004069C"/>
    <w:rsid w:val="00040868"/>
    <w:rsid w:val="00040974"/>
    <w:rsid w:val="00040E5A"/>
    <w:rsid w:val="00041063"/>
    <w:rsid w:val="00041844"/>
    <w:rsid w:val="00041BE8"/>
    <w:rsid w:val="00041EEE"/>
    <w:rsid w:val="0004205C"/>
    <w:rsid w:val="00042109"/>
    <w:rsid w:val="000425DA"/>
    <w:rsid w:val="0004273D"/>
    <w:rsid w:val="00042825"/>
    <w:rsid w:val="000429E5"/>
    <w:rsid w:val="00042AE0"/>
    <w:rsid w:val="00042BE5"/>
    <w:rsid w:val="00043333"/>
    <w:rsid w:val="00043547"/>
    <w:rsid w:val="00043622"/>
    <w:rsid w:val="000436F0"/>
    <w:rsid w:val="0004377B"/>
    <w:rsid w:val="00043CD2"/>
    <w:rsid w:val="00043D5E"/>
    <w:rsid w:val="00043DCD"/>
    <w:rsid w:val="00043DFC"/>
    <w:rsid w:val="000441AB"/>
    <w:rsid w:val="000442F3"/>
    <w:rsid w:val="0004438D"/>
    <w:rsid w:val="0004440F"/>
    <w:rsid w:val="000449DC"/>
    <w:rsid w:val="00044A24"/>
    <w:rsid w:val="00044C84"/>
    <w:rsid w:val="00044E6D"/>
    <w:rsid w:val="0004544A"/>
    <w:rsid w:val="0004560E"/>
    <w:rsid w:val="000456CB"/>
    <w:rsid w:val="00045C03"/>
    <w:rsid w:val="0004600E"/>
    <w:rsid w:val="0004623C"/>
    <w:rsid w:val="000463B3"/>
    <w:rsid w:val="000463DE"/>
    <w:rsid w:val="000463F9"/>
    <w:rsid w:val="0004643D"/>
    <w:rsid w:val="00046889"/>
    <w:rsid w:val="00046AB2"/>
    <w:rsid w:val="00046BCB"/>
    <w:rsid w:val="00046CD7"/>
    <w:rsid w:val="00046DB9"/>
    <w:rsid w:val="000470E0"/>
    <w:rsid w:val="00047370"/>
    <w:rsid w:val="00047437"/>
    <w:rsid w:val="000474FA"/>
    <w:rsid w:val="000476BC"/>
    <w:rsid w:val="000478AB"/>
    <w:rsid w:val="000478D8"/>
    <w:rsid w:val="00047A13"/>
    <w:rsid w:val="00047D9D"/>
    <w:rsid w:val="00047F09"/>
    <w:rsid w:val="000500A8"/>
    <w:rsid w:val="0005014F"/>
    <w:rsid w:val="00050367"/>
    <w:rsid w:val="000503C3"/>
    <w:rsid w:val="000505C4"/>
    <w:rsid w:val="00050A1A"/>
    <w:rsid w:val="00050B0A"/>
    <w:rsid w:val="00050F0D"/>
    <w:rsid w:val="00050F49"/>
    <w:rsid w:val="00051087"/>
    <w:rsid w:val="00051188"/>
    <w:rsid w:val="000512A6"/>
    <w:rsid w:val="00051698"/>
    <w:rsid w:val="0005187E"/>
    <w:rsid w:val="00051B32"/>
    <w:rsid w:val="00051B73"/>
    <w:rsid w:val="00051B92"/>
    <w:rsid w:val="000525A2"/>
    <w:rsid w:val="00052C3F"/>
    <w:rsid w:val="00052C8A"/>
    <w:rsid w:val="00052D84"/>
    <w:rsid w:val="00052DDF"/>
    <w:rsid w:val="00052F44"/>
    <w:rsid w:val="00053086"/>
    <w:rsid w:val="000530A1"/>
    <w:rsid w:val="000532B2"/>
    <w:rsid w:val="0005337C"/>
    <w:rsid w:val="000537A5"/>
    <w:rsid w:val="000537B7"/>
    <w:rsid w:val="000537DE"/>
    <w:rsid w:val="00053B0B"/>
    <w:rsid w:val="00053B6F"/>
    <w:rsid w:val="00053BF3"/>
    <w:rsid w:val="00053BF9"/>
    <w:rsid w:val="00053EA1"/>
    <w:rsid w:val="000540C9"/>
    <w:rsid w:val="000541DF"/>
    <w:rsid w:val="000542C9"/>
    <w:rsid w:val="00054470"/>
    <w:rsid w:val="0005487E"/>
    <w:rsid w:val="000548C8"/>
    <w:rsid w:val="00054A4C"/>
    <w:rsid w:val="0005514F"/>
    <w:rsid w:val="000552CF"/>
    <w:rsid w:val="000552D9"/>
    <w:rsid w:val="000555CE"/>
    <w:rsid w:val="000556B5"/>
    <w:rsid w:val="00055B00"/>
    <w:rsid w:val="00055CE3"/>
    <w:rsid w:val="00056045"/>
    <w:rsid w:val="00056295"/>
    <w:rsid w:val="0005655D"/>
    <w:rsid w:val="00056A19"/>
    <w:rsid w:val="00056F4D"/>
    <w:rsid w:val="00056F9A"/>
    <w:rsid w:val="0005703E"/>
    <w:rsid w:val="00057102"/>
    <w:rsid w:val="0005723A"/>
    <w:rsid w:val="0005724D"/>
    <w:rsid w:val="00057295"/>
    <w:rsid w:val="00057451"/>
    <w:rsid w:val="00057640"/>
    <w:rsid w:val="00057774"/>
    <w:rsid w:val="000577C3"/>
    <w:rsid w:val="000577C5"/>
    <w:rsid w:val="00057959"/>
    <w:rsid w:val="000579CA"/>
    <w:rsid w:val="00057B0D"/>
    <w:rsid w:val="00057C5A"/>
    <w:rsid w:val="00057CB9"/>
    <w:rsid w:val="00057E06"/>
    <w:rsid w:val="00057E6F"/>
    <w:rsid w:val="000600A7"/>
    <w:rsid w:val="00060450"/>
    <w:rsid w:val="000605CB"/>
    <w:rsid w:val="0006067B"/>
    <w:rsid w:val="00060A88"/>
    <w:rsid w:val="00060C2D"/>
    <w:rsid w:val="00060F58"/>
    <w:rsid w:val="00060FA8"/>
    <w:rsid w:val="000612E2"/>
    <w:rsid w:val="0006150C"/>
    <w:rsid w:val="00061541"/>
    <w:rsid w:val="00061644"/>
    <w:rsid w:val="0006174D"/>
    <w:rsid w:val="00061BDD"/>
    <w:rsid w:val="00061E4E"/>
    <w:rsid w:val="00062057"/>
    <w:rsid w:val="00062196"/>
    <w:rsid w:val="00062508"/>
    <w:rsid w:val="000629DB"/>
    <w:rsid w:val="00063259"/>
    <w:rsid w:val="00063416"/>
    <w:rsid w:val="000638B9"/>
    <w:rsid w:val="000638E3"/>
    <w:rsid w:val="00063975"/>
    <w:rsid w:val="00063E9F"/>
    <w:rsid w:val="00063EBC"/>
    <w:rsid w:val="000648BC"/>
    <w:rsid w:val="00064BAD"/>
    <w:rsid w:val="00064C41"/>
    <w:rsid w:val="000651EC"/>
    <w:rsid w:val="00065437"/>
    <w:rsid w:val="0006549E"/>
    <w:rsid w:val="000654B7"/>
    <w:rsid w:val="000655C6"/>
    <w:rsid w:val="000655D3"/>
    <w:rsid w:val="000656D6"/>
    <w:rsid w:val="000657A8"/>
    <w:rsid w:val="0006591A"/>
    <w:rsid w:val="00065BA5"/>
    <w:rsid w:val="00065D21"/>
    <w:rsid w:val="00065D39"/>
    <w:rsid w:val="00065F8C"/>
    <w:rsid w:val="000663B0"/>
    <w:rsid w:val="000669AF"/>
    <w:rsid w:val="00066A4E"/>
    <w:rsid w:val="00066D71"/>
    <w:rsid w:val="00066D7F"/>
    <w:rsid w:val="00067492"/>
    <w:rsid w:val="000677CA"/>
    <w:rsid w:val="00067858"/>
    <w:rsid w:val="000678CD"/>
    <w:rsid w:val="00067971"/>
    <w:rsid w:val="00067E80"/>
    <w:rsid w:val="00067EBE"/>
    <w:rsid w:val="0007032B"/>
    <w:rsid w:val="00070392"/>
    <w:rsid w:val="00070563"/>
    <w:rsid w:val="0007092F"/>
    <w:rsid w:val="00070A1E"/>
    <w:rsid w:val="00070AF9"/>
    <w:rsid w:val="00070B9B"/>
    <w:rsid w:val="00070E2A"/>
    <w:rsid w:val="00070FAE"/>
    <w:rsid w:val="00071E96"/>
    <w:rsid w:val="00071FC8"/>
    <w:rsid w:val="00072142"/>
    <w:rsid w:val="000721A4"/>
    <w:rsid w:val="000722B5"/>
    <w:rsid w:val="0007241E"/>
    <w:rsid w:val="00072460"/>
    <w:rsid w:val="00072651"/>
    <w:rsid w:val="0007274D"/>
    <w:rsid w:val="0007277F"/>
    <w:rsid w:val="000729A2"/>
    <w:rsid w:val="00072A9C"/>
    <w:rsid w:val="00072AEC"/>
    <w:rsid w:val="00072BC6"/>
    <w:rsid w:val="00072C1C"/>
    <w:rsid w:val="00072C72"/>
    <w:rsid w:val="00072DDC"/>
    <w:rsid w:val="000733B1"/>
    <w:rsid w:val="00073476"/>
    <w:rsid w:val="000735AA"/>
    <w:rsid w:val="00073882"/>
    <w:rsid w:val="00073A1D"/>
    <w:rsid w:val="00073B31"/>
    <w:rsid w:val="00073C5F"/>
    <w:rsid w:val="00073DF3"/>
    <w:rsid w:val="00073F50"/>
    <w:rsid w:val="0007401B"/>
    <w:rsid w:val="00074545"/>
    <w:rsid w:val="0007462C"/>
    <w:rsid w:val="000749CB"/>
    <w:rsid w:val="00074A82"/>
    <w:rsid w:val="00074C50"/>
    <w:rsid w:val="00074C62"/>
    <w:rsid w:val="00074EED"/>
    <w:rsid w:val="00075047"/>
    <w:rsid w:val="0007506F"/>
    <w:rsid w:val="00075250"/>
    <w:rsid w:val="00075605"/>
    <w:rsid w:val="000759A7"/>
    <w:rsid w:val="00075B70"/>
    <w:rsid w:val="00075C66"/>
    <w:rsid w:val="00075DCA"/>
    <w:rsid w:val="0007601B"/>
    <w:rsid w:val="000760A8"/>
    <w:rsid w:val="000763BD"/>
    <w:rsid w:val="000764A0"/>
    <w:rsid w:val="000765AE"/>
    <w:rsid w:val="00076637"/>
    <w:rsid w:val="0007678C"/>
    <w:rsid w:val="00076A4D"/>
    <w:rsid w:val="00076AE8"/>
    <w:rsid w:val="00076E6B"/>
    <w:rsid w:val="00076FEB"/>
    <w:rsid w:val="000770BF"/>
    <w:rsid w:val="00077545"/>
    <w:rsid w:val="000776D5"/>
    <w:rsid w:val="000776DB"/>
    <w:rsid w:val="00077737"/>
    <w:rsid w:val="00077BBA"/>
    <w:rsid w:val="00077D76"/>
    <w:rsid w:val="00077E3B"/>
    <w:rsid w:val="00077EC0"/>
    <w:rsid w:val="00077F87"/>
    <w:rsid w:val="00080004"/>
    <w:rsid w:val="000800C1"/>
    <w:rsid w:val="000803C8"/>
    <w:rsid w:val="00080658"/>
    <w:rsid w:val="00080761"/>
    <w:rsid w:val="00080849"/>
    <w:rsid w:val="00080B3D"/>
    <w:rsid w:val="00080B54"/>
    <w:rsid w:val="00080C23"/>
    <w:rsid w:val="00080D6A"/>
    <w:rsid w:val="00081092"/>
    <w:rsid w:val="000811CC"/>
    <w:rsid w:val="000811EA"/>
    <w:rsid w:val="00081442"/>
    <w:rsid w:val="0008245F"/>
    <w:rsid w:val="00082606"/>
    <w:rsid w:val="00082879"/>
    <w:rsid w:val="000829EE"/>
    <w:rsid w:val="000831E9"/>
    <w:rsid w:val="0008365F"/>
    <w:rsid w:val="00083D37"/>
    <w:rsid w:val="0008441D"/>
    <w:rsid w:val="00084704"/>
    <w:rsid w:val="000849F4"/>
    <w:rsid w:val="00084B84"/>
    <w:rsid w:val="00085594"/>
    <w:rsid w:val="0008563A"/>
    <w:rsid w:val="00085A33"/>
    <w:rsid w:val="00086223"/>
    <w:rsid w:val="00086344"/>
    <w:rsid w:val="0008641D"/>
    <w:rsid w:val="00086537"/>
    <w:rsid w:val="00086743"/>
    <w:rsid w:val="00086863"/>
    <w:rsid w:val="00086A16"/>
    <w:rsid w:val="00086A7D"/>
    <w:rsid w:val="00086B9F"/>
    <w:rsid w:val="00086CBA"/>
    <w:rsid w:val="00086D4E"/>
    <w:rsid w:val="00086D8C"/>
    <w:rsid w:val="00086E49"/>
    <w:rsid w:val="0008711A"/>
    <w:rsid w:val="00087342"/>
    <w:rsid w:val="000873AD"/>
    <w:rsid w:val="000874B3"/>
    <w:rsid w:val="00087595"/>
    <w:rsid w:val="000875EE"/>
    <w:rsid w:val="0008779F"/>
    <w:rsid w:val="000878EF"/>
    <w:rsid w:val="00087B78"/>
    <w:rsid w:val="00087D72"/>
    <w:rsid w:val="00087EED"/>
    <w:rsid w:val="000901D2"/>
    <w:rsid w:val="000904E4"/>
    <w:rsid w:val="000906CF"/>
    <w:rsid w:val="00090798"/>
    <w:rsid w:val="00090B57"/>
    <w:rsid w:val="00090BD4"/>
    <w:rsid w:val="00090E15"/>
    <w:rsid w:val="0009129A"/>
    <w:rsid w:val="00091480"/>
    <w:rsid w:val="000915CB"/>
    <w:rsid w:val="000916CE"/>
    <w:rsid w:val="000918AB"/>
    <w:rsid w:val="00091B07"/>
    <w:rsid w:val="00091EA8"/>
    <w:rsid w:val="00091EEA"/>
    <w:rsid w:val="00091EFB"/>
    <w:rsid w:val="000921E4"/>
    <w:rsid w:val="00092526"/>
    <w:rsid w:val="000925B5"/>
    <w:rsid w:val="000926AA"/>
    <w:rsid w:val="00092782"/>
    <w:rsid w:val="00092902"/>
    <w:rsid w:val="000929B1"/>
    <w:rsid w:val="00092A3F"/>
    <w:rsid w:val="00093130"/>
    <w:rsid w:val="000931B7"/>
    <w:rsid w:val="0009332B"/>
    <w:rsid w:val="00093467"/>
    <w:rsid w:val="000934D1"/>
    <w:rsid w:val="0009357F"/>
    <w:rsid w:val="00093664"/>
    <w:rsid w:val="00093BA4"/>
    <w:rsid w:val="00093BDD"/>
    <w:rsid w:val="00093BE3"/>
    <w:rsid w:val="00093C10"/>
    <w:rsid w:val="00093D70"/>
    <w:rsid w:val="00093D7A"/>
    <w:rsid w:val="00093EB2"/>
    <w:rsid w:val="00093FCE"/>
    <w:rsid w:val="000940DA"/>
    <w:rsid w:val="000942C4"/>
    <w:rsid w:val="0009433C"/>
    <w:rsid w:val="000944C4"/>
    <w:rsid w:val="00094527"/>
    <w:rsid w:val="00094639"/>
    <w:rsid w:val="00094715"/>
    <w:rsid w:val="000952DE"/>
    <w:rsid w:val="00095407"/>
    <w:rsid w:val="0009540F"/>
    <w:rsid w:val="0009553D"/>
    <w:rsid w:val="000955D1"/>
    <w:rsid w:val="00095606"/>
    <w:rsid w:val="000956E6"/>
    <w:rsid w:val="00095823"/>
    <w:rsid w:val="00095837"/>
    <w:rsid w:val="00095C98"/>
    <w:rsid w:val="00096147"/>
    <w:rsid w:val="00096CE7"/>
    <w:rsid w:val="00096DCE"/>
    <w:rsid w:val="00096F0E"/>
    <w:rsid w:val="00097057"/>
    <w:rsid w:val="0009753F"/>
    <w:rsid w:val="00097776"/>
    <w:rsid w:val="00097A70"/>
    <w:rsid w:val="00097F2E"/>
    <w:rsid w:val="00097FA2"/>
    <w:rsid w:val="000A02C2"/>
    <w:rsid w:val="000A0415"/>
    <w:rsid w:val="000A05D9"/>
    <w:rsid w:val="000A101E"/>
    <w:rsid w:val="000A109E"/>
    <w:rsid w:val="000A1293"/>
    <w:rsid w:val="000A1300"/>
    <w:rsid w:val="000A13EC"/>
    <w:rsid w:val="000A199E"/>
    <w:rsid w:val="000A1A71"/>
    <w:rsid w:val="000A1E93"/>
    <w:rsid w:val="000A20E2"/>
    <w:rsid w:val="000A239D"/>
    <w:rsid w:val="000A23B2"/>
    <w:rsid w:val="000A23D6"/>
    <w:rsid w:val="000A2664"/>
    <w:rsid w:val="000A2BF0"/>
    <w:rsid w:val="000A2DC9"/>
    <w:rsid w:val="000A2EA2"/>
    <w:rsid w:val="000A3209"/>
    <w:rsid w:val="000A358F"/>
    <w:rsid w:val="000A375F"/>
    <w:rsid w:val="000A37FB"/>
    <w:rsid w:val="000A3834"/>
    <w:rsid w:val="000A398A"/>
    <w:rsid w:val="000A3CC2"/>
    <w:rsid w:val="000A3D52"/>
    <w:rsid w:val="000A3DD9"/>
    <w:rsid w:val="000A3E6F"/>
    <w:rsid w:val="000A4035"/>
    <w:rsid w:val="000A46B9"/>
    <w:rsid w:val="000A472C"/>
    <w:rsid w:val="000A47ED"/>
    <w:rsid w:val="000A4BF3"/>
    <w:rsid w:val="000A4DDC"/>
    <w:rsid w:val="000A51CF"/>
    <w:rsid w:val="000A5635"/>
    <w:rsid w:val="000A57A0"/>
    <w:rsid w:val="000A5847"/>
    <w:rsid w:val="000A592D"/>
    <w:rsid w:val="000A59B4"/>
    <w:rsid w:val="000A5EB8"/>
    <w:rsid w:val="000A603A"/>
    <w:rsid w:val="000A60C6"/>
    <w:rsid w:val="000A65FC"/>
    <w:rsid w:val="000A6777"/>
    <w:rsid w:val="000A6B0F"/>
    <w:rsid w:val="000A6DBA"/>
    <w:rsid w:val="000A6F6A"/>
    <w:rsid w:val="000A7559"/>
    <w:rsid w:val="000A78BE"/>
    <w:rsid w:val="000A7A01"/>
    <w:rsid w:val="000A7BEA"/>
    <w:rsid w:val="000A7EBF"/>
    <w:rsid w:val="000A7F2D"/>
    <w:rsid w:val="000B04B1"/>
    <w:rsid w:val="000B0BCC"/>
    <w:rsid w:val="000B0C35"/>
    <w:rsid w:val="000B0CE6"/>
    <w:rsid w:val="000B0E4D"/>
    <w:rsid w:val="000B122C"/>
    <w:rsid w:val="000B13D6"/>
    <w:rsid w:val="000B1946"/>
    <w:rsid w:val="000B19A0"/>
    <w:rsid w:val="000B2188"/>
    <w:rsid w:val="000B26B3"/>
    <w:rsid w:val="000B26EB"/>
    <w:rsid w:val="000B280F"/>
    <w:rsid w:val="000B2841"/>
    <w:rsid w:val="000B2CF1"/>
    <w:rsid w:val="000B2D61"/>
    <w:rsid w:val="000B3438"/>
    <w:rsid w:val="000B3530"/>
    <w:rsid w:val="000B3557"/>
    <w:rsid w:val="000B36B3"/>
    <w:rsid w:val="000B37D6"/>
    <w:rsid w:val="000B385D"/>
    <w:rsid w:val="000B3CBB"/>
    <w:rsid w:val="000B3D55"/>
    <w:rsid w:val="000B4027"/>
    <w:rsid w:val="000B4126"/>
    <w:rsid w:val="000B427A"/>
    <w:rsid w:val="000B45BF"/>
    <w:rsid w:val="000B4735"/>
    <w:rsid w:val="000B48C1"/>
    <w:rsid w:val="000B49DE"/>
    <w:rsid w:val="000B4B6D"/>
    <w:rsid w:val="000B4F80"/>
    <w:rsid w:val="000B5102"/>
    <w:rsid w:val="000B539E"/>
    <w:rsid w:val="000B54C7"/>
    <w:rsid w:val="000B5AD9"/>
    <w:rsid w:val="000B5CFD"/>
    <w:rsid w:val="000B5D75"/>
    <w:rsid w:val="000B61BC"/>
    <w:rsid w:val="000B622A"/>
    <w:rsid w:val="000B62BC"/>
    <w:rsid w:val="000B63DC"/>
    <w:rsid w:val="000B67AC"/>
    <w:rsid w:val="000B69ED"/>
    <w:rsid w:val="000B6C88"/>
    <w:rsid w:val="000B76F3"/>
    <w:rsid w:val="000B774C"/>
    <w:rsid w:val="000B7758"/>
    <w:rsid w:val="000B79B1"/>
    <w:rsid w:val="000B7E86"/>
    <w:rsid w:val="000C01EC"/>
    <w:rsid w:val="000C0324"/>
    <w:rsid w:val="000C03C4"/>
    <w:rsid w:val="000C0670"/>
    <w:rsid w:val="000C0882"/>
    <w:rsid w:val="000C0A08"/>
    <w:rsid w:val="000C0A90"/>
    <w:rsid w:val="000C0C48"/>
    <w:rsid w:val="000C0CD6"/>
    <w:rsid w:val="000C0F40"/>
    <w:rsid w:val="000C101B"/>
    <w:rsid w:val="000C12CB"/>
    <w:rsid w:val="000C15D0"/>
    <w:rsid w:val="000C1864"/>
    <w:rsid w:val="000C1879"/>
    <w:rsid w:val="000C1F7A"/>
    <w:rsid w:val="000C2067"/>
    <w:rsid w:val="000C2401"/>
    <w:rsid w:val="000C2919"/>
    <w:rsid w:val="000C2C29"/>
    <w:rsid w:val="000C2DDC"/>
    <w:rsid w:val="000C2E56"/>
    <w:rsid w:val="000C3053"/>
    <w:rsid w:val="000C32D7"/>
    <w:rsid w:val="000C344E"/>
    <w:rsid w:val="000C3BE0"/>
    <w:rsid w:val="000C3C8A"/>
    <w:rsid w:val="000C3CD3"/>
    <w:rsid w:val="000C3F43"/>
    <w:rsid w:val="000C40E5"/>
    <w:rsid w:val="000C41D2"/>
    <w:rsid w:val="000C41D8"/>
    <w:rsid w:val="000C4417"/>
    <w:rsid w:val="000C4459"/>
    <w:rsid w:val="000C449B"/>
    <w:rsid w:val="000C45E9"/>
    <w:rsid w:val="000C48B5"/>
    <w:rsid w:val="000C4B3D"/>
    <w:rsid w:val="000C4C7B"/>
    <w:rsid w:val="000C4CDF"/>
    <w:rsid w:val="000C506D"/>
    <w:rsid w:val="000C5072"/>
    <w:rsid w:val="000C5219"/>
    <w:rsid w:val="000C538D"/>
    <w:rsid w:val="000C5554"/>
    <w:rsid w:val="000C5641"/>
    <w:rsid w:val="000C61BC"/>
    <w:rsid w:val="000C62C9"/>
    <w:rsid w:val="000C6320"/>
    <w:rsid w:val="000C6498"/>
    <w:rsid w:val="000C65A4"/>
    <w:rsid w:val="000C667C"/>
    <w:rsid w:val="000C6931"/>
    <w:rsid w:val="000C6BCD"/>
    <w:rsid w:val="000C6CBC"/>
    <w:rsid w:val="000C6D79"/>
    <w:rsid w:val="000C6F97"/>
    <w:rsid w:val="000C7191"/>
    <w:rsid w:val="000C7440"/>
    <w:rsid w:val="000C7879"/>
    <w:rsid w:val="000C78A3"/>
    <w:rsid w:val="000C78FA"/>
    <w:rsid w:val="000C7922"/>
    <w:rsid w:val="000C7D88"/>
    <w:rsid w:val="000C7DD1"/>
    <w:rsid w:val="000C7E6C"/>
    <w:rsid w:val="000C7EFF"/>
    <w:rsid w:val="000D0001"/>
    <w:rsid w:val="000D00AC"/>
    <w:rsid w:val="000D023C"/>
    <w:rsid w:val="000D0751"/>
    <w:rsid w:val="000D09FF"/>
    <w:rsid w:val="000D0C41"/>
    <w:rsid w:val="000D0E51"/>
    <w:rsid w:val="000D0E75"/>
    <w:rsid w:val="000D115C"/>
    <w:rsid w:val="000D13FE"/>
    <w:rsid w:val="000D1405"/>
    <w:rsid w:val="000D18FD"/>
    <w:rsid w:val="000D191A"/>
    <w:rsid w:val="000D1B40"/>
    <w:rsid w:val="000D1C0C"/>
    <w:rsid w:val="000D2263"/>
    <w:rsid w:val="000D26E8"/>
    <w:rsid w:val="000D26F5"/>
    <w:rsid w:val="000D297B"/>
    <w:rsid w:val="000D29AD"/>
    <w:rsid w:val="000D2FD4"/>
    <w:rsid w:val="000D308A"/>
    <w:rsid w:val="000D31D8"/>
    <w:rsid w:val="000D32B2"/>
    <w:rsid w:val="000D359E"/>
    <w:rsid w:val="000D3658"/>
    <w:rsid w:val="000D3B31"/>
    <w:rsid w:val="000D3C4F"/>
    <w:rsid w:val="000D3D11"/>
    <w:rsid w:val="000D3DAC"/>
    <w:rsid w:val="000D3F97"/>
    <w:rsid w:val="000D40F6"/>
    <w:rsid w:val="000D421E"/>
    <w:rsid w:val="000D426A"/>
    <w:rsid w:val="000D4328"/>
    <w:rsid w:val="000D4410"/>
    <w:rsid w:val="000D46FD"/>
    <w:rsid w:val="000D47BF"/>
    <w:rsid w:val="000D48D3"/>
    <w:rsid w:val="000D49EB"/>
    <w:rsid w:val="000D4F39"/>
    <w:rsid w:val="000D5403"/>
    <w:rsid w:val="000D5922"/>
    <w:rsid w:val="000D5BAF"/>
    <w:rsid w:val="000D61D7"/>
    <w:rsid w:val="000D683B"/>
    <w:rsid w:val="000D68B1"/>
    <w:rsid w:val="000D6B10"/>
    <w:rsid w:val="000D6B38"/>
    <w:rsid w:val="000D6B9D"/>
    <w:rsid w:val="000D7054"/>
    <w:rsid w:val="000D733E"/>
    <w:rsid w:val="000D7796"/>
    <w:rsid w:val="000D7849"/>
    <w:rsid w:val="000D79D8"/>
    <w:rsid w:val="000D7B79"/>
    <w:rsid w:val="000D7F17"/>
    <w:rsid w:val="000E0172"/>
    <w:rsid w:val="000E042B"/>
    <w:rsid w:val="000E04DD"/>
    <w:rsid w:val="000E05BC"/>
    <w:rsid w:val="000E088B"/>
    <w:rsid w:val="000E09B2"/>
    <w:rsid w:val="000E104B"/>
    <w:rsid w:val="000E14EE"/>
    <w:rsid w:val="000E1F39"/>
    <w:rsid w:val="000E1F3F"/>
    <w:rsid w:val="000E239D"/>
    <w:rsid w:val="000E2434"/>
    <w:rsid w:val="000E24D5"/>
    <w:rsid w:val="000E2617"/>
    <w:rsid w:val="000E2627"/>
    <w:rsid w:val="000E29DE"/>
    <w:rsid w:val="000E2BA0"/>
    <w:rsid w:val="000E2C1B"/>
    <w:rsid w:val="000E2D09"/>
    <w:rsid w:val="000E2D51"/>
    <w:rsid w:val="000E2E65"/>
    <w:rsid w:val="000E2EC2"/>
    <w:rsid w:val="000E304F"/>
    <w:rsid w:val="000E3253"/>
    <w:rsid w:val="000E3BB8"/>
    <w:rsid w:val="000E42C7"/>
    <w:rsid w:val="000E43CE"/>
    <w:rsid w:val="000E44C0"/>
    <w:rsid w:val="000E4A99"/>
    <w:rsid w:val="000E4BC6"/>
    <w:rsid w:val="000E4BE4"/>
    <w:rsid w:val="000E4DA8"/>
    <w:rsid w:val="000E4DB9"/>
    <w:rsid w:val="000E4DBF"/>
    <w:rsid w:val="000E563B"/>
    <w:rsid w:val="000E57DF"/>
    <w:rsid w:val="000E5CA0"/>
    <w:rsid w:val="000E5D61"/>
    <w:rsid w:val="000E5D6A"/>
    <w:rsid w:val="000E5F1E"/>
    <w:rsid w:val="000E618D"/>
    <w:rsid w:val="000E6265"/>
    <w:rsid w:val="000E633A"/>
    <w:rsid w:val="000E64DB"/>
    <w:rsid w:val="000E6919"/>
    <w:rsid w:val="000E6CFE"/>
    <w:rsid w:val="000E6E02"/>
    <w:rsid w:val="000E715A"/>
    <w:rsid w:val="000E71CA"/>
    <w:rsid w:val="000E76C1"/>
    <w:rsid w:val="000E77A4"/>
    <w:rsid w:val="000E7BE4"/>
    <w:rsid w:val="000E7D1A"/>
    <w:rsid w:val="000F0176"/>
    <w:rsid w:val="000F031C"/>
    <w:rsid w:val="000F0742"/>
    <w:rsid w:val="000F07B1"/>
    <w:rsid w:val="000F0917"/>
    <w:rsid w:val="000F0B8E"/>
    <w:rsid w:val="000F0D49"/>
    <w:rsid w:val="000F0D93"/>
    <w:rsid w:val="000F0EAF"/>
    <w:rsid w:val="000F10EB"/>
    <w:rsid w:val="000F11B9"/>
    <w:rsid w:val="000F11F9"/>
    <w:rsid w:val="000F1336"/>
    <w:rsid w:val="000F165A"/>
    <w:rsid w:val="000F172E"/>
    <w:rsid w:val="000F1B58"/>
    <w:rsid w:val="000F1B7B"/>
    <w:rsid w:val="000F1CA2"/>
    <w:rsid w:val="000F1E0D"/>
    <w:rsid w:val="000F1EE8"/>
    <w:rsid w:val="000F1FC7"/>
    <w:rsid w:val="000F22A7"/>
    <w:rsid w:val="000F2908"/>
    <w:rsid w:val="000F2928"/>
    <w:rsid w:val="000F2D7D"/>
    <w:rsid w:val="000F2EB1"/>
    <w:rsid w:val="000F2ED4"/>
    <w:rsid w:val="000F2ED9"/>
    <w:rsid w:val="000F327B"/>
    <w:rsid w:val="000F34BF"/>
    <w:rsid w:val="000F3797"/>
    <w:rsid w:val="000F499B"/>
    <w:rsid w:val="000F4B51"/>
    <w:rsid w:val="000F5253"/>
    <w:rsid w:val="000F5390"/>
    <w:rsid w:val="000F53F1"/>
    <w:rsid w:val="000F5443"/>
    <w:rsid w:val="000F5519"/>
    <w:rsid w:val="000F55DA"/>
    <w:rsid w:val="000F56D7"/>
    <w:rsid w:val="000F59B6"/>
    <w:rsid w:val="000F5AB0"/>
    <w:rsid w:val="000F5B4E"/>
    <w:rsid w:val="000F5D0D"/>
    <w:rsid w:val="000F6117"/>
    <w:rsid w:val="000F6226"/>
    <w:rsid w:val="000F689B"/>
    <w:rsid w:val="000F68B4"/>
    <w:rsid w:val="000F692B"/>
    <w:rsid w:val="000F6AE2"/>
    <w:rsid w:val="000F6C2C"/>
    <w:rsid w:val="000F732D"/>
    <w:rsid w:val="000F7369"/>
    <w:rsid w:val="000F73EA"/>
    <w:rsid w:val="000F749B"/>
    <w:rsid w:val="000F757A"/>
    <w:rsid w:val="000F75FE"/>
    <w:rsid w:val="000F78C0"/>
    <w:rsid w:val="000F7AEA"/>
    <w:rsid w:val="000F7B5F"/>
    <w:rsid w:val="000F7B98"/>
    <w:rsid w:val="000F7E0D"/>
    <w:rsid w:val="000F7EC1"/>
    <w:rsid w:val="000F7F98"/>
    <w:rsid w:val="000F7FF8"/>
    <w:rsid w:val="0010004A"/>
    <w:rsid w:val="001005D5"/>
    <w:rsid w:val="001005D9"/>
    <w:rsid w:val="0010072D"/>
    <w:rsid w:val="00100959"/>
    <w:rsid w:val="00100C1F"/>
    <w:rsid w:val="00101017"/>
    <w:rsid w:val="00101535"/>
    <w:rsid w:val="00101594"/>
    <w:rsid w:val="00101641"/>
    <w:rsid w:val="001016EE"/>
    <w:rsid w:val="00101FF7"/>
    <w:rsid w:val="001022AB"/>
    <w:rsid w:val="00102341"/>
    <w:rsid w:val="00102572"/>
    <w:rsid w:val="001028E8"/>
    <w:rsid w:val="00102BF1"/>
    <w:rsid w:val="00103192"/>
    <w:rsid w:val="0010358F"/>
    <w:rsid w:val="001035E0"/>
    <w:rsid w:val="001036E2"/>
    <w:rsid w:val="0010372B"/>
    <w:rsid w:val="00103788"/>
    <w:rsid w:val="00103833"/>
    <w:rsid w:val="001038AB"/>
    <w:rsid w:val="0010392D"/>
    <w:rsid w:val="00103CCC"/>
    <w:rsid w:val="00103D73"/>
    <w:rsid w:val="00103FDF"/>
    <w:rsid w:val="00104267"/>
    <w:rsid w:val="001042E2"/>
    <w:rsid w:val="00104588"/>
    <w:rsid w:val="00104660"/>
    <w:rsid w:val="001046B6"/>
    <w:rsid w:val="00104E6D"/>
    <w:rsid w:val="00105126"/>
    <w:rsid w:val="0010570E"/>
    <w:rsid w:val="0010581D"/>
    <w:rsid w:val="00105966"/>
    <w:rsid w:val="0010623F"/>
    <w:rsid w:val="00106680"/>
    <w:rsid w:val="00106795"/>
    <w:rsid w:val="001067D3"/>
    <w:rsid w:val="001067DA"/>
    <w:rsid w:val="00106BD3"/>
    <w:rsid w:val="00106DC9"/>
    <w:rsid w:val="00106E28"/>
    <w:rsid w:val="00106E5D"/>
    <w:rsid w:val="001071AE"/>
    <w:rsid w:val="0010766A"/>
    <w:rsid w:val="001079A6"/>
    <w:rsid w:val="00110541"/>
    <w:rsid w:val="001107F3"/>
    <w:rsid w:val="001108BE"/>
    <w:rsid w:val="00110B28"/>
    <w:rsid w:val="00110BC6"/>
    <w:rsid w:val="00110D00"/>
    <w:rsid w:val="0011103A"/>
    <w:rsid w:val="00111805"/>
    <w:rsid w:val="00111A84"/>
    <w:rsid w:val="00111DA6"/>
    <w:rsid w:val="00111FAF"/>
    <w:rsid w:val="00112109"/>
    <w:rsid w:val="001124EF"/>
    <w:rsid w:val="00112601"/>
    <w:rsid w:val="001126F3"/>
    <w:rsid w:val="001128C6"/>
    <w:rsid w:val="001129B9"/>
    <w:rsid w:val="001129CD"/>
    <w:rsid w:val="001129FB"/>
    <w:rsid w:val="00112D6A"/>
    <w:rsid w:val="00112E5E"/>
    <w:rsid w:val="00112FA4"/>
    <w:rsid w:val="001133FC"/>
    <w:rsid w:val="0011344C"/>
    <w:rsid w:val="00113762"/>
    <w:rsid w:val="001137EA"/>
    <w:rsid w:val="00113906"/>
    <w:rsid w:val="00113C86"/>
    <w:rsid w:val="00113D71"/>
    <w:rsid w:val="00113E1C"/>
    <w:rsid w:val="00113EFD"/>
    <w:rsid w:val="0011441C"/>
    <w:rsid w:val="0011442F"/>
    <w:rsid w:val="00114792"/>
    <w:rsid w:val="00114AB5"/>
    <w:rsid w:val="00114DA0"/>
    <w:rsid w:val="00114E76"/>
    <w:rsid w:val="00114E7B"/>
    <w:rsid w:val="001152B5"/>
    <w:rsid w:val="001156F1"/>
    <w:rsid w:val="001158A7"/>
    <w:rsid w:val="0011593F"/>
    <w:rsid w:val="00115F84"/>
    <w:rsid w:val="00115FFC"/>
    <w:rsid w:val="00116052"/>
    <w:rsid w:val="001166A4"/>
    <w:rsid w:val="00116959"/>
    <w:rsid w:val="00116A65"/>
    <w:rsid w:val="00116E4F"/>
    <w:rsid w:val="00116EC1"/>
    <w:rsid w:val="00116F0E"/>
    <w:rsid w:val="0011704B"/>
    <w:rsid w:val="0011704E"/>
    <w:rsid w:val="001173B0"/>
    <w:rsid w:val="0011741E"/>
    <w:rsid w:val="0011763F"/>
    <w:rsid w:val="00117C93"/>
    <w:rsid w:val="00117E4A"/>
    <w:rsid w:val="00117EAD"/>
    <w:rsid w:val="00117FBB"/>
    <w:rsid w:val="0012023E"/>
    <w:rsid w:val="0012045F"/>
    <w:rsid w:val="001204F5"/>
    <w:rsid w:val="0012055B"/>
    <w:rsid w:val="00120700"/>
    <w:rsid w:val="0012082A"/>
    <w:rsid w:val="00120E28"/>
    <w:rsid w:val="001214E3"/>
    <w:rsid w:val="001219E3"/>
    <w:rsid w:val="00121A1D"/>
    <w:rsid w:val="00121C89"/>
    <w:rsid w:val="00121D31"/>
    <w:rsid w:val="0012207C"/>
    <w:rsid w:val="00122226"/>
    <w:rsid w:val="0012237B"/>
    <w:rsid w:val="001223D2"/>
    <w:rsid w:val="001223FA"/>
    <w:rsid w:val="001229A0"/>
    <w:rsid w:val="00122A0E"/>
    <w:rsid w:val="00122D09"/>
    <w:rsid w:val="00122D43"/>
    <w:rsid w:val="00122F0C"/>
    <w:rsid w:val="00122F1A"/>
    <w:rsid w:val="00122FCC"/>
    <w:rsid w:val="0012337B"/>
    <w:rsid w:val="0012359E"/>
    <w:rsid w:val="00123832"/>
    <w:rsid w:val="00123A0C"/>
    <w:rsid w:val="00123AA4"/>
    <w:rsid w:val="00123C09"/>
    <w:rsid w:val="00124208"/>
    <w:rsid w:val="00124362"/>
    <w:rsid w:val="00124470"/>
    <w:rsid w:val="001246D9"/>
    <w:rsid w:val="00124A8D"/>
    <w:rsid w:val="00124D9C"/>
    <w:rsid w:val="00124E83"/>
    <w:rsid w:val="001254F6"/>
    <w:rsid w:val="001256A3"/>
    <w:rsid w:val="001256AE"/>
    <w:rsid w:val="001257C0"/>
    <w:rsid w:val="00125866"/>
    <w:rsid w:val="00125BC7"/>
    <w:rsid w:val="00125E65"/>
    <w:rsid w:val="00125F62"/>
    <w:rsid w:val="00126034"/>
    <w:rsid w:val="001260D6"/>
    <w:rsid w:val="00126279"/>
    <w:rsid w:val="0012640B"/>
    <w:rsid w:val="00126634"/>
    <w:rsid w:val="0012673E"/>
    <w:rsid w:val="00126752"/>
    <w:rsid w:val="00126A5C"/>
    <w:rsid w:val="00126CB0"/>
    <w:rsid w:val="00126D45"/>
    <w:rsid w:val="00127246"/>
    <w:rsid w:val="0012760D"/>
    <w:rsid w:val="00127695"/>
    <w:rsid w:val="001278DD"/>
    <w:rsid w:val="00127D40"/>
    <w:rsid w:val="00127D62"/>
    <w:rsid w:val="001301A8"/>
    <w:rsid w:val="00130233"/>
    <w:rsid w:val="0013027A"/>
    <w:rsid w:val="001302ED"/>
    <w:rsid w:val="00130437"/>
    <w:rsid w:val="001304A2"/>
    <w:rsid w:val="001305B9"/>
    <w:rsid w:val="001308E0"/>
    <w:rsid w:val="00130B30"/>
    <w:rsid w:val="00130E2A"/>
    <w:rsid w:val="001312BB"/>
    <w:rsid w:val="001313AD"/>
    <w:rsid w:val="001314E7"/>
    <w:rsid w:val="00131ABA"/>
    <w:rsid w:val="00131C69"/>
    <w:rsid w:val="00132064"/>
    <w:rsid w:val="00132411"/>
    <w:rsid w:val="001324A1"/>
    <w:rsid w:val="00132592"/>
    <w:rsid w:val="001329F4"/>
    <w:rsid w:val="00132C1C"/>
    <w:rsid w:val="00132C9C"/>
    <w:rsid w:val="00132E11"/>
    <w:rsid w:val="0013312B"/>
    <w:rsid w:val="00133312"/>
    <w:rsid w:val="0013366C"/>
    <w:rsid w:val="00133988"/>
    <w:rsid w:val="00133BFA"/>
    <w:rsid w:val="001342B1"/>
    <w:rsid w:val="001344B2"/>
    <w:rsid w:val="00134695"/>
    <w:rsid w:val="00134698"/>
    <w:rsid w:val="001346FD"/>
    <w:rsid w:val="00134A8D"/>
    <w:rsid w:val="00134CA6"/>
    <w:rsid w:val="00134F48"/>
    <w:rsid w:val="00135122"/>
    <w:rsid w:val="00135336"/>
    <w:rsid w:val="001355B3"/>
    <w:rsid w:val="00135DCE"/>
    <w:rsid w:val="0013606C"/>
    <w:rsid w:val="0013647E"/>
    <w:rsid w:val="001364C6"/>
    <w:rsid w:val="00136595"/>
    <w:rsid w:val="00136620"/>
    <w:rsid w:val="001366D7"/>
    <w:rsid w:val="00136834"/>
    <w:rsid w:val="0013689F"/>
    <w:rsid w:val="00136C38"/>
    <w:rsid w:val="00136E85"/>
    <w:rsid w:val="001372E9"/>
    <w:rsid w:val="00137579"/>
    <w:rsid w:val="00137653"/>
    <w:rsid w:val="001378C1"/>
    <w:rsid w:val="001378D6"/>
    <w:rsid w:val="0013795E"/>
    <w:rsid w:val="00137BA9"/>
    <w:rsid w:val="00137E88"/>
    <w:rsid w:val="00137F75"/>
    <w:rsid w:val="001409BF"/>
    <w:rsid w:val="00140A3F"/>
    <w:rsid w:val="00140C32"/>
    <w:rsid w:val="00140C61"/>
    <w:rsid w:val="00140DD0"/>
    <w:rsid w:val="00140E1C"/>
    <w:rsid w:val="001410D1"/>
    <w:rsid w:val="001411CD"/>
    <w:rsid w:val="00141329"/>
    <w:rsid w:val="00141362"/>
    <w:rsid w:val="00141EAC"/>
    <w:rsid w:val="001422E1"/>
    <w:rsid w:val="0014230C"/>
    <w:rsid w:val="001423D1"/>
    <w:rsid w:val="00142577"/>
    <w:rsid w:val="0014263A"/>
    <w:rsid w:val="0014271D"/>
    <w:rsid w:val="001427AC"/>
    <w:rsid w:val="00142AC3"/>
    <w:rsid w:val="00142BA8"/>
    <w:rsid w:val="001432E1"/>
    <w:rsid w:val="00143334"/>
    <w:rsid w:val="001434CE"/>
    <w:rsid w:val="0014352A"/>
    <w:rsid w:val="00143729"/>
    <w:rsid w:val="00143A74"/>
    <w:rsid w:val="00143BD3"/>
    <w:rsid w:val="00143C07"/>
    <w:rsid w:val="00143C91"/>
    <w:rsid w:val="00144523"/>
    <w:rsid w:val="001445B0"/>
    <w:rsid w:val="0014475C"/>
    <w:rsid w:val="00144798"/>
    <w:rsid w:val="00145075"/>
    <w:rsid w:val="00145094"/>
    <w:rsid w:val="0014544B"/>
    <w:rsid w:val="0014550D"/>
    <w:rsid w:val="001455D2"/>
    <w:rsid w:val="0014588E"/>
    <w:rsid w:val="00145B5A"/>
    <w:rsid w:val="00145C98"/>
    <w:rsid w:val="00145E21"/>
    <w:rsid w:val="001461AF"/>
    <w:rsid w:val="0014635D"/>
    <w:rsid w:val="001464E8"/>
    <w:rsid w:val="00146567"/>
    <w:rsid w:val="001469D9"/>
    <w:rsid w:val="00146B14"/>
    <w:rsid w:val="00146BCD"/>
    <w:rsid w:val="001470A2"/>
    <w:rsid w:val="0014796E"/>
    <w:rsid w:val="00147AE4"/>
    <w:rsid w:val="00147B61"/>
    <w:rsid w:val="00147BD9"/>
    <w:rsid w:val="00147DE9"/>
    <w:rsid w:val="00147E06"/>
    <w:rsid w:val="00147EE5"/>
    <w:rsid w:val="00150033"/>
    <w:rsid w:val="0015023E"/>
    <w:rsid w:val="001502EB"/>
    <w:rsid w:val="001506CD"/>
    <w:rsid w:val="00150A3D"/>
    <w:rsid w:val="00150D95"/>
    <w:rsid w:val="00150EFF"/>
    <w:rsid w:val="0015137C"/>
    <w:rsid w:val="0015144F"/>
    <w:rsid w:val="0015146C"/>
    <w:rsid w:val="001514CC"/>
    <w:rsid w:val="0015151C"/>
    <w:rsid w:val="0015155E"/>
    <w:rsid w:val="001518A3"/>
    <w:rsid w:val="001518C1"/>
    <w:rsid w:val="00151B6E"/>
    <w:rsid w:val="00151C83"/>
    <w:rsid w:val="00151CE2"/>
    <w:rsid w:val="001521C4"/>
    <w:rsid w:val="0015254C"/>
    <w:rsid w:val="0015254E"/>
    <w:rsid w:val="0015258E"/>
    <w:rsid w:val="00152849"/>
    <w:rsid w:val="00152A23"/>
    <w:rsid w:val="00152C60"/>
    <w:rsid w:val="00152D12"/>
    <w:rsid w:val="00153094"/>
    <w:rsid w:val="001530FD"/>
    <w:rsid w:val="00153220"/>
    <w:rsid w:val="001532E5"/>
    <w:rsid w:val="001533AF"/>
    <w:rsid w:val="0015345D"/>
    <w:rsid w:val="00153C01"/>
    <w:rsid w:val="00153CF9"/>
    <w:rsid w:val="00153DA2"/>
    <w:rsid w:val="00153EA2"/>
    <w:rsid w:val="00153F9C"/>
    <w:rsid w:val="00153FEF"/>
    <w:rsid w:val="0015428B"/>
    <w:rsid w:val="001545EA"/>
    <w:rsid w:val="001545FB"/>
    <w:rsid w:val="00154DF6"/>
    <w:rsid w:val="00154E2E"/>
    <w:rsid w:val="00155165"/>
    <w:rsid w:val="001552A5"/>
    <w:rsid w:val="00155500"/>
    <w:rsid w:val="00155672"/>
    <w:rsid w:val="00155978"/>
    <w:rsid w:val="001561CF"/>
    <w:rsid w:val="0015626D"/>
    <w:rsid w:val="00156557"/>
    <w:rsid w:val="0015655D"/>
    <w:rsid w:val="00156810"/>
    <w:rsid w:val="00156A18"/>
    <w:rsid w:val="00156AFE"/>
    <w:rsid w:val="00156C1B"/>
    <w:rsid w:val="00156CF4"/>
    <w:rsid w:val="00156F7D"/>
    <w:rsid w:val="0015718F"/>
    <w:rsid w:val="001571E5"/>
    <w:rsid w:val="001571F8"/>
    <w:rsid w:val="00157396"/>
    <w:rsid w:val="001574D6"/>
    <w:rsid w:val="00157613"/>
    <w:rsid w:val="0015795F"/>
    <w:rsid w:val="00157E1C"/>
    <w:rsid w:val="001600EF"/>
    <w:rsid w:val="001600FB"/>
    <w:rsid w:val="00160418"/>
    <w:rsid w:val="001607AB"/>
    <w:rsid w:val="00160AEE"/>
    <w:rsid w:val="00160BBE"/>
    <w:rsid w:val="00160BFF"/>
    <w:rsid w:val="001612E8"/>
    <w:rsid w:val="00161463"/>
    <w:rsid w:val="001614DB"/>
    <w:rsid w:val="001618E0"/>
    <w:rsid w:val="00161C6F"/>
    <w:rsid w:val="00161E65"/>
    <w:rsid w:val="001622CB"/>
    <w:rsid w:val="00162587"/>
    <w:rsid w:val="001625FD"/>
    <w:rsid w:val="001627A0"/>
    <w:rsid w:val="001627B7"/>
    <w:rsid w:val="00162A81"/>
    <w:rsid w:val="00162AE9"/>
    <w:rsid w:val="00162D62"/>
    <w:rsid w:val="00162F48"/>
    <w:rsid w:val="00162FF4"/>
    <w:rsid w:val="00163163"/>
    <w:rsid w:val="0016338A"/>
    <w:rsid w:val="001634A6"/>
    <w:rsid w:val="00163511"/>
    <w:rsid w:val="0016373C"/>
    <w:rsid w:val="00163BCD"/>
    <w:rsid w:val="00163CE3"/>
    <w:rsid w:val="00163D00"/>
    <w:rsid w:val="00163E27"/>
    <w:rsid w:val="001642B9"/>
    <w:rsid w:val="00164528"/>
    <w:rsid w:val="00164529"/>
    <w:rsid w:val="00164613"/>
    <w:rsid w:val="00164642"/>
    <w:rsid w:val="00164725"/>
    <w:rsid w:val="0016479D"/>
    <w:rsid w:val="001648F6"/>
    <w:rsid w:val="00164F06"/>
    <w:rsid w:val="001652C6"/>
    <w:rsid w:val="00165425"/>
    <w:rsid w:val="0016556D"/>
    <w:rsid w:val="001659DB"/>
    <w:rsid w:val="00165E61"/>
    <w:rsid w:val="00165EB2"/>
    <w:rsid w:val="00165EF2"/>
    <w:rsid w:val="0016606B"/>
    <w:rsid w:val="00166856"/>
    <w:rsid w:val="00166974"/>
    <w:rsid w:val="00166AE7"/>
    <w:rsid w:val="00166C13"/>
    <w:rsid w:val="00167179"/>
    <w:rsid w:val="00167960"/>
    <w:rsid w:val="00167CD4"/>
    <w:rsid w:val="00167F19"/>
    <w:rsid w:val="00170143"/>
    <w:rsid w:val="001701DD"/>
    <w:rsid w:val="0017039B"/>
    <w:rsid w:val="0017053C"/>
    <w:rsid w:val="001706DD"/>
    <w:rsid w:val="001707EA"/>
    <w:rsid w:val="00170929"/>
    <w:rsid w:val="0017143B"/>
    <w:rsid w:val="00171628"/>
    <w:rsid w:val="001716B2"/>
    <w:rsid w:val="001716EA"/>
    <w:rsid w:val="00171724"/>
    <w:rsid w:val="00171ACF"/>
    <w:rsid w:val="00171E55"/>
    <w:rsid w:val="0017276A"/>
    <w:rsid w:val="001731EB"/>
    <w:rsid w:val="0017353B"/>
    <w:rsid w:val="0017354C"/>
    <w:rsid w:val="001740CD"/>
    <w:rsid w:val="001740FD"/>
    <w:rsid w:val="001742D4"/>
    <w:rsid w:val="0017457A"/>
    <w:rsid w:val="001745D3"/>
    <w:rsid w:val="001746D1"/>
    <w:rsid w:val="00174879"/>
    <w:rsid w:val="00174C96"/>
    <w:rsid w:val="00174F53"/>
    <w:rsid w:val="00174FA3"/>
    <w:rsid w:val="00174FB0"/>
    <w:rsid w:val="001752E7"/>
    <w:rsid w:val="00175774"/>
    <w:rsid w:val="00175B9C"/>
    <w:rsid w:val="00175D36"/>
    <w:rsid w:val="00175F09"/>
    <w:rsid w:val="001761D1"/>
    <w:rsid w:val="001765B3"/>
    <w:rsid w:val="001766FE"/>
    <w:rsid w:val="00176831"/>
    <w:rsid w:val="001768CF"/>
    <w:rsid w:val="00177050"/>
    <w:rsid w:val="001770CB"/>
    <w:rsid w:val="00177666"/>
    <w:rsid w:val="001776FD"/>
    <w:rsid w:val="001777CA"/>
    <w:rsid w:val="001779E5"/>
    <w:rsid w:val="00177A19"/>
    <w:rsid w:val="00177BB1"/>
    <w:rsid w:val="001801F6"/>
    <w:rsid w:val="001802ED"/>
    <w:rsid w:val="0018036D"/>
    <w:rsid w:val="001804FD"/>
    <w:rsid w:val="0018059C"/>
    <w:rsid w:val="00180608"/>
    <w:rsid w:val="0018097B"/>
    <w:rsid w:val="00180CD9"/>
    <w:rsid w:val="00180E51"/>
    <w:rsid w:val="001811A9"/>
    <w:rsid w:val="00181731"/>
    <w:rsid w:val="001818E5"/>
    <w:rsid w:val="001819DB"/>
    <w:rsid w:val="00181A27"/>
    <w:rsid w:val="00182037"/>
    <w:rsid w:val="001822BF"/>
    <w:rsid w:val="001827C6"/>
    <w:rsid w:val="001829D4"/>
    <w:rsid w:val="00182B20"/>
    <w:rsid w:val="00182E80"/>
    <w:rsid w:val="00183519"/>
    <w:rsid w:val="001837D9"/>
    <w:rsid w:val="00183888"/>
    <w:rsid w:val="001839CF"/>
    <w:rsid w:val="00183AFB"/>
    <w:rsid w:val="00183B80"/>
    <w:rsid w:val="00183C21"/>
    <w:rsid w:val="0018446D"/>
    <w:rsid w:val="0018473C"/>
    <w:rsid w:val="001848AC"/>
    <w:rsid w:val="001849CA"/>
    <w:rsid w:val="00184FB4"/>
    <w:rsid w:val="00185042"/>
    <w:rsid w:val="001850F7"/>
    <w:rsid w:val="00185129"/>
    <w:rsid w:val="0018521B"/>
    <w:rsid w:val="0018539E"/>
    <w:rsid w:val="00185410"/>
    <w:rsid w:val="001857A3"/>
    <w:rsid w:val="00185B46"/>
    <w:rsid w:val="00185E4E"/>
    <w:rsid w:val="00185F1D"/>
    <w:rsid w:val="00185FCE"/>
    <w:rsid w:val="00186B03"/>
    <w:rsid w:val="00186EC3"/>
    <w:rsid w:val="00187145"/>
    <w:rsid w:val="00187B61"/>
    <w:rsid w:val="00187C68"/>
    <w:rsid w:val="00187D5E"/>
    <w:rsid w:val="00187DDF"/>
    <w:rsid w:val="00187F61"/>
    <w:rsid w:val="0019011E"/>
    <w:rsid w:val="00190253"/>
    <w:rsid w:val="0019082E"/>
    <w:rsid w:val="00190905"/>
    <w:rsid w:val="00190941"/>
    <w:rsid w:val="001909F0"/>
    <w:rsid w:val="00190BAC"/>
    <w:rsid w:val="00191522"/>
    <w:rsid w:val="001917AF"/>
    <w:rsid w:val="00191A3A"/>
    <w:rsid w:val="00191BEA"/>
    <w:rsid w:val="00192352"/>
    <w:rsid w:val="001925CD"/>
    <w:rsid w:val="0019270D"/>
    <w:rsid w:val="001927A0"/>
    <w:rsid w:val="00192BA1"/>
    <w:rsid w:val="00192BFC"/>
    <w:rsid w:val="00193055"/>
    <w:rsid w:val="0019361D"/>
    <w:rsid w:val="00193F90"/>
    <w:rsid w:val="00193FBE"/>
    <w:rsid w:val="0019400D"/>
    <w:rsid w:val="001942E5"/>
    <w:rsid w:val="00194318"/>
    <w:rsid w:val="001946BE"/>
    <w:rsid w:val="001949DB"/>
    <w:rsid w:val="00195048"/>
    <w:rsid w:val="001950D4"/>
    <w:rsid w:val="0019522C"/>
    <w:rsid w:val="00195448"/>
    <w:rsid w:val="0019571F"/>
    <w:rsid w:val="001959AF"/>
    <w:rsid w:val="00196183"/>
    <w:rsid w:val="00196185"/>
    <w:rsid w:val="001963F6"/>
    <w:rsid w:val="00196609"/>
    <w:rsid w:val="001966C9"/>
    <w:rsid w:val="0019692A"/>
    <w:rsid w:val="00196A41"/>
    <w:rsid w:val="00196CE0"/>
    <w:rsid w:val="00196D09"/>
    <w:rsid w:val="00196DF3"/>
    <w:rsid w:val="00196FA1"/>
    <w:rsid w:val="00196FFD"/>
    <w:rsid w:val="00197042"/>
    <w:rsid w:val="001971F7"/>
    <w:rsid w:val="0019724A"/>
    <w:rsid w:val="0019732A"/>
    <w:rsid w:val="00197332"/>
    <w:rsid w:val="001976EF"/>
    <w:rsid w:val="00197751"/>
    <w:rsid w:val="00197798"/>
    <w:rsid w:val="00197DCB"/>
    <w:rsid w:val="001A00C0"/>
    <w:rsid w:val="001A0321"/>
    <w:rsid w:val="001A03C6"/>
    <w:rsid w:val="001A066B"/>
    <w:rsid w:val="001A06DF"/>
    <w:rsid w:val="001A0800"/>
    <w:rsid w:val="001A0A67"/>
    <w:rsid w:val="001A0D3B"/>
    <w:rsid w:val="001A0F9A"/>
    <w:rsid w:val="001A1246"/>
    <w:rsid w:val="001A12EC"/>
    <w:rsid w:val="001A15F2"/>
    <w:rsid w:val="001A1727"/>
    <w:rsid w:val="001A18BB"/>
    <w:rsid w:val="001A1DAD"/>
    <w:rsid w:val="001A1DB4"/>
    <w:rsid w:val="001A1DE5"/>
    <w:rsid w:val="001A221B"/>
    <w:rsid w:val="001A2281"/>
    <w:rsid w:val="001A245A"/>
    <w:rsid w:val="001A27E3"/>
    <w:rsid w:val="001A29D6"/>
    <w:rsid w:val="001A29FF"/>
    <w:rsid w:val="001A2A30"/>
    <w:rsid w:val="001A2AB9"/>
    <w:rsid w:val="001A2BEA"/>
    <w:rsid w:val="001A2D48"/>
    <w:rsid w:val="001A2D50"/>
    <w:rsid w:val="001A31FA"/>
    <w:rsid w:val="001A3732"/>
    <w:rsid w:val="001A3792"/>
    <w:rsid w:val="001A379A"/>
    <w:rsid w:val="001A3836"/>
    <w:rsid w:val="001A3921"/>
    <w:rsid w:val="001A3B2A"/>
    <w:rsid w:val="001A3E3D"/>
    <w:rsid w:val="001A3F12"/>
    <w:rsid w:val="001A4276"/>
    <w:rsid w:val="001A498F"/>
    <w:rsid w:val="001A4A55"/>
    <w:rsid w:val="001A4DCB"/>
    <w:rsid w:val="001A51AC"/>
    <w:rsid w:val="001A53BE"/>
    <w:rsid w:val="001A5493"/>
    <w:rsid w:val="001A565D"/>
    <w:rsid w:val="001A582B"/>
    <w:rsid w:val="001A5993"/>
    <w:rsid w:val="001A5AF4"/>
    <w:rsid w:val="001A6031"/>
    <w:rsid w:val="001A6851"/>
    <w:rsid w:val="001A6983"/>
    <w:rsid w:val="001A6B98"/>
    <w:rsid w:val="001A6B9B"/>
    <w:rsid w:val="001A6CB3"/>
    <w:rsid w:val="001A6E0E"/>
    <w:rsid w:val="001A7156"/>
    <w:rsid w:val="001A7171"/>
    <w:rsid w:val="001A731D"/>
    <w:rsid w:val="001A74B7"/>
    <w:rsid w:val="001A754C"/>
    <w:rsid w:val="001A7729"/>
    <w:rsid w:val="001A7E9D"/>
    <w:rsid w:val="001A7FE9"/>
    <w:rsid w:val="001B000D"/>
    <w:rsid w:val="001B03E0"/>
    <w:rsid w:val="001B03F5"/>
    <w:rsid w:val="001B07BF"/>
    <w:rsid w:val="001B0BC4"/>
    <w:rsid w:val="001B0C58"/>
    <w:rsid w:val="001B1061"/>
    <w:rsid w:val="001B1211"/>
    <w:rsid w:val="001B12D2"/>
    <w:rsid w:val="001B1535"/>
    <w:rsid w:val="001B161A"/>
    <w:rsid w:val="001B16B0"/>
    <w:rsid w:val="001B1A34"/>
    <w:rsid w:val="001B1A40"/>
    <w:rsid w:val="001B1A6E"/>
    <w:rsid w:val="001B1A91"/>
    <w:rsid w:val="001B1BA5"/>
    <w:rsid w:val="001B1DDB"/>
    <w:rsid w:val="001B1EFE"/>
    <w:rsid w:val="001B215F"/>
    <w:rsid w:val="001B2337"/>
    <w:rsid w:val="001B25FE"/>
    <w:rsid w:val="001B25FF"/>
    <w:rsid w:val="001B2D1D"/>
    <w:rsid w:val="001B2D93"/>
    <w:rsid w:val="001B2DEE"/>
    <w:rsid w:val="001B2EB6"/>
    <w:rsid w:val="001B34CB"/>
    <w:rsid w:val="001B3604"/>
    <w:rsid w:val="001B378C"/>
    <w:rsid w:val="001B3859"/>
    <w:rsid w:val="001B39AA"/>
    <w:rsid w:val="001B3A96"/>
    <w:rsid w:val="001B3D92"/>
    <w:rsid w:val="001B3E48"/>
    <w:rsid w:val="001B51B7"/>
    <w:rsid w:val="001B5636"/>
    <w:rsid w:val="001B5901"/>
    <w:rsid w:val="001B5C97"/>
    <w:rsid w:val="001B5EE0"/>
    <w:rsid w:val="001B63F4"/>
    <w:rsid w:val="001B65E8"/>
    <w:rsid w:val="001B662B"/>
    <w:rsid w:val="001B6B06"/>
    <w:rsid w:val="001B6BEA"/>
    <w:rsid w:val="001B763C"/>
    <w:rsid w:val="001B76A4"/>
    <w:rsid w:val="001B77F9"/>
    <w:rsid w:val="001B7A21"/>
    <w:rsid w:val="001B7AF7"/>
    <w:rsid w:val="001B7CD5"/>
    <w:rsid w:val="001B7FA7"/>
    <w:rsid w:val="001C0192"/>
    <w:rsid w:val="001C01A7"/>
    <w:rsid w:val="001C0246"/>
    <w:rsid w:val="001C0330"/>
    <w:rsid w:val="001C0543"/>
    <w:rsid w:val="001C0E03"/>
    <w:rsid w:val="001C0E25"/>
    <w:rsid w:val="001C142A"/>
    <w:rsid w:val="001C148E"/>
    <w:rsid w:val="001C154D"/>
    <w:rsid w:val="001C1802"/>
    <w:rsid w:val="001C1929"/>
    <w:rsid w:val="001C195B"/>
    <w:rsid w:val="001C22E2"/>
    <w:rsid w:val="001C282F"/>
    <w:rsid w:val="001C2993"/>
    <w:rsid w:val="001C2DA6"/>
    <w:rsid w:val="001C2F9B"/>
    <w:rsid w:val="001C3530"/>
    <w:rsid w:val="001C3B07"/>
    <w:rsid w:val="001C4062"/>
    <w:rsid w:val="001C418A"/>
    <w:rsid w:val="001C42B3"/>
    <w:rsid w:val="001C4969"/>
    <w:rsid w:val="001C4C8E"/>
    <w:rsid w:val="001C4D63"/>
    <w:rsid w:val="001C4EC5"/>
    <w:rsid w:val="001C5146"/>
    <w:rsid w:val="001C5796"/>
    <w:rsid w:val="001C60B5"/>
    <w:rsid w:val="001C618B"/>
    <w:rsid w:val="001C6435"/>
    <w:rsid w:val="001C670D"/>
    <w:rsid w:val="001C6814"/>
    <w:rsid w:val="001C6AA2"/>
    <w:rsid w:val="001C6C09"/>
    <w:rsid w:val="001C6E35"/>
    <w:rsid w:val="001C6E9E"/>
    <w:rsid w:val="001C7A21"/>
    <w:rsid w:val="001C7D19"/>
    <w:rsid w:val="001C7D1A"/>
    <w:rsid w:val="001C7DFF"/>
    <w:rsid w:val="001D03DE"/>
    <w:rsid w:val="001D076E"/>
    <w:rsid w:val="001D0A3E"/>
    <w:rsid w:val="001D0B25"/>
    <w:rsid w:val="001D0DE0"/>
    <w:rsid w:val="001D0FF7"/>
    <w:rsid w:val="001D103E"/>
    <w:rsid w:val="001D126A"/>
    <w:rsid w:val="001D1356"/>
    <w:rsid w:val="001D179D"/>
    <w:rsid w:val="001D210E"/>
    <w:rsid w:val="001D233F"/>
    <w:rsid w:val="001D242D"/>
    <w:rsid w:val="001D28D8"/>
    <w:rsid w:val="001D294B"/>
    <w:rsid w:val="001D2B39"/>
    <w:rsid w:val="001D2B49"/>
    <w:rsid w:val="001D2CF2"/>
    <w:rsid w:val="001D2EB7"/>
    <w:rsid w:val="001D30AA"/>
    <w:rsid w:val="001D313E"/>
    <w:rsid w:val="001D3142"/>
    <w:rsid w:val="001D3205"/>
    <w:rsid w:val="001D34DA"/>
    <w:rsid w:val="001D35C6"/>
    <w:rsid w:val="001D3910"/>
    <w:rsid w:val="001D3A5B"/>
    <w:rsid w:val="001D3F63"/>
    <w:rsid w:val="001D3F8D"/>
    <w:rsid w:val="001D4242"/>
    <w:rsid w:val="001D431D"/>
    <w:rsid w:val="001D4682"/>
    <w:rsid w:val="001D4771"/>
    <w:rsid w:val="001D47F2"/>
    <w:rsid w:val="001D4990"/>
    <w:rsid w:val="001D4B73"/>
    <w:rsid w:val="001D4B88"/>
    <w:rsid w:val="001D4EDF"/>
    <w:rsid w:val="001D527D"/>
    <w:rsid w:val="001D5AFF"/>
    <w:rsid w:val="001D5BC2"/>
    <w:rsid w:val="001D5C55"/>
    <w:rsid w:val="001D5D4E"/>
    <w:rsid w:val="001D6123"/>
    <w:rsid w:val="001D62A5"/>
    <w:rsid w:val="001D62AA"/>
    <w:rsid w:val="001D63BE"/>
    <w:rsid w:val="001D67E1"/>
    <w:rsid w:val="001D74B4"/>
    <w:rsid w:val="001D7736"/>
    <w:rsid w:val="001D778E"/>
    <w:rsid w:val="001D7A03"/>
    <w:rsid w:val="001D7E97"/>
    <w:rsid w:val="001E0241"/>
    <w:rsid w:val="001E03E1"/>
    <w:rsid w:val="001E063E"/>
    <w:rsid w:val="001E0661"/>
    <w:rsid w:val="001E09A5"/>
    <w:rsid w:val="001E0A53"/>
    <w:rsid w:val="001E0CB3"/>
    <w:rsid w:val="001E104B"/>
    <w:rsid w:val="001E1125"/>
    <w:rsid w:val="001E114A"/>
    <w:rsid w:val="001E11B3"/>
    <w:rsid w:val="001E1207"/>
    <w:rsid w:val="001E12BC"/>
    <w:rsid w:val="001E1375"/>
    <w:rsid w:val="001E1405"/>
    <w:rsid w:val="001E14FD"/>
    <w:rsid w:val="001E1C09"/>
    <w:rsid w:val="001E1EA1"/>
    <w:rsid w:val="001E2394"/>
    <w:rsid w:val="001E23A2"/>
    <w:rsid w:val="001E24C2"/>
    <w:rsid w:val="001E2549"/>
    <w:rsid w:val="001E29D9"/>
    <w:rsid w:val="001E2BB5"/>
    <w:rsid w:val="001E2C5C"/>
    <w:rsid w:val="001E319E"/>
    <w:rsid w:val="001E32EB"/>
    <w:rsid w:val="001E3419"/>
    <w:rsid w:val="001E357B"/>
    <w:rsid w:val="001E3891"/>
    <w:rsid w:val="001E3E34"/>
    <w:rsid w:val="001E4349"/>
    <w:rsid w:val="001E43DA"/>
    <w:rsid w:val="001E449D"/>
    <w:rsid w:val="001E45A4"/>
    <w:rsid w:val="001E4626"/>
    <w:rsid w:val="001E481E"/>
    <w:rsid w:val="001E4899"/>
    <w:rsid w:val="001E4943"/>
    <w:rsid w:val="001E4F6A"/>
    <w:rsid w:val="001E5060"/>
    <w:rsid w:val="001E5120"/>
    <w:rsid w:val="001E5605"/>
    <w:rsid w:val="001E5824"/>
    <w:rsid w:val="001E59B8"/>
    <w:rsid w:val="001E5A7A"/>
    <w:rsid w:val="001E5AEC"/>
    <w:rsid w:val="001E5B4A"/>
    <w:rsid w:val="001E5F5B"/>
    <w:rsid w:val="001E62B3"/>
    <w:rsid w:val="001E646C"/>
    <w:rsid w:val="001E64E8"/>
    <w:rsid w:val="001E656D"/>
    <w:rsid w:val="001E6993"/>
    <w:rsid w:val="001E6A42"/>
    <w:rsid w:val="001E6A68"/>
    <w:rsid w:val="001E6BCE"/>
    <w:rsid w:val="001E6D2F"/>
    <w:rsid w:val="001E6DE4"/>
    <w:rsid w:val="001E7051"/>
    <w:rsid w:val="001E7252"/>
    <w:rsid w:val="001E7379"/>
    <w:rsid w:val="001E7E6A"/>
    <w:rsid w:val="001E7F45"/>
    <w:rsid w:val="001F0085"/>
    <w:rsid w:val="001F0166"/>
    <w:rsid w:val="001F02F0"/>
    <w:rsid w:val="001F059F"/>
    <w:rsid w:val="001F05FE"/>
    <w:rsid w:val="001F0610"/>
    <w:rsid w:val="001F06C5"/>
    <w:rsid w:val="001F098F"/>
    <w:rsid w:val="001F0ADF"/>
    <w:rsid w:val="001F0B8D"/>
    <w:rsid w:val="001F0B94"/>
    <w:rsid w:val="001F0EF6"/>
    <w:rsid w:val="001F150A"/>
    <w:rsid w:val="001F1856"/>
    <w:rsid w:val="001F1C67"/>
    <w:rsid w:val="001F1FDA"/>
    <w:rsid w:val="001F2472"/>
    <w:rsid w:val="001F2696"/>
    <w:rsid w:val="001F26C2"/>
    <w:rsid w:val="001F29B3"/>
    <w:rsid w:val="001F2DEE"/>
    <w:rsid w:val="001F2E5A"/>
    <w:rsid w:val="001F328A"/>
    <w:rsid w:val="001F3310"/>
    <w:rsid w:val="001F34FA"/>
    <w:rsid w:val="001F3778"/>
    <w:rsid w:val="001F38CA"/>
    <w:rsid w:val="001F3C16"/>
    <w:rsid w:val="001F3C62"/>
    <w:rsid w:val="001F4025"/>
    <w:rsid w:val="001F40BB"/>
    <w:rsid w:val="001F4256"/>
    <w:rsid w:val="001F42D6"/>
    <w:rsid w:val="001F4754"/>
    <w:rsid w:val="001F484D"/>
    <w:rsid w:val="001F4BD5"/>
    <w:rsid w:val="001F4F13"/>
    <w:rsid w:val="001F53BC"/>
    <w:rsid w:val="001F543C"/>
    <w:rsid w:val="001F560E"/>
    <w:rsid w:val="001F583C"/>
    <w:rsid w:val="001F5FA9"/>
    <w:rsid w:val="001F62B7"/>
    <w:rsid w:val="001F63D9"/>
    <w:rsid w:val="001F63E1"/>
    <w:rsid w:val="001F6419"/>
    <w:rsid w:val="001F6474"/>
    <w:rsid w:val="001F64E7"/>
    <w:rsid w:val="001F6D2C"/>
    <w:rsid w:val="001F6E77"/>
    <w:rsid w:val="001F713B"/>
    <w:rsid w:val="001F71B9"/>
    <w:rsid w:val="001F7591"/>
    <w:rsid w:val="001F773C"/>
    <w:rsid w:val="001F7AA0"/>
    <w:rsid w:val="001F7AC5"/>
    <w:rsid w:val="001F7C2B"/>
    <w:rsid w:val="001F7E39"/>
    <w:rsid w:val="00200587"/>
    <w:rsid w:val="002005C0"/>
    <w:rsid w:val="00200811"/>
    <w:rsid w:val="002008D3"/>
    <w:rsid w:val="00200A1C"/>
    <w:rsid w:val="00200CA1"/>
    <w:rsid w:val="00200F9B"/>
    <w:rsid w:val="00201162"/>
    <w:rsid w:val="0020159A"/>
    <w:rsid w:val="0020180A"/>
    <w:rsid w:val="00201932"/>
    <w:rsid w:val="002019C9"/>
    <w:rsid w:val="002019DA"/>
    <w:rsid w:val="00201E24"/>
    <w:rsid w:val="002020BA"/>
    <w:rsid w:val="00202365"/>
    <w:rsid w:val="002025FE"/>
    <w:rsid w:val="0020279B"/>
    <w:rsid w:val="00202ABD"/>
    <w:rsid w:val="00202EE0"/>
    <w:rsid w:val="002031F1"/>
    <w:rsid w:val="0020349A"/>
    <w:rsid w:val="00203833"/>
    <w:rsid w:val="00203A72"/>
    <w:rsid w:val="00203CA9"/>
    <w:rsid w:val="00203F0B"/>
    <w:rsid w:val="0020409E"/>
    <w:rsid w:val="002041A1"/>
    <w:rsid w:val="002048DF"/>
    <w:rsid w:val="00204996"/>
    <w:rsid w:val="00204BDA"/>
    <w:rsid w:val="00204F42"/>
    <w:rsid w:val="00204F47"/>
    <w:rsid w:val="002053EE"/>
    <w:rsid w:val="00205F27"/>
    <w:rsid w:val="002060D4"/>
    <w:rsid w:val="0020616F"/>
    <w:rsid w:val="00206291"/>
    <w:rsid w:val="002065BF"/>
    <w:rsid w:val="002067E4"/>
    <w:rsid w:val="00206983"/>
    <w:rsid w:val="00206A73"/>
    <w:rsid w:val="00206A9C"/>
    <w:rsid w:val="00206C49"/>
    <w:rsid w:val="00206EC7"/>
    <w:rsid w:val="00206F1D"/>
    <w:rsid w:val="0020739F"/>
    <w:rsid w:val="002073DF"/>
    <w:rsid w:val="00207435"/>
    <w:rsid w:val="00207483"/>
    <w:rsid w:val="00207895"/>
    <w:rsid w:val="002078E9"/>
    <w:rsid w:val="00207BD6"/>
    <w:rsid w:val="00207CC1"/>
    <w:rsid w:val="00207DE2"/>
    <w:rsid w:val="00207E0E"/>
    <w:rsid w:val="0021023B"/>
    <w:rsid w:val="002103B3"/>
    <w:rsid w:val="002104B0"/>
    <w:rsid w:val="00210637"/>
    <w:rsid w:val="00210663"/>
    <w:rsid w:val="002109F7"/>
    <w:rsid w:val="00210ADE"/>
    <w:rsid w:val="00210BDB"/>
    <w:rsid w:val="00210DAC"/>
    <w:rsid w:val="0021120C"/>
    <w:rsid w:val="00211253"/>
    <w:rsid w:val="00211558"/>
    <w:rsid w:val="002116C0"/>
    <w:rsid w:val="00211798"/>
    <w:rsid w:val="00211936"/>
    <w:rsid w:val="00211A84"/>
    <w:rsid w:val="00211DD9"/>
    <w:rsid w:val="002121D8"/>
    <w:rsid w:val="002122AF"/>
    <w:rsid w:val="0021260B"/>
    <w:rsid w:val="00212965"/>
    <w:rsid w:val="00212B1A"/>
    <w:rsid w:val="00212BC7"/>
    <w:rsid w:val="00212FCD"/>
    <w:rsid w:val="0021304B"/>
    <w:rsid w:val="0021338D"/>
    <w:rsid w:val="00213560"/>
    <w:rsid w:val="00213565"/>
    <w:rsid w:val="00213616"/>
    <w:rsid w:val="00213B7A"/>
    <w:rsid w:val="00213BAF"/>
    <w:rsid w:val="00213C76"/>
    <w:rsid w:val="00213C94"/>
    <w:rsid w:val="00213DEF"/>
    <w:rsid w:val="00213E4A"/>
    <w:rsid w:val="00213E6D"/>
    <w:rsid w:val="00213E79"/>
    <w:rsid w:val="00213EB1"/>
    <w:rsid w:val="00213F6D"/>
    <w:rsid w:val="0021400E"/>
    <w:rsid w:val="0021436E"/>
    <w:rsid w:val="00214685"/>
    <w:rsid w:val="00214D43"/>
    <w:rsid w:val="00214DB8"/>
    <w:rsid w:val="00214F4C"/>
    <w:rsid w:val="00215110"/>
    <w:rsid w:val="002152DA"/>
    <w:rsid w:val="0021564A"/>
    <w:rsid w:val="002156CA"/>
    <w:rsid w:val="00215861"/>
    <w:rsid w:val="002158F4"/>
    <w:rsid w:val="00215B62"/>
    <w:rsid w:val="00215BD0"/>
    <w:rsid w:val="00215DB8"/>
    <w:rsid w:val="00215E5E"/>
    <w:rsid w:val="00215EFE"/>
    <w:rsid w:val="0021639B"/>
    <w:rsid w:val="002164AF"/>
    <w:rsid w:val="002166B0"/>
    <w:rsid w:val="002169FF"/>
    <w:rsid w:val="00216B65"/>
    <w:rsid w:val="00216C25"/>
    <w:rsid w:val="00216C33"/>
    <w:rsid w:val="00216F55"/>
    <w:rsid w:val="0021713D"/>
    <w:rsid w:val="00217144"/>
    <w:rsid w:val="002173B6"/>
    <w:rsid w:val="0021766B"/>
    <w:rsid w:val="00217839"/>
    <w:rsid w:val="00217EB0"/>
    <w:rsid w:val="00220029"/>
    <w:rsid w:val="002200AB"/>
    <w:rsid w:val="002200BC"/>
    <w:rsid w:val="002202BC"/>
    <w:rsid w:val="0022071A"/>
    <w:rsid w:val="00220AF9"/>
    <w:rsid w:val="00221530"/>
    <w:rsid w:val="00221548"/>
    <w:rsid w:val="00221881"/>
    <w:rsid w:val="002218FD"/>
    <w:rsid w:val="00221968"/>
    <w:rsid w:val="00221BAA"/>
    <w:rsid w:val="00221DFA"/>
    <w:rsid w:val="00221FC6"/>
    <w:rsid w:val="002220EF"/>
    <w:rsid w:val="00222199"/>
    <w:rsid w:val="002224AE"/>
    <w:rsid w:val="00222C48"/>
    <w:rsid w:val="00222E95"/>
    <w:rsid w:val="00222F50"/>
    <w:rsid w:val="00222FEA"/>
    <w:rsid w:val="002233CD"/>
    <w:rsid w:val="002236F4"/>
    <w:rsid w:val="002237C8"/>
    <w:rsid w:val="002238B4"/>
    <w:rsid w:val="00223948"/>
    <w:rsid w:val="002240EA"/>
    <w:rsid w:val="002241A0"/>
    <w:rsid w:val="0022420F"/>
    <w:rsid w:val="00224635"/>
    <w:rsid w:val="0022477B"/>
    <w:rsid w:val="00224802"/>
    <w:rsid w:val="00224820"/>
    <w:rsid w:val="00224B38"/>
    <w:rsid w:val="00224BE1"/>
    <w:rsid w:val="00224DA7"/>
    <w:rsid w:val="00224E3D"/>
    <w:rsid w:val="00224FE2"/>
    <w:rsid w:val="0022503E"/>
    <w:rsid w:val="00225280"/>
    <w:rsid w:val="00225359"/>
    <w:rsid w:val="002259D2"/>
    <w:rsid w:val="00225A2D"/>
    <w:rsid w:val="002261EF"/>
    <w:rsid w:val="002262DB"/>
    <w:rsid w:val="00226C8B"/>
    <w:rsid w:val="00226CA0"/>
    <w:rsid w:val="00227244"/>
    <w:rsid w:val="00227291"/>
    <w:rsid w:val="00227629"/>
    <w:rsid w:val="00227828"/>
    <w:rsid w:val="00227840"/>
    <w:rsid w:val="0022785B"/>
    <w:rsid w:val="00227982"/>
    <w:rsid w:val="00227B99"/>
    <w:rsid w:val="00227C3E"/>
    <w:rsid w:val="002303B8"/>
    <w:rsid w:val="00230532"/>
    <w:rsid w:val="002306AC"/>
    <w:rsid w:val="002308DE"/>
    <w:rsid w:val="00230AFE"/>
    <w:rsid w:val="00230D0C"/>
    <w:rsid w:val="00231395"/>
    <w:rsid w:val="00231541"/>
    <w:rsid w:val="002316CB"/>
    <w:rsid w:val="00231995"/>
    <w:rsid w:val="002319AB"/>
    <w:rsid w:val="002319AC"/>
    <w:rsid w:val="002319D9"/>
    <w:rsid w:val="00231B0D"/>
    <w:rsid w:val="00231B15"/>
    <w:rsid w:val="00231B5A"/>
    <w:rsid w:val="00231CF5"/>
    <w:rsid w:val="00231EC4"/>
    <w:rsid w:val="002321FB"/>
    <w:rsid w:val="002323ED"/>
    <w:rsid w:val="00232741"/>
    <w:rsid w:val="00232956"/>
    <w:rsid w:val="00232E00"/>
    <w:rsid w:val="00232EA2"/>
    <w:rsid w:val="002331B3"/>
    <w:rsid w:val="002332E9"/>
    <w:rsid w:val="002333DC"/>
    <w:rsid w:val="00233463"/>
    <w:rsid w:val="002334C3"/>
    <w:rsid w:val="0023391A"/>
    <w:rsid w:val="00233939"/>
    <w:rsid w:val="00233AC3"/>
    <w:rsid w:val="00233B17"/>
    <w:rsid w:val="00233E46"/>
    <w:rsid w:val="0023416D"/>
    <w:rsid w:val="00234297"/>
    <w:rsid w:val="00234342"/>
    <w:rsid w:val="0023492A"/>
    <w:rsid w:val="00234C2A"/>
    <w:rsid w:val="00234F38"/>
    <w:rsid w:val="00235516"/>
    <w:rsid w:val="00235541"/>
    <w:rsid w:val="0023566D"/>
    <w:rsid w:val="0023570E"/>
    <w:rsid w:val="00235A42"/>
    <w:rsid w:val="00235BF4"/>
    <w:rsid w:val="00236027"/>
    <w:rsid w:val="00236246"/>
    <w:rsid w:val="00236612"/>
    <w:rsid w:val="002366A7"/>
    <w:rsid w:val="0023678B"/>
    <w:rsid w:val="00236AE2"/>
    <w:rsid w:val="00236C4D"/>
    <w:rsid w:val="00236C54"/>
    <w:rsid w:val="00236E52"/>
    <w:rsid w:val="0023700B"/>
    <w:rsid w:val="002371C7"/>
    <w:rsid w:val="0023755B"/>
    <w:rsid w:val="002377D5"/>
    <w:rsid w:val="00237808"/>
    <w:rsid w:val="00240070"/>
    <w:rsid w:val="00240111"/>
    <w:rsid w:val="00240280"/>
    <w:rsid w:val="0024040D"/>
    <w:rsid w:val="00240998"/>
    <w:rsid w:val="002409FA"/>
    <w:rsid w:val="00240A57"/>
    <w:rsid w:val="00240CD6"/>
    <w:rsid w:val="00240D49"/>
    <w:rsid w:val="00240DFF"/>
    <w:rsid w:val="00240F44"/>
    <w:rsid w:val="00240F5A"/>
    <w:rsid w:val="00240FC0"/>
    <w:rsid w:val="0024109D"/>
    <w:rsid w:val="002411C7"/>
    <w:rsid w:val="00241469"/>
    <w:rsid w:val="00241649"/>
    <w:rsid w:val="00241966"/>
    <w:rsid w:val="00241A14"/>
    <w:rsid w:val="00241BDE"/>
    <w:rsid w:val="00241C33"/>
    <w:rsid w:val="00241E8C"/>
    <w:rsid w:val="00242178"/>
    <w:rsid w:val="00242460"/>
    <w:rsid w:val="002425A1"/>
    <w:rsid w:val="00242800"/>
    <w:rsid w:val="00242AF6"/>
    <w:rsid w:val="00242B17"/>
    <w:rsid w:val="002431F6"/>
    <w:rsid w:val="00243535"/>
    <w:rsid w:val="00243754"/>
    <w:rsid w:val="002438CE"/>
    <w:rsid w:val="00243A19"/>
    <w:rsid w:val="00243C20"/>
    <w:rsid w:val="0024419A"/>
    <w:rsid w:val="0024448D"/>
    <w:rsid w:val="002445A6"/>
    <w:rsid w:val="002449E7"/>
    <w:rsid w:val="0024500D"/>
    <w:rsid w:val="00245378"/>
    <w:rsid w:val="002454A0"/>
    <w:rsid w:val="002455A3"/>
    <w:rsid w:val="00245A99"/>
    <w:rsid w:val="00245CB3"/>
    <w:rsid w:val="00245F67"/>
    <w:rsid w:val="002461B6"/>
    <w:rsid w:val="002466A0"/>
    <w:rsid w:val="00246B07"/>
    <w:rsid w:val="00246C57"/>
    <w:rsid w:val="00246C97"/>
    <w:rsid w:val="00246CA0"/>
    <w:rsid w:val="00246D0E"/>
    <w:rsid w:val="00246E31"/>
    <w:rsid w:val="00246F65"/>
    <w:rsid w:val="00246F74"/>
    <w:rsid w:val="002470EB"/>
    <w:rsid w:val="002471DB"/>
    <w:rsid w:val="00247AE1"/>
    <w:rsid w:val="00247D5D"/>
    <w:rsid w:val="00247F6A"/>
    <w:rsid w:val="002500ED"/>
    <w:rsid w:val="00250227"/>
    <w:rsid w:val="00250307"/>
    <w:rsid w:val="002503B5"/>
    <w:rsid w:val="002503DE"/>
    <w:rsid w:val="002503FD"/>
    <w:rsid w:val="00250512"/>
    <w:rsid w:val="0025054A"/>
    <w:rsid w:val="00250709"/>
    <w:rsid w:val="002509B8"/>
    <w:rsid w:val="00250B93"/>
    <w:rsid w:val="00250C18"/>
    <w:rsid w:val="00250CF0"/>
    <w:rsid w:val="00250E50"/>
    <w:rsid w:val="0025107A"/>
    <w:rsid w:val="00251085"/>
    <w:rsid w:val="002513CB"/>
    <w:rsid w:val="0025140A"/>
    <w:rsid w:val="002515B5"/>
    <w:rsid w:val="002515E9"/>
    <w:rsid w:val="00251C6F"/>
    <w:rsid w:val="00251E3B"/>
    <w:rsid w:val="002524D8"/>
    <w:rsid w:val="00252686"/>
    <w:rsid w:val="002528DD"/>
    <w:rsid w:val="002529A1"/>
    <w:rsid w:val="00252AB3"/>
    <w:rsid w:val="00252AD8"/>
    <w:rsid w:val="00252B73"/>
    <w:rsid w:val="00252DE0"/>
    <w:rsid w:val="00252E1F"/>
    <w:rsid w:val="00252F34"/>
    <w:rsid w:val="00253031"/>
    <w:rsid w:val="00253225"/>
    <w:rsid w:val="00253385"/>
    <w:rsid w:val="00253595"/>
    <w:rsid w:val="00253AD8"/>
    <w:rsid w:val="00253DD0"/>
    <w:rsid w:val="00253DE1"/>
    <w:rsid w:val="00253E9A"/>
    <w:rsid w:val="002543BA"/>
    <w:rsid w:val="0025499F"/>
    <w:rsid w:val="00254E9C"/>
    <w:rsid w:val="00255195"/>
    <w:rsid w:val="00255279"/>
    <w:rsid w:val="00255298"/>
    <w:rsid w:val="002552CB"/>
    <w:rsid w:val="00255315"/>
    <w:rsid w:val="0025537D"/>
    <w:rsid w:val="00255558"/>
    <w:rsid w:val="00255745"/>
    <w:rsid w:val="0025582F"/>
    <w:rsid w:val="00255879"/>
    <w:rsid w:val="00255C4B"/>
    <w:rsid w:val="00255CD6"/>
    <w:rsid w:val="00255FA3"/>
    <w:rsid w:val="00256055"/>
    <w:rsid w:val="00256310"/>
    <w:rsid w:val="002564F2"/>
    <w:rsid w:val="002565FD"/>
    <w:rsid w:val="00256808"/>
    <w:rsid w:val="00256ED9"/>
    <w:rsid w:val="002570AC"/>
    <w:rsid w:val="0025713D"/>
    <w:rsid w:val="00257268"/>
    <w:rsid w:val="00257288"/>
    <w:rsid w:val="002572FF"/>
    <w:rsid w:val="002573A0"/>
    <w:rsid w:val="002574CE"/>
    <w:rsid w:val="00257599"/>
    <w:rsid w:val="002575C3"/>
    <w:rsid w:val="00257705"/>
    <w:rsid w:val="002578AE"/>
    <w:rsid w:val="002578E1"/>
    <w:rsid w:val="00257CD9"/>
    <w:rsid w:val="00257D15"/>
    <w:rsid w:val="00257E03"/>
    <w:rsid w:val="00257FA8"/>
    <w:rsid w:val="002600CD"/>
    <w:rsid w:val="0026015A"/>
    <w:rsid w:val="0026022E"/>
    <w:rsid w:val="00260760"/>
    <w:rsid w:val="00260B51"/>
    <w:rsid w:val="00260D1A"/>
    <w:rsid w:val="00261311"/>
    <w:rsid w:val="00261423"/>
    <w:rsid w:val="0026185D"/>
    <w:rsid w:val="0026193E"/>
    <w:rsid w:val="00261FB6"/>
    <w:rsid w:val="002621D3"/>
    <w:rsid w:val="00262321"/>
    <w:rsid w:val="0026233F"/>
    <w:rsid w:val="00262600"/>
    <w:rsid w:val="00262638"/>
    <w:rsid w:val="00262697"/>
    <w:rsid w:val="00262815"/>
    <w:rsid w:val="002628AA"/>
    <w:rsid w:val="002629F8"/>
    <w:rsid w:val="00262AE4"/>
    <w:rsid w:val="00262F56"/>
    <w:rsid w:val="00262F69"/>
    <w:rsid w:val="00263164"/>
    <w:rsid w:val="00263396"/>
    <w:rsid w:val="0026354D"/>
    <w:rsid w:val="002636AF"/>
    <w:rsid w:val="00263BCE"/>
    <w:rsid w:val="00263DFC"/>
    <w:rsid w:val="00263F6C"/>
    <w:rsid w:val="00264110"/>
    <w:rsid w:val="00264422"/>
    <w:rsid w:val="00264488"/>
    <w:rsid w:val="002644C5"/>
    <w:rsid w:val="002647E7"/>
    <w:rsid w:val="00264E30"/>
    <w:rsid w:val="002650DA"/>
    <w:rsid w:val="0026513D"/>
    <w:rsid w:val="002652AD"/>
    <w:rsid w:val="00265368"/>
    <w:rsid w:val="002653B8"/>
    <w:rsid w:val="002653DB"/>
    <w:rsid w:val="002654F1"/>
    <w:rsid w:val="0026557E"/>
    <w:rsid w:val="002658E3"/>
    <w:rsid w:val="002659FA"/>
    <w:rsid w:val="00265A2B"/>
    <w:rsid w:val="00265E30"/>
    <w:rsid w:val="00265E49"/>
    <w:rsid w:val="00265EDC"/>
    <w:rsid w:val="00265F78"/>
    <w:rsid w:val="0026607F"/>
    <w:rsid w:val="002660D3"/>
    <w:rsid w:val="0026615B"/>
    <w:rsid w:val="002664D7"/>
    <w:rsid w:val="00266558"/>
    <w:rsid w:val="00266A87"/>
    <w:rsid w:val="00266B2F"/>
    <w:rsid w:val="00266CC0"/>
    <w:rsid w:val="00267065"/>
    <w:rsid w:val="002670B3"/>
    <w:rsid w:val="00267443"/>
    <w:rsid w:val="00267815"/>
    <w:rsid w:val="00270149"/>
    <w:rsid w:val="0027033E"/>
    <w:rsid w:val="00270D1C"/>
    <w:rsid w:val="00270FE3"/>
    <w:rsid w:val="002713A0"/>
    <w:rsid w:val="00271489"/>
    <w:rsid w:val="002714A8"/>
    <w:rsid w:val="00271525"/>
    <w:rsid w:val="00271757"/>
    <w:rsid w:val="002717D3"/>
    <w:rsid w:val="00271E6A"/>
    <w:rsid w:val="00271F4E"/>
    <w:rsid w:val="002720C1"/>
    <w:rsid w:val="00272187"/>
    <w:rsid w:val="002722A9"/>
    <w:rsid w:val="0027235B"/>
    <w:rsid w:val="002725A6"/>
    <w:rsid w:val="002725F7"/>
    <w:rsid w:val="00272A9C"/>
    <w:rsid w:val="00272AC6"/>
    <w:rsid w:val="00272F21"/>
    <w:rsid w:val="00272F4F"/>
    <w:rsid w:val="00273213"/>
    <w:rsid w:val="00273B7F"/>
    <w:rsid w:val="00273BD7"/>
    <w:rsid w:val="0027413F"/>
    <w:rsid w:val="002743CD"/>
    <w:rsid w:val="002748A5"/>
    <w:rsid w:val="00274993"/>
    <w:rsid w:val="00274B8C"/>
    <w:rsid w:val="002751F9"/>
    <w:rsid w:val="00275600"/>
    <w:rsid w:val="002757DA"/>
    <w:rsid w:val="00275B5A"/>
    <w:rsid w:val="00276770"/>
    <w:rsid w:val="00276875"/>
    <w:rsid w:val="00276953"/>
    <w:rsid w:val="00276A33"/>
    <w:rsid w:val="00276DC0"/>
    <w:rsid w:val="0027700B"/>
    <w:rsid w:val="00277101"/>
    <w:rsid w:val="00277244"/>
    <w:rsid w:val="002772EA"/>
    <w:rsid w:val="00277301"/>
    <w:rsid w:val="00277509"/>
    <w:rsid w:val="00277536"/>
    <w:rsid w:val="00277689"/>
    <w:rsid w:val="002776D4"/>
    <w:rsid w:val="0027791A"/>
    <w:rsid w:val="00277A5A"/>
    <w:rsid w:val="00277A7B"/>
    <w:rsid w:val="00277D42"/>
    <w:rsid w:val="00280714"/>
    <w:rsid w:val="00280DC2"/>
    <w:rsid w:val="00280DDF"/>
    <w:rsid w:val="00280DFF"/>
    <w:rsid w:val="002810A6"/>
    <w:rsid w:val="00281169"/>
    <w:rsid w:val="002813AF"/>
    <w:rsid w:val="002813E9"/>
    <w:rsid w:val="0028169E"/>
    <w:rsid w:val="00281977"/>
    <w:rsid w:val="00281B04"/>
    <w:rsid w:val="00281EF8"/>
    <w:rsid w:val="002823DF"/>
    <w:rsid w:val="002823F3"/>
    <w:rsid w:val="0028267A"/>
    <w:rsid w:val="002826F6"/>
    <w:rsid w:val="0028271D"/>
    <w:rsid w:val="00282AF8"/>
    <w:rsid w:val="00282B6B"/>
    <w:rsid w:val="00282CCF"/>
    <w:rsid w:val="00282CFA"/>
    <w:rsid w:val="00282D9F"/>
    <w:rsid w:val="00282DB5"/>
    <w:rsid w:val="002830C8"/>
    <w:rsid w:val="002833A9"/>
    <w:rsid w:val="002836CE"/>
    <w:rsid w:val="002837F9"/>
    <w:rsid w:val="00283E46"/>
    <w:rsid w:val="00284152"/>
    <w:rsid w:val="002844DC"/>
    <w:rsid w:val="0028454E"/>
    <w:rsid w:val="002846BD"/>
    <w:rsid w:val="00284724"/>
    <w:rsid w:val="00284853"/>
    <w:rsid w:val="00284975"/>
    <w:rsid w:val="00284B84"/>
    <w:rsid w:val="00284D06"/>
    <w:rsid w:val="00284E04"/>
    <w:rsid w:val="00284EE0"/>
    <w:rsid w:val="002850F4"/>
    <w:rsid w:val="002852C1"/>
    <w:rsid w:val="00285608"/>
    <w:rsid w:val="0028594E"/>
    <w:rsid w:val="00285B33"/>
    <w:rsid w:val="00285C38"/>
    <w:rsid w:val="00285CF1"/>
    <w:rsid w:val="00285DC2"/>
    <w:rsid w:val="00285E62"/>
    <w:rsid w:val="00286638"/>
    <w:rsid w:val="002872B2"/>
    <w:rsid w:val="002878BA"/>
    <w:rsid w:val="00287916"/>
    <w:rsid w:val="0028793E"/>
    <w:rsid w:val="00287B1B"/>
    <w:rsid w:val="00287B24"/>
    <w:rsid w:val="00287EB4"/>
    <w:rsid w:val="002901BA"/>
    <w:rsid w:val="00290426"/>
    <w:rsid w:val="0029067E"/>
    <w:rsid w:val="0029074C"/>
    <w:rsid w:val="00290886"/>
    <w:rsid w:val="00290A0E"/>
    <w:rsid w:val="00290A5D"/>
    <w:rsid w:val="00290BD4"/>
    <w:rsid w:val="00290DDA"/>
    <w:rsid w:val="00290F39"/>
    <w:rsid w:val="00290F42"/>
    <w:rsid w:val="00290FEC"/>
    <w:rsid w:val="00291145"/>
    <w:rsid w:val="0029118B"/>
    <w:rsid w:val="002916D3"/>
    <w:rsid w:val="002917FF"/>
    <w:rsid w:val="00291805"/>
    <w:rsid w:val="00291D39"/>
    <w:rsid w:val="00292069"/>
    <w:rsid w:val="002920FA"/>
    <w:rsid w:val="0029223A"/>
    <w:rsid w:val="00292ADF"/>
    <w:rsid w:val="0029310D"/>
    <w:rsid w:val="00293426"/>
    <w:rsid w:val="00293491"/>
    <w:rsid w:val="00293B45"/>
    <w:rsid w:val="00293D9C"/>
    <w:rsid w:val="00293E78"/>
    <w:rsid w:val="00294707"/>
    <w:rsid w:val="00294F7C"/>
    <w:rsid w:val="002952B8"/>
    <w:rsid w:val="00295763"/>
    <w:rsid w:val="00295852"/>
    <w:rsid w:val="0029591B"/>
    <w:rsid w:val="002959AE"/>
    <w:rsid w:val="00295A2D"/>
    <w:rsid w:val="00295CC8"/>
    <w:rsid w:val="002962AE"/>
    <w:rsid w:val="002965B3"/>
    <w:rsid w:val="00296669"/>
    <w:rsid w:val="00297049"/>
    <w:rsid w:val="0029708A"/>
    <w:rsid w:val="002972DF"/>
    <w:rsid w:val="002975F3"/>
    <w:rsid w:val="00297749"/>
    <w:rsid w:val="00297818"/>
    <w:rsid w:val="00297A45"/>
    <w:rsid w:val="00297BEC"/>
    <w:rsid w:val="00297CBF"/>
    <w:rsid w:val="002A01E3"/>
    <w:rsid w:val="002A04A4"/>
    <w:rsid w:val="002A0669"/>
    <w:rsid w:val="002A0766"/>
    <w:rsid w:val="002A0926"/>
    <w:rsid w:val="002A0DEC"/>
    <w:rsid w:val="002A0FE0"/>
    <w:rsid w:val="002A1031"/>
    <w:rsid w:val="002A1212"/>
    <w:rsid w:val="002A14D3"/>
    <w:rsid w:val="002A16EC"/>
    <w:rsid w:val="002A17B4"/>
    <w:rsid w:val="002A2256"/>
    <w:rsid w:val="002A2491"/>
    <w:rsid w:val="002A26FA"/>
    <w:rsid w:val="002A2974"/>
    <w:rsid w:val="002A2CCA"/>
    <w:rsid w:val="002A348A"/>
    <w:rsid w:val="002A3572"/>
    <w:rsid w:val="002A35AE"/>
    <w:rsid w:val="002A38AD"/>
    <w:rsid w:val="002A3A91"/>
    <w:rsid w:val="002A3A93"/>
    <w:rsid w:val="002A3C01"/>
    <w:rsid w:val="002A3C43"/>
    <w:rsid w:val="002A3F7F"/>
    <w:rsid w:val="002A3FD3"/>
    <w:rsid w:val="002A3FFD"/>
    <w:rsid w:val="002A491A"/>
    <w:rsid w:val="002A4D7E"/>
    <w:rsid w:val="002A5093"/>
    <w:rsid w:val="002A5211"/>
    <w:rsid w:val="002A536E"/>
    <w:rsid w:val="002A5409"/>
    <w:rsid w:val="002A5C13"/>
    <w:rsid w:val="002A5C54"/>
    <w:rsid w:val="002A6234"/>
    <w:rsid w:val="002A644E"/>
    <w:rsid w:val="002A655A"/>
    <w:rsid w:val="002A66D8"/>
    <w:rsid w:val="002A7077"/>
    <w:rsid w:val="002A7242"/>
    <w:rsid w:val="002A74D5"/>
    <w:rsid w:val="002A74F6"/>
    <w:rsid w:val="002A7568"/>
    <w:rsid w:val="002A785A"/>
    <w:rsid w:val="002A7C3B"/>
    <w:rsid w:val="002A7F00"/>
    <w:rsid w:val="002A7F4A"/>
    <w:rsid w:val="002B0155"/>
    <w:rsid w:val="002B01D4"/>
    <w:rsid w:val="002B0533"/>
    <w:rsid w:val="002B0CE9"/>
    <w:rsid w:val="002B0E0E"/>
    <w:rsid w:val="002B11A5"/>
    <w:rsid w:val="002B11E3"/>
    <w:rsid w:val="002B15EA"/>
    <w:rsid w:val="002B1A80"/>
    <w:rsid w:val="002B1C53"/>
    <w:rsid w:val="002B1F11"/>
    <w:rsid w:val="002B1F2B"/>
    <w:rsid w:val="002B1F6D"/>
    <w:rsid w:val="002B2019"/>
    <w:rsid w:val="002B2A2F"/>
    <w:rsid w:val="002B2C53"/>
    <w:rsid w:val="002B2EA6"/>
    <w:rsid w:val="002B309E"/>
    <w:rsid w:val="002B326E"/>
    <w:rsid w:val="002B367F"/>
    <w:rsid w:val="002B3AD5"/>
    <w:rsid w:val="002B49F2"/>
    <w:rsid w:val="002B4F99"/>
    <w:rsid w:val="002B5087"/>
    <w:rsid w:val="002B52C8"/>
    <w:rsid w:val="002B5315"/>
    <w:rsid w:val="002B53BF"/>
    <w:rsid w:val="002B5778"/>
    <w:rsid w:val="002B5780"/>
    <w:rsid w:val="002B59CB"/>
    <w:rsid w:val="002B5D97"/>
    <w:rsid w:val="002B5F96"/>
    <w:rsid w:val="002B6160"/>
    <w:rsid w:val="002B66AC"/>
    <w:rsid w:val="002B6896"/>
    <w:rsid w:val="002B6969"/>
    <w:rsid w:val="002B69B5"/>
    <w:rsid w:val="002B6B3D"/>
    <w:rsid w:val="002B6C02"/>
    <w:rsid w:val="002B6CF5"/>
    <w:rsid w:val="002B6D0E"/>
    <w:rsid w:val="002B6E05"/>
    <w:rsid w:val="002B7000"/>
    <w:rsid w:val="002B7162"/>
    <w:rsid w:val="002B71C8"/>
    <w:rsid w:val="002B7202"/>
    <w:rsid w:val="002B74DE"/>
    <w:rsid w:val="002B75A3"/>
    <w:rsid w:val="002B7855"/>
    <w:rsid w:val="002B7A2F"/>
    <w:rsid w:val="002B7AD4"/>
    <w:rsid w:val="002B7D65"/>
    <w:rsid w:val="002B7DA3"/>
    <w:rsid w:val="002B7E87"/>
    <w:rsid w:val="002C0254"/>
    <w:rsid w:val="002C0295"/>
    <w:rsid w:val="002C0580"/>
    <w:rsid w:val="002C0681"/>
    <w:rsid w:val="002C0B5D"/>
    <w:rsid w:val="002C0EBB"/>
    <w:rsid w:val="002C0F54"/>
    <w:rsid w:val="002C118D"/>
    <w:rsid w:val="002C1593"/>
    <w:rsid w:val="002C1608"/>
    <w:rsid w:val="002C160E"/>
    <w:rsid w:val="002C18B0"/>
    <w:rsid w:val="002C19D6"/>
    <w:rsid w:val="002C1CF5"/>
    <w:rsid w:val="002C1E00"/>
    <w:rsid w:val="002C2147"/>
    <w:rsid w:val="002C22F0"/>
    <w:rsid w:val="002C2304"/>
    <w:rsid w:val="002C23F3"/>
    <w:rsid w:val="002C26C9"/>
    <w:rsid w:val="002C2A5B"/>
    <w:rsid w:val="002C2E00"/>
    <w:rsid w:val="002C2F6C"/>
    <w:rsid w:val="002C2F83"/>
    <w:rsid w:val="002C32C4"/>
    <w:rsid w:val="002C3375"/>
    <w:rsid w:val="002C3650"/>
    <w:rsid w:val="002C3796"/>
    <w:rsid w:val="002C3B80"/>
    <w:rsid w:val="002C3B90"/>
    <w:rsid w:val="002C3C0C"/>
    <w:rsid w:val="002C3C4C"/>
    <w:rsid w:val="002C3C9E"/>
    <w:rsid w:val="002C3D04"/>
    <w:rsid w:val="002C3D9A"/>
    <w:rsid w:val="002C454E"/>
    <w:rsid w:val="002C4551"/>
    <w:rsid w:val="002C4784"/>
    <w:rsid w:val="002C47BF"/>
    <w:rsid w:val="002C4D70"/>
    <w:rsid w:val="002C51C8"/>
    <w:rsid w:val="002C52E2"/>
    <w:rsid w:val="002C54D6"/>
    <w:rsid w:val="002C55B7"/>
    <w:rsid w:val="002C57FE"/>
    <w:rsid w:val="002C5830"/>
    <w:rsid w:val="002C585C"/>
    <w:rsid w:val="002C5A5D"/>
    <w:rsid w:val="002C5C64"/>
    <w:rsid w:val="002C5DC7"/>
    <w:rsid w:val="002C60F9"/>
    <w:rsid w:val="002C695A"/>
    <w:rsid w:val="002C69CC"/>
    <w:rsid w:val="002C6C77"/>
    <w:rsid w:val="002C6F14"/>
    <w:rsid w:val="002C73D5"/>
    <w:rsid w:val="002C7487"/>
    <w:rsid w:val="002C7571"/>
    <w:rsid w:val="002C791E"/>
    <w:rsid w:val="002C7F87"/>
    <w:rsid w:val="002D023A"/>
    <w:rsid w:val="002D0274"/>
    <w:rsid w:val="002D032A"/>
    <w:rsid w:val="002D056A"/>
    <w:rsid w:val="002D07CE"/>
    <w:rsid w:val="002D0A9C"/>
    <w:rsid w:val="002D0C18"/>
    <w:rsid w:val="002D0D3A"/>
    <w:rsid w:val="002D0EBB"/>
    <w:rsid w:val="002D0F46"/>
    <w:rsid w:val="002D1095"/>
    <w:rsid w:val="002D10B9"/>
    <w:rsid w:val="002D1118"/>
    <w:rsid w:val="002D118C"/>
    <w:rsid w:val="002D127D"/>
    <w:rsid w:val="002D1281"/>
    <w:rsid w:val="002D150D"/>
    <w:rsid w:val="002D189E"/>
    <w:rsid w:val="002D1A10"/>
    <w:rsid w:val="002D1C57"/>
    <w:rsid w:val="002D21E7"/>
    <w:rsid w:val="002D21F1"/>
    <w:rsid w:val="002D22AC"/>
    <w:rsid w:val="002D23E6"/>
    <w:rsid w:val="002D2531"/>
    <w:rsid w:val="002D2841"/>
    <w:rsid w:val="002D290B"/>
    <w:rsid w:val="002D29F9"/>
    <w:rsid w:val="002D2D1C"/>
    <w:rsid w:val="002D2F12"/>
    <w:rsid w:val="002D2F90"/>
    <w:rsid w:val="002D3058"/>
    <w:rsid w:val="002D32CC"/>
    <w:rsid w:val="002D3302"/>
    <w:rsid w:val="002D3B17"/>
    <w:rsid w:val="002D3B18"/>
    <w:rsid w:val="002D3E09"/>
    <w:rsid w:val="002D3E39"/>
    <w:rsid w:val="002D3FD9"/>
    <w:rsid w:val="002D420C"/>
    <w:rsid w:val="002D432A"/>
    <w:rsid w:val="002D4BEE"/>
    <w:rsid w:val="002D4EDF"/>
    <w:rsid w:val="002D50B8"/>
    <w:rsid w:val="002D5230"/>
    <w:rsid w:val="002D5293"/>
    <w:rsid w:val="002D5414"/>
    <w:rsid w:val="002D5573"/>
    <w:rsid w:val="002D55E5"/>
    <w:rsid w:val="002D5F41"/>
    <w:rsid w:val="002D6368"/>
    <w:rsid w:val="002D644A"/>
    <w:rsid w:val="002D645E"/>
    <w:rsid w:val="002D662C"/>
    <w:rsid w:val="002D6844"/>
    <w:rsid w:val="002D692D"/>
    <w:rsid w:val="002D6A9B"/>
    <w:rsid w:val="002D6DFA"/>
    <w:rsid w:val="002D6F08"/>
    <w:rsid w:val="002D70A7"/>
    <w:rsid w:val="002D73D8"/>
    <w:rsid w:val="002D7980"/>
    <w:rsid w:val="002D7CCE"/>
    <w:rsid w:val="002D7DD1"/>
    <w:rsid w:val="002E030C"/>
    <w:rsid w:val="002E03EF"/>
    <w:rsid w:val="002E0413"/>
    <w:rsid w:val="002E052D"/>
    <w:rsid w:val="002E08DE"/>
    <w:rsid w:val="002E0AC9"/>
    <w:rsid w:val="002E0B83"/>
    <w:rsid w:val="002E0BE4"/>
    <w:rsid w:val="002E0D8C"/>
    <w:rsid w:val="002E0F9F"/>
    <w:rsid w:val="002E0FEB"/>
    <w:rsid w:val="002E107E"/>
    <w:rsid w:val="002E11E4"/>
    <w:rsid w:val="002E157C"/>
    <w:rsid w:val="002E164D"/>
    <w:rsid w:val="002E16DF"/>
    <w:rsid w:val="002E1786"/>
    <w:rsid w:val="002E184F"/>
    <w:rsid w:val="002E18DB"/>
    <w:rsid w:val="002E1C28"/>
    <w:rsid w:val="002E1CF8"/>
    <w:rsid w:val="002E1D31"/>
    <w:rsid w:val="002E1D57"/>
    <w:rsid w:val="002E1FAD"/>
    <w:rsid w:val="002E20C3"/>
    <w:rsid w:val="002E22C2"/>
    <w:rsid w:val="002E23A3"/>
    <w:rsid w:val="002E27D1"/>
    <w:rsid w:val="002E2846"/>
    <w:rsid w:val="002E2B5C"/>
    <w:rsid w:val="002E2C05"/>
    <w:rsid w:val="002E2D51"/>
    <w:rsid w:val="002E353B"/>
    <w:rsid w:val="002E3B58"/>
    <w:rsid w:val="002E3BDF"/>
    <w:rsid w:val="002E3CC7"/>
    <w:rsid w:val="002E3D04"/>
    <w:rsid w:val="002E3E8A"/>
    <w:rsid w:val="002E44AD"/>
    <w:rsid w:val="002E4746"/>
    <w:rsid w:val="002E4C36"/>
    <w:rsid w:val="002E4D20"/>
    <w:rsid w:val="002E526A"/>
    <w:rsid w:val="002E52FD"/>
    <w:rsid w:val="002E5563"/>
    <w:rsid w:val="002E575D"/>
    <w:rsid w:val="002E5895"/>
    <w:rsid w:val="002E5984"/>
    <w:rsid w:val="002E5B40"/>
    <w:rsid w:val="002E5C32"/>
    <w:rsid w:val="002E5E29"/>
    <w:rsid w:val="002E603B"/>
    <w:rsid w:val="002E638A"/>
    <w:rsid w:val="002E67D5"/>
    <w:rsid w:val="002E68E7"/>
    <w:rsid w:val="002E6A6A"/>
    <w:rsid w:val="002E6D16"/>
    <w:rsid w:val="002E6EB0"/>
    <w:rsid w:val="002E71B8"/>
    <w:rsid w:val="002E7475"/>
    <w:rsid w:val="002E7691"/>
    <w:rsid w:val="002E7705"/>
    <w:rsid w:val="002E78D3"/>
    <w:rsid w:val="002E78E3"/>
    <w:rsid w:val="002E7BB8"/>
    <w:rsid w:val="002F038D"/>
    <w:rsid w:val="002F0535"/>
    <w:rsid w:val="002F05EA"/>
    <w:rsid w:val="002F0756"/>
    <w:rsid w:val="002F0778"/>
    <w:rsid w:val="002F0AC9"/>
    <w:rsid w:val="002F0AF6"/>
    <w:rsid w:val="002F0B07"/>
    <w:rsid w:val="002F0D7F"/>
    <w:rsid w:val="002F0E15"/>
    <w:rsid w:val="002F0E5F"/>
    <w:rsid w:val="002F135F"/>
    <w:rsid w:val="002F18C5"/>
    <w:rsid w:val="002F18F1"/>
    <w:rsid w:val="002F2061"/>
    <w:rsid w:val="002F22E2"/>
    <w:rsid w:val="002F2526"/>
    <w:rsid w:val="002F2BE5"/>
    <w:rsid w:val="002F2F10"/>
    <w:rsid w:val="002F3397"/>
    <w:rsid w:val="002F33F2"/>
    <w:rsid w:val="002F347B"/>
    <w:rsid w:val="002F3778"/>
    <w:rsid w:val="002F3CDA"/>
    <w:rsid w:val="002F4066"/>
    <w:rsid w:val="002F40A2"/>
    <w:rsid w:val="002F41AD"/>
    <w:rsid w:val="002F4262"/>
    <w:rsid w:val="002F432B"/>
    <w:rsid w:val="002F441A"/>
    <w:rsid w:val="002F452D"/>
    <w:rsid w:val="002F46CF"/>
    <w:rsid w:val="002F4702"/>
    <w:rsid w:val="002F4E24"/>
    <w:rsid w:val="002F4E2D"/>
    <w:rsid w:val="002F5007"/>
    <w:rsid w:val="002F5246"/>
    <w:rsid w:val="002F58CA"/>
    <w:rsid w:val="002F5C34"/>
    <w:rsid w:val="002F5FF8"/>
    <w:rsid w:val="002F617B"/>
    <w:rsid w:val="002F6298"/>
    <w:rsid w:val="002F64FC"/>
    <w:rsid w:val="002F68D9"/>
    <w:rsid w:val="002F6C81"/>
    <w:rsid w:val="002F6CC1"/>
    <w:rsid w:val="002F7187"/>
    <w:rsid w:val="002F733D"/>
    <w:rsid w:val="002F78A3"/>
    <w:rsid w:val="002F7DF9"/>
    <w:rsid w:val="002F7F60"/>
    <w:rsid w:val="002F7FC4"/>
    <w:rsid w:val="0030009A"/>
    <w:rsid w:val="0030018C"/>
    <w:rsid w:val="003003C8"/>
    <w:rsid w:val="003004F6"/>
    <w:rsid w:val="00300647"/>
    <w:rsid w:val="00300D47"/>
    <w:rsid w:val="0030139E"/>
    <w:rsid w:val="00301458"/>
    <w:rsid w:val="00301879"/>
    <w:rsid w:val="003019CB"/>
    <w:rsid w:val="00301E47"/>
    <w:rsid w:val="003020AF"/>
    <w:rsid w:val="00302132"/>
    <w:rsid w:val="00302267"/>
    <w:rsid w:val="00302364"/>
    <w:rsid w:val="00302497"/>
    <w:rsid w:val="0030251F"/>
    <w:rsid w:val="00302861"/>
    <w:rsid w:val="00302898"/>
    <w:rsid w:val="00302936"/>
    <w:rsid w:val="003029AF"/>
    <w:rsid w:val="00302F2A"/>
    <w:rsid w:val="00303193"/>
    <w:rsid w:val="0030324A"/>
    <w:rsid w:val="003034FC"/>
    <w:rsid w:val="003036A2"/>
    <w:rsid w:val="0030380D"/>
    <w:rsid w:val="00303941"/>
    <w:rsid w:val="00303BBF"/>
    <w:rsid w:val="00303F8C"/>
    <w:rsid w:val="00304092"/>
    <w:rsid w:val="003040A1"/>
    <w:rsid w:val="00304161"/>
    <w:rsid w:val="003041DE"/>
    <w:rsid w:val="003042F7"/>
    <w:rsid w:val="0030484D"/>
    <w:rsid w:val="00304871"/>
    <w:rsid w:val="00304A40"/>
    <w:rsid w:val="00304B58"/>
    <w:rsid w:val="00304D36"/>
    <w:rsid w:val="00305231"/>
    <w:rsid w:val="00305993"/>
    <w:rsid w:val="00305B15"/>
    <w:rsid w:val="00305F9D"/>
    <w:rsid w:val="00306018"/>
    <w:rsid w:val="003060DF"/>
    <w:rsid w:val="00306493"/>
    <w:rsid w:val="003064C6"/>
    <w:rsid w:val="003067D3"/>
    <w:rsid w:val="00306842"/>
    <w:rsid w:val="00306D08"/>
    <w:rsid w:val="00306D0E"/>
    <w:rsid w:val="00306DC6"/>
    <w:rsid w:val="00306EF3"/>
    <w:rsid w:val="00306F2F"/>
    <w:rsid w:val="00307959"/>
    <w:rsid w:val="00307AF9"/>
    <w:rsid w:val="00307D4A"/>
    <w:rsid w:val="00307F39"/>
    <w:rsid w:val="00307FE3"/>
    <w:rsid w:val="003103AB"/>
    <w:rsid w:val="00310522"/>
    <w:rsid w:val="00310747"/>
    <w:rsid w:val="0031087C"/>
    <w:rsid w:val="00310907"/>
    <w:rsid w:val="00310B37"/>
    <w:rsid w:val="00310C52"/>
    <w:rsid w:val="00310C96"/>
    <w:rsid w:val="00311119"/>
    <w:rsid w:val="003113A5"/>
    <w:rsid w:val="003114CE"/>
    <w:rsid w:val="003115FC"/>
    <w:rsid w:val="003117E8"/>
    <w:rsid w:val="003118B8"/>
    <w:rsid w:val="003118D6"/>
    <w:rsid w:val="00311BE7"/>
    <w:rsid w:val="00311F9A"/>
    <w:rsid w:val="00311FD1"/>
    <w:rsid w:val="003121A6"/>
    <w:rsid w:val="003121D8"/>
    <w:rsid w:val="003123A7"/>
    <w:rsid w:val="00312411"/>
    <w:rsid w:val="00312440"/>
    <w:rsid w:val="00312623"/>
    <w:rsid w:val="00312650"/>
    <w:rsid w:val="0031286F"/>
    <w:rsid w:val="00312B92"/>
    <w:rsid w:val="00312DAF"/>
    <w:rsid w:val="00312E90"/>
    <w:rsid w:val="00313110"/>
    <w:rsid w:val="00313111"/>
    <w:rsid w:val="00313336"/>
    <w:rsid w:val="0031349E"/>
    <w:rsid w:val="003137CC"/>
    <w:rsid w:val="003138E1"/>
    <w:rsid w:val="00313AA0"/>
    <w:rsid w:val="00313AA4"/>
    <w:rsid w:val="00313B58"/>
    <w:rsid w:val="00313BAA"/>
    <w:rsid w:val="00313CCF"/>
    <w:rsid w:val="00313CFC"/>
    <w:rsid w:val="0031402C"/>
    <w:rsid w:val="003142CA"/>
    <w:rsid w:val="0031441B"/>
    <w:rsid w:val="0031464A"/>
    <w:rsid w:val="00314A07"/>
    <w:rsid w:val="00314BC2"/>
    <w:rsid w:val="00314D7E"/>
    <w:rsid w:val="003154A1"/>
    <w:rsid w:val="0031552F"/>
    <w:rsid w:val="00315645"/>
    <w:rsid w:val="003158A7"/>
    <w:rsid w:val="0031598D"/>
    <w:rsid w:val="00315D4C"/>
    <w:rsid w:val="00315DDA"/>
    <w:rsid w:val="00315ED0"/>
    <w:rsid w:val="00315EE0"/>
    <w:rsid w:val="00315F9F"/>
    <w:rsid w:val="00315FDC"/>
    <w:rsid w:val="003161B4"/>
    <w:rsid w:val="003161CF"/>
    <w:rsid w:val="003161F6"/>
    <w:rsid w:val="003162DD"/>
    <w:rsid w:val="00316495"/>
    <w:rsid w:val="0031661B"/>
    <w:rsid w:val="0031764B"/>
    <w:rsid w:val="00317B4C"/>
    <w:rsid w:val="00317D7A"/>
    <w:rsid w:val="00317F20"/>
    <w:rsid w:val="00317F73"/>
    <w:rsid w:val="00320380"/>
    <w:rsid w:val="003203E7"/>
    <w:rsid w:val="003204AB"/>
    <w:rsid w:val="00320995"/>
    <w:rsid w:val="00321468"/>
    <w:rsid w:val="0032150A"/>
    <w:rsid w:val="00321604"/>
    <w:rsid w:val="0032175B"/>
    <w:rsid w:val="0032190B"/>
    <w:rsid w:val="003219E8"/>
    <w:rsid w:val="00321B0B"/>
    <w:rsid w:val="00321B9D"/>
    <w:rsid w:val="00321DA5"/>
    <w:rsid w:val="00321EA9"/>
    <w:rsid w:val="00322147"/>
    <w:rsid w:val="00322B32"/>
    <w:rsid w:val="00322E62"/>
    <w:rsid w:val="00323187"/>
    <w:rsid w:val="003238D6"/>
    <w:rsid w:val="00323E71"/>
    <w:rsid w:val="00323F56"/>
    <w:rsid w:val="00323FDA"/>
    <w:rsid w:val="0032414C"/>
    <w:rsid w:val="00324171"/>
    <w:rsid w:val="0032436B"/>
    <w:rsid w:val="0032465C"/>
    <w:rsid w:val="0032489A"/>
    <w:rsid w:val="00324996"/>
    <w:rsid w:val="00324A69"/>
    <w:rsid w:val="00324C25"/>
    <w:rsid w:val="00325209"/>
    <w:rsid w:val="0032524F"/>
    <w:rsid w:val="0032544A"/>
    <w:rsid w:val="003254F9"/>
    <w:rsid w:val="00325511"/>
    <w:rsid w:val="00325571"/>
    <w:rsid w:val="00325644"/>
    <w:rsid w:val="00325B70"/>
    <w:rsid w:val="00325B7C"/>
    <w:rsid w:val="00325E58"/>
    <w:rsid w:val="003265A2"/>
    <w:rsid w:val="00326731"/>
    <w:rsid w:val="00326988"/>
    <w:rsid w:val="00326A99"/>
    <w:rsid w:val="00326ABE"/>
    <w:rsid w:val="00326D0C"/>
    <w:rsid w:val="00326F82"/>
    <w:rsid w:val="00327122"/>
    <w:rsid w:val="003271E5"/>
    <w:rsid w:val="00327373"/>
    <w:rsid w:val="003273B5"/>
    <w:rsid w:val="00327837"/>
    <w:rsid w:val="00327B1C"/>
    <w:rsid w:val="00327BC9"/>
    <w:rsid w:val="00327F1C"/>
    <w:rsid w:val="00327F4C"/>
    <w:rsid w:val="003304B1"/>
    <w:rsid w:val="00330C68"/>
    <w:rsid w:val="00330D11"/>
    <w:rsid w:val="00330E87"/>
    <w:rsid w:val="00330F5A"/>
    <w:rsid w:val="00330FF1"/>
    <w:rsid w:val="003315B3"/>
    <w:rsid w:val="003315D9"/>
    <w:rsid w:val="00331BAE"/>
    <w:rsid w:val="00331D6B"/>
    <w:rsid w:val="003320B3"/>
    <w:rsid w:val="00332121"/>
    <w:rsid w:val="00332438"/>
    <w:rsid w:val="003325FD"/>
    <w:rsid w:val="0033263F"/>
    <w:rsid w:val="0033266D"/>
    <w:rsid w:val="00332948"/>
    <w:rsid w:val="00332A1A"/>
    <w:rsid w:val="00332BCE"/>
    <w:rsid w:val="00332F5F"/>
    <w:rsid w:val="003330AB"/>
    <w:rsid w:val="00333370"/>
    <w:rsid w:val="00333750"/>
    <w:rsid w:val="00333BE2"/>
    <w:rsid w:val="00333C6C"/>
    <w:rsid w:val="00334115"/>
    <w:rsid w:val="00334130"/>
    <w:rsid w:val="00334784"/>
    <w:rsid w:val="0033489E"/>
    <w:rsid w:val="00334A27"/>
    <w:rsid w:val="00334A34"/>
    <w:rsid w:val="00334D83"/>
    <w:rsid w:val="00334DE6"/>
    <w:rsid w:val="00334E8F"/>
    <w:rsid w:val="00334EA3"/>
    <w:rsid w:val="003350B5"/>
    <w:rsid w:val="0033514A"/>
    <w:rsid w:val="00335195"/>
    <w:rsid w:val="0033552D"/>
    <w:rsid w:val="00335549"/>
    <w:rsid w:val="00335BC5"/>
    <w:rsid w:val="00335C3F"/>
    <w:rsid w:val="00335CE1"/>
    <w:rsid w:val="00335DAD"/>
    <w:rsid w:val="0033606B"/>
    <w:rsid w:val="00336152"/>
    <w:rsid w:val="0033635B"/>
    <w:rsid w:val="00336495"/>
    <w:rsid w:val="0033675B"/>
    <w:rsid w:val="003368CF"/>
    <w:rsid w:val="003368F9"/>
    <w:rsid w:val="0033696A"/>
    <w:rsid w:val="003369A4"/>
    <w:rsid w:val="003369B2"/>
    <w:rsid w:val="00336CC3"/>
    <w:rsid w:val="00336E78"/>
    <w:rsid w:val="00337236"/>
    <w:rsid w:val="0033759D"/>
    <w:rsid w:val="003375E4"/>
    <w:rsid w:val="00337601"/>
    <w:rsid w:val="0033767E"/>
    <w:rsid w:val="00337D93"/>
    <w:rsid w:val="00340130"/>
    <w:rsid w:val="003402F1"/>
    <w:rsid w:val="00340594"/>
    <w:rsid w:val="00340A98"/>
    <w:rsid w:val="00340CDB"/>
    <w:rsid w:val="00340D43"/>
    <w:rsid w:val="00340EF6"/>
    <w:rsid w:val="00341045"/>
    <w:rsid w:val="00341143"/>
    <w:rsid w:val="0034145F"/>
    <w:rsid w:val="003416BA"/>
    <w:rsid w:val="00341739"/>
    <w:rsid w:val="003418EA"/>
    <w:rsid w:val="00341905"/>
    <w:rsid w:val="00341937"/>
    <w:rsid w:val="003419B7"/>
    <w:rsid w:val="00341E07"/>
    <w:rsid w:val="00341ED8"/>
    <w:rsid w:val="00341F42"/>
    <w:rsid w:val="00342169"/>
    <w:rsid w:val="003423C1"/>
    <w:rsid w:val="003429B2"/>
    <w:rsid w:val="00342C0A"/>
    <w:rsid w:val="00342C10"/>
    <w:rsid w:val="00342EB4"/>
    <w:rsid w:val="00343389"/>
    <w:rsid w:val="00343481"/>
    <w:rsid w:val="00343715"/>
    <w:rsid w:val="0034380C"/>
    <w:rsid w:val="003439A2"/>
    <w:rsid w:val="00343A17"/>
    <w:rsid w:val="00343B16"/>
    <w:rsid w:val="00343B32"/>
    <w:rsid w:val="0034425C"/>
    <w:rsid w:val="0034438F"/>
    <w:rsid w:val="003443D0"/>
    <w:rsid w:val="00344652"/>
    <w:rsid w:val="003446FF"/>
    <w:rsid w:val="003448D0"/>
    <w:rsid w:val="00344B9E"/>
    <w:rsid w:val="003452E4"/>
    <w:rsid w:val="003453CC"/>
    <w:rsid w:val="00345792"/>
    <w:rsid w:val="00345BC1"/>
    <w:rsid w:val="00345CD5"/>
    <w:rsid w:val="00345EC1"/>
    <w:rsid w:val="00345FF0"/>
    <w:rsid w:val="00346087"/>
    <w:rsid w:val="00346218"/>
    <w:rsid w:val="00346437"/>
    <w:rsid w:val="0034644E"/>
    <w:rsid w:val="00346566"/>
    <w:rsid w:val="003465EB"/>
    <w:rsid w:val="0034678B"/>
    <w:rsid w:val="003468E5"/>
    <w:rsid w:val="00346B0D"/>
    <w:rsid w:val="00346BF4"/>
    <w:rsid w:val="00346C8E"/>
    <w:rsid w:val="00346F42"/>
    <w:rsid w:val="00346F46"/>
    <w:rsid w:val="00347249"/>
    <w:rsid w:val="003479D4"/>
    <w:rsid w:val="00347B74"/>
    <w:rsid w:val="00347CB6"/>
    <w:rsid w:val="00350633"/>
    <w:rsid w:val="003507DE"/>
    <w:rsid w:val="00350B92"/>
    <w:rsid w:val="00350F7D"/>
    <w:rsid w:val="00351173"/>
    <w:rsid w:val="0035125B"/>
    <w:rsid w:val="003514D1"/>
    <w:rsid w:val="00351771"/>
    <w:rsid w:val="00351841"/>
    <w:rsid w:val="00351939"/>
    <w:rsid w:val="00351F0C"/>
    <w:rsid w:val="0035249F"/>
    <w:rsid w:val="003525D4"/>
    <w:rsid w:val="00352738"/>
    <w:rsid w:val="00352ED8"/>
    <w:rsid w:val="00352EF0"/>
    <w:rsid w:val="0035326D"/>
    <w:rsid w:val="0035352C"/>
    <w:rsid w:val="0035393D"/>
    <w:rsid w:val="00353A01"/>
    <w:rsid w:val="00353AE5"/>
    <w:rsid w:val="00353AFC"/>
    <w:rsid w:val="00353D94"/>
    <w:rsid w:val="00353E2F"/>
    <w:rsid w:val="00353FDB"/>
    <w:rsid w:val="00354CA4"/>
    <w:rsid w:val="00354F24"/>
    <w:rsid w:val="0035534B"/>
    <w:rsid w:val="003555C0"/>
    <w:rsid w:val="00355783"/>
    <w:rsid w:val="00355790"/>
    <w:rsid w:val="003557CE"/>
    <w:rsid w:val="00355A76"/>
    <w:rsid w:val="00355B6D"/>
    <w:rsid w:val="00355D64"/>
    <w:rsid w:val="00355D73"/>
    <w:rsid w:val="00355EFF"/>
    <w:rsid w:val="00356068"/>
    <w:rsid w:val="0035606D"/>
    <w:rsid w:val="00356230"/>
    <w:rsid w:val="00356275"/>
    <w:rsid w:val="0035631B"/>
    <w:rsid w:val="00356362"/>
    <w:rsid w:val="0035639D"/>
    <w:rsid w:val="0035674F"/>
    <w:rsid w:val="00356821"/>
    <w:rsid w:val="00356A12"/>
    <w:rsid w:val="00356A7E"/>
    <w:rsid w:val="00356B7B"/>
    <w:rsid w:val="00356BD3"/>
    <w:rsid w:val="0035715B"/>
    <w:rsid w:val="0035738F"/>
    <w:rsid w:val="003576B3"/>
    <w:rsid w:val="00357700"/>
    <w:rsid w:val="003577C1"/>
    <w:rsid w:val="00357B4C"/>
    <w:rsid w:val="00357B9A"/>
    <w:rsid w:val="00357BA3"/>
    <w:rsid w:val="00357C2A"/>
    <w:rsid w:val="00360132"/>
    <w:rsid w:val="0036070E"/>
    <w:rsid w:val="0036085F"/>
    <w:rsid w:val="00360944"/>
    <w:rsid w:val="00360C9C"/>
    <w:rsid w:val="00360CB8"/>
    <w:rsid w:val="00360DC1"/>
    <w:rsid w:val="00360EE8"/>
    <w:rsid w:val="00360F2A"/>
    <w:rsid w:val="00361048"/>
    <w:rsid w:val="003610C0"/>
    <w:rsid w:val="00361249"/>
    <w:rsid w:val="00361518"/>
    <w:rsid w:val="00361739"/>
    <w:rsid w:val="00361A39"/>
    <w:rsid w:val="00361DD0"/>
    <w:rsid w:val="00361E90"/>
    <w:rsid w:val="00361FDB"/>
    <w:rsid w:val="0036230B"/>
    <w:rsid w:val="0036241C"/>
    <w:rsid w:val="0036243C"/>
    <w:rsid w:val="00362447"/>
    <w:rsid w:val="00362620"/>
    <w:rsid w:val="0036267F"/>
    <w:rsid w:val="003629D1"/>
    <w:rsid w:val="00362FC7"/>
    <w:rsid w:val="0036332E"/>
    <w:rsid w:val="00363443"/>
    <w:rsid w:val="0036359F"/>
    <w:rsid w:val="00363673"/>
    <w:rsid w:val="003638CD"/>
    <w:rsid w:val="00363A2B"/>
    <w:rsid w:val="00363AA6"/>
    <w:rsid w:val="00363CF0"/>
    <w:rsid w:val="00364133"/>
    <w:rsid w:val="003643AC"/>
    <w:rsid w:val="0036461F"/>
    <w:rsid w:val="00364761"/>
    <w:rsid w:val="003648F9"/>
    <w:rsid w:val="00364F82"/>
    <w:rsid w:val="003653BA"/>
    <w:rsid w:val="0036574D"/>
    <w:rsid w:val="00365785"/>
    <w:rsid w:val="003657E4"/>
    <w:rsid w:val="003659A8"/>
    <w:rsid w:val="00366384"/>
    <w:rsid w:val="0036645A"/>
    <w:rsid w:val="0036667E"/>
    <w:rsid w:val="00366759"/>
    <w:rsid w:val="00366A6F"/>
    <w:rsid w:val="00366C3E"/>
    <w:rsid w:val="00366CF7"/>
    <w:rsid w:val="00366E3C"/>
    <w:rsid w:val="003670C1"/>
    <w:rsid w:val="003670CB"/>
    <w:rsid w:val="00367840"/>
    <w:rsid w:val="00367B32"/>
    <w:rsid w:val="00367B7F"/>
    <w:rsid w:val="00367BD5"/>
    <w:rsid w:val="00367CD2"/>
    <w:rsid w:val="00367F60"/>
    <w:rsid w:val="003703D1"/>
    <w:rsid w:val="003706D4"/>
    <w:rsid w:val="00370AE6"/>
    <w:rsid w:val="00370C05"/>
    <w:rsid w:val="00370F25"/>
    <w:rsid w:val="00370F26"/>
    <w:rsid w:val="0037101F"/>
    <w:rsid w:val="0037102C"/>
    <w:rsid w:val="0037183B"/>
    <w:rsid w:val="00371939"/>
    <w:rsid w:val="00371A44"/>
    <w:rsid w:val="00371B7F"/>
    <w:rsid w:val="00371E52"/>
    <w:rsid w:val="00371E8A"/>
    <w:rsid w:val="00372097"/>
    <w:rsid w:val="00372484"/>
    <w:rsid w:val="0037260E"/>
    <w:rsid w:val="00372E08"/>
    <w:rsid w:val="00372E4F"/>
    <w:rsid w:val="003733EF"/>
    <w:rsid w:val="00373667"/>
    <w:rsid w:val="0037381A"/>
    <w:rsid w:val="00373C46"/>
    <w:rsid w:val="00373D9A"/>
    <w:rsid w:val="00373EB1"/>
    <w:rsid w:val="00373EB8"/>
    <w:rsid w:val="00374227"/>
    <w:rsid w:val="0037441B"/>
    <w:rsid w:val="00374576"/>
    <w:rsid w:val="0037459F"/>
    <w:rsid w:val="00374909"/>
    <w:rsid w:val="003749BF"/>
    <w:rsid w:val="00374A2A"/>
    <w:rsid w:val="00374A42"/>
    <w:rsid w:val="00374D15"/>
    <w:rsid w:val="0037570D"/>
    <w:rsid w:val="0037573B"/>
    <w:rsid w:val="00375A38"/>
    <w:rsid w:val="00375A53"/>
    <w:rsid w:val="00375C5F"/>
    <w:rsid w:val="00375EBB"/>
    <w:rsid w:val="0037619D"/>
    <w:rsid w:val="003761C1"/>
    <w:rsid w:val="00376326"/>
    <w:rsid w:val="00376461"/>
    <w:rsid w:val="003768C7"/>
    <w:rsid w:val="003768EA"/>
    <w:rsid w:val="00376D5E"/>
    <w:rsid w:val="00376DD0"/>
    <w:rsid w:val="003779E7"/>
    <w:rsid w:val="00377B19"/>
    <w:rsid w:val="00377B3D"/>
    <w:rsid w:val="00377C7C"/>
    <w:rsid w:val="00377DB9"/>
    <w:rsid w:val="00377E86"/>
    <w:rsid w:val="00377F00"/>
    <w:rsid w:val="00377FE1"/>
    <w:rsid w:val="0038007D"/>
    <w:rsid w:val="00380300"/>
    <w:rsid w:val="003805DA"/>
    <w:rsid w:val="00380739"/>
    <w:rsid w:val="00380A79"/>
    <w:rsid w:val="00380C7A"/>
    <w:rsid w:val="00380D57"/>
    <w:rsid w:val="00380D7C"/>
    <w:rsid w:val="00380E38"/>
    <w:rsid w:val="00380F98"/>
    <w:rsid w:val="00381072"/>
    <w:rsid w:val="003814E2"/>
    <w:rsid w:val="0038151C"/>
    <w:rsid w:val="00381749"/>
    <w:rsid w:val="00381924"/>
    <w:rsid w:val="00381D13"/>
    <w:rsid w:val="00381DE9"/>
    <w:rsid w:val="00381F0B"/>
    <w:rsid w:val="00382357"/>
    <w:rsid w:val="00382F60"/>
    <w:rsid w:val="00383274"/>
    <w:rsid w:val="003835D5"/>
    <w:rsid w:val="003839D2"/>
    <w:rsid w:val="00383A4E"/>
    <w:rsid w:val="00383AE9"/>
    <w:rsid w:val="00383DC8"/>
    <w:rsid w:val="00384683"/>
    <w:rsid w:val="00384997"/>
    <w:rsid w:val="00384ACC"/>
    <w:rsid w:val="00384B89"/>
    <w:rsid w:val="00384C4F"/>
    <w:rsid w:val="00384C6F"/>
    <w:rsid w:val="00384F1E"/>
    <w:rsid w:val="003850FA"/>
    <w:rsid w:val="00385202"/>
    <w:rsid w:val="00385267"/>
    <w:rsid w:val="00385269"/>
    <w:rsid w:val="00385273"/>
    <w:rsid w:val="0038540A"/>
    <w:rsid w:val="00385569"/>
    <w:rsid w:val="003856C3"/>
    <w:rsid w:val="00385704"/>
    <w:rsid w:val="0038593B"/>
    <w:rsid w:val="00385B14"/>
    <w:rsid w:val="00385E87"/>
    <w:rsid w:val="00385FED"/>
    <w:rsid w:val="00386114"/>
    <w:rsid w:val="003861BC"/>
    <w:rsid w:val="003863D5"/>
    <w:rsid w:val="00386468"/>
    <w:rsid w:val="003865AA"/>
    <w:rsid w:val="00386726"/>
    <w:rsid w:val="00386BDE"/>
    <w:rsid w:val="00386C15"/>
    <w:rsid w:val="00386F36"/>
    <w:rsid w:val="00387175"/>
    <w:rsid w:val="00387263"/>
    <w:rsid w:val="00387297"/>
    <w:rsid w:val="003872B2"/>
    <w:rsid w:val="00387385"/>
    <w:rsid w:val="003873BF"/>
    <w:rsid w:val="00387B51"/>
    <w:rsid w:val="00387F35"/>
    <w:rsid w:val="00390003"/>
    <w:rsid w:val="00390327"/>
    <w:rsid w:val="003906AC"/>
    <w:rsid w:val="003908C0"/>
    <w:rsid w:val="0039099D"/>
    <w:rsid w:val="003909E3"/>
    <w:rsid w:val="00390A97"/>
    <w:rsid w:val="00391475"/>
    <w:rsid w:val="00391718"/>
    <w:rsid w:val="00391959"/>
    <w:rsid w:val="00391B74"/>
    <w:rsid w:val="00391C4E"/>
    <w:rsid w:val="00391D53"/>
    <w:rsid w:val="00391D78"/>
    <w:rsid w:val="003923E9"/>
    <w:rsid w:val="00392508"/>
    <w:rsid w:val="003925C5"/>
    <w:rsid w:val="00392618"/>
    <w:rsid w:val="00392695"/>
    <w:rsid w:val="00392696"/>
    <w:rsid w:val="0039283F"/>
    <w:rsid w:val="0039285F"/>
    <w:rsid w:val="00392997"/>
    <w:rsid w:val="00392C76"/>
    <w:rsid w:val="00392E35"/>
    <w:rsid w:val="00393248"/>
    <w:rsid w:val="003934C0"/>
    <w:rsid w:val="00393764"/>
    <w:rsid w:val="00393B78"/>
    <w:rsid w:val="00393D05"/>
    <w:rsid w:val="00393F05"/>
    <w:rsid w:val="003943A1"/>
    <w:rsid w:val="003948ED"/>
    <w:rsid w:val="0039503D"/>
    <w:rsid w:val="00395172"/>
    <w:rsid w:val="00395298"/>
    <w:rsid w:val="00395450"/>
    <w:rsid w:val="0039558F"/>
    <w:rsid w:val="00395592"/>
    <w:rsid w:val="00395753"/>
    <w:rsid w:val="0039610B"/>
    <w:rsid w:val="00396484"/>
    <w:rsid w:val="00396B0D"/>
    <w:rsid w:val="00396BA6"/>
    <w:rsid w:val="00396BE7"/>
    <w:rsid w:val="00396C73"/>
    <w:rsid w:val="00396CD8"/>
    <w:rsid w:val="00396E85"/>
    <w:rsid w:val="00396FAB"/>
    <w:rsid w:val="00397051"/>
    <w:rsid w:val="003973BD"/>
    <w:rsid w:val="00397432"/>
    <w:rsid w:val="00397582"/>
    <w:rsid w:val="003979CD"/>
    <w:rsid w:val="00397A0C"/>
    <w:rsid w:val="00397A9D"/>
    <w:rsid w:val="00397E88"/>
    <w:rsid w:val="00397FE2"/>
    <w:rsid w:val="003A01E9"/>
    <w:rsid w:val="003A01F8"/>
    <w:rsid w:val="003A0EC0"/>
    <w:rsid w:val="003A1019"/>
    <w:rsid w:val="003A15F3"/>
    <w:rsid w:val="003A17D5"/>
    <w:rsid w:val="003A17F6"/>
    <w:rsid w:val="003A17F7"/>
    <w:rsid w:val="003A188A"/>
    <w:rsid w:val="003A18D3"/>
    <w:rsid w:val="003A1AC7"/>
    <w:rsid w:val="003A1B55"/>
    <w:rsid w:val="003A1D2A"/>
    <w:rsid w:val="003A1E58"/>
    <w:rsid w:val="003A209C"/>
    <w:rsid w:val="003A234D"/>
    <w:rsid w:val="003A25AB"/>
    <w:rsid w:val="003A2C17"/>
    <w:rsid w:val="003A2C5D"/>
    <w:rsid w:val="003A2D70"/>
    <w:rsid w:val="003A31EC"/>
    <w:rsid w:val="003A35CF"/>
    <w:rsid w:val="003A3609"/>
    <w:rsid w:val="003A3941"/>
    <w:rsid w:val="003A3B32"/>
    <w:rsid w:val="003A4116"/>
    <w:rsid w:val="003A425C"/>
    <w:rsid w:val="003A42BE"/>
    <w:rsid w:val="003A48A0"/>
    <w:rsid w:val="003A49C5"/>
    <w:rsid w:val="003A4DF8"/>
    <w:rsid w:val="003A5005"/>
    <w:rsid w:val="003A53EB"/>
    <w:rsid w:val="003A5BE3"/>
    <w:rsid w:val="003A5C0C"/>
    <w:rsid w:val="003A5D9E"/>
    <w:rsid w:val="003A5EB2"/>
    <w:rsid w:val="003A5F10"/>
    <w:rsid w:val="003A5F80"/>
    <w:rsid w:val="003A5FB2"/>
    <w:rsid w:val="003A617F"/>
    <w:rsid w:val="003A681F"/>
    <w:rsid w:val="003A6A18"/>
    <w:rsid w:val="003A6CAD"/>
    <w:rsid w:val="003A70D6"/>
    <w:rsid w:val="003A7140"/>
    <w:rsid w:val="003A71FE"/>
    <w:rsid w:val="003A7236"/>
    <w:rsid w:val="003A73D5"/>
    <w:rsid w:val="003A741C"/>
    <w:rsid w:val="003A7449"/>
    <w:rsid w:val="003A7451"/>
    <w:rsid w:val="003A774D"/>
    <w:rsid w:val="003A7818"/>
    <w:rsid w:val="003A7855"/>
    <w:rsid w:val="003A7B5F"/>
    <w:rsid w:val="003A7C30"/>
    <w:rsid w:val="003A7EE2"/>
    <w:rsid w:val="003B0177"/>
    <w:rsid w:val="003B05CA"/>
    <w:rsid w:val="003B06B6"/>
    <w:rsid w:val="003B0867"/>
    <w:rsid w:val="003B0E35"/>
    <w:rsid w:val="003B14B5"/>
    <w:rsid w:val="003B1C18"/>
    <w:rsid w:val="003B1C22"/>
    <w:rsid w:val="003B1C24"/>
    <w:rsid w:val="003B2427"/>
    <w:rsid w:val="003B24EB"/>
    <w:rsid w:val="003B2973"/>
    <w:rsid w:val="003B2B87"/>
    <w:rsid w:val="003B2BE9"/>
    <w:rsid w:val="003B2FB9"/>
    <w:rsid w:val="003B3122"/>
    <w:rsid w:val="003B3136"/>
    <w:rsid w:val="003B3919"/>
    <w:rsid w:val="003B3A8A"/>
    <w:rsid w:val="003B406A"/>
    <w:rsid w:val="003B410D"/>
    <w:rsid w:val="003B415A"/>
    <w:rsid w:val="003B4220"/>
    <w:rsid w:val="003B422C"/>
    <w:rsid w:val="003B44AF"/>
    <w:rsid w:val="003B4511"/>
    <w:rsid w:val="003B4976"/>
    <w:rsid w:val="003B499B"/>
    <w:rsid w:val="003B49E0"/>
    <w:rsid w:val="003B4CBD"/>
    <w:rsid w:val="003B4EA2"/>
    <w:rsid w:val="003B4EE4"/>
    <w:rsid w:val="003B4F84"/>
    <w:rsid w:val="003B51EF"/>
    <w:rsid w:val="003B53A3"/>
    <w:rsid w:val="003B5682"/>
    <w:rsid w:val="003B5734"/>
    <w:rsid w:val="003B576A"/>
    <w:rsid w:val="003B5EBC"/>
    <w:rsid w:val="003B5F1B"/>
    <w:rsid w:val="003B5F6F"/>
    <w:rsid w:val="003B5FF0"/>
    <w:rsid w:val="003B6340"/>
    <w:rsid w:val="003B64A8"/>
    <w:rsid w:val="003B6A60"/>
    <w:rsid w:val="003B6A80"/>
    <w:rsid w:val="003B6C57"/>
    <w:rsid w:val="003B6D30"/>
    <w:rsid w:val="003B6D4D"/>
    <w:rsid w:val="003B6D56"/>
    <w:rsid w:val="003B6DCA"/>
    <w:rsid w:val="003B7266"/>
    <w:rsid w:val="003B72FA"/>
    <w:rsid w:val="003B7564"/>
    <w:rsid w:val="003B76B1"/>
    <w:rsid w:val="003B76ED"/>
    <w:rsid w:val="003B7AA7"/>
    <w:rsid w:val="003B7CE8"/>
    <w:rsid w:val="003B7D4B"/>
    <w:rsid w:val="003C00F1"/>
    <w:rsid w:val="003C0306"/>
    <w:rsid w:val="003C06DB"/>
    <w:rsid w:val="003C0733"/>
    <w:rsid w:val="003C0A8D"/>
    <w:rsid w:val="003C0C6F"/>
    <w:rsid w:val="003C0D51"/>
    <w:rsid w:val="003C114C"/>
    <w:rsid w:val="003C11BA"/>
    <w:rsid w:val="003C1290"/>
    <w:rsid w:val="003C1608"/>
    <w:rsid w:val="003C1615"/>
    <w:rsid w:val="003C1835"/>
    <w:rsid w:val="003C1973"/>
    <w:rsid w:val="003C1B83"/>
    <w:rsid w:val="003C1F88"/>
    <w:rsid w:val="003C2092"/>
    <w:rsid w:val="003C24A8"/>
    <w:rsid w:val="003C24C0"/>
    <w:rsid w:val="003C2564"/>
    <w:rsid w:val="003C2660"/>
    <w:rsid w:val="003C28F3"/>
    <w:rsid w:val="003C2BDA"/>
    <w:rsid w:val="003C2CCF"/>
    <w:rsid w:val="003C2D11"/>
    <w:rsid w:val="003C2D23"/>
    <w:rsid w:val="003C360A"/>
    <w:rsid w:val="003C36BB"/>
    <w:rsid w:val="003C41AF"/>
    <w:rsid w:val="003C434A"/>
    <w:rsid w:val="003C45B4"/>
    <w:rsid w:val="003C465D"/>
    <w:rsid w:val="003C4663"/>
    <w:rsid w:val="003C4925"/>
    <w:rsid w:val="003C4B43"/>
    <w:rsid w:val="003C4E26"/>
    <w:rsid w:val="003C4E52"/>
    <w:rsid w:val="003C4FB9"/>
    <w:rsid w:val="003C5064"/>
    <w:rsid w:val="003C5401"/>
    <w:rsid w:val="003C5630"/>
    <w:rsid w:val="003C5720"/>
    <w:rsid w:val="003C572F"/>
    <w:rsid w:val="003C5898"/>
    <w:rsid w:val="003C5E41"/>
    <w:rsid w:val="003C635C"/>
    <w:rsid w:val="003C6673"/>
    <w:rsid w:val="003C6885"/>
    <w:rsid w:val="003C6A20"/>
    <w:rsid w:val="003C75AD"/>
    <w:rsid w:val="003C7A15"/>
    <w:rsid w:val="003C7C90"/>
    <w:rsid w:val="003C7CB6"/>
    <w:rsid w:val="003C7CFF"/>
    <w:rsid w:val="003C7E44"/>
    <w:rsid w:val="003D005A"/>
    <w:rsid w:val="003D03C2"/>
    <w:rsid w:val="003D0600"/>
    <w:rsid w:val="003D065E"/>
    <w:rsid w:val="003D085A"/>
    <w:rsid w:val="003D0893"/>
    <w:rsid w:val="003D096C"/>
    <w:rsid w:val="003D0B79"/>
    <w:rsid w:val="003D1213"/>
    <w:rsid w:val="003D132D"/>
    <w:rsid w:val="003D13E6"/>
    <w:rsid w:val="003D17A5"/>
    <w:rsid w:val="003D17EE"/>
    <w:rsid w:val="003D1C40"/>
    <w:rsid w:val="003D2079"/>
    <w:rsid w:val="003D21FB"/>
    <w:rsid w:val="003D2305"/>
    <w:rsid w:val="003D2323"/>
    <w:rsid w:val="003D23FD"/>
    <w:rsid w:val="003D2437"/>
    <w:rsid w:val="003D2443"/>
    <w:rsid w:val="003D27BE"/>
    <w:rsid w:val="003D282A"/>
    <w:rsid w:val="003D283E"/>
    <w:rsid w:val="003D2B46"/>
    <w:rsid w:val="003D2B94"/>
    <w:rsid w:val="003D3122"/>
    <w:rsid w:val="003D3479"/>
    <w:rsid w:val="003D35BF"/>
    <w:rsid w:val="003D3A85"/>
    <w:rsid w:val="003D3E62"/>
    <w:rsid w:val="003D3ED6"/>
    <w:rsid w:val="003D420D"/>
    <w:rsid w:val="003D428A"/>
    <w:rsid w:val="003D457A"/>
    <w:rsid w:val="003D4672"/>
    <w:rsid w:val="003D46B3"/>
    <w:rsid w:val="003D495D"/>
    <w:rsid w:val="003D496C"/>
    <w:rsid w:val="003D4AD9"/>
    <w:rsid w:val="003D4C83"/>
    <w:rsid w:val="003D5094"/>
    <w:rsid w:val="003D5193"/>
    <w:rsid w:val="003D5375"/>
    <w:rsid w:val="003D6902"/>
    <w:rsid w:val="003D69CB"/>
    <w:rsid w:val="003D6C6C"/>
    <w:rsid w:val="003D6EFC"/>
    <w:rsid w:val="003D6F3D"/>
    <w:rsid w:val="003D7165"/>
    <w:rsid w:val="003D71AF"/>
    <w:rsid w:val="003D73E2"/>
    <w:rsid w:val="003D74A0"/>
    <w:rsid w:val="003D7520"/>
    <w:rsid w:val="003D762F"/>
    <w:rsid w:val="003D77F1"/>
    <w:rsid w:val="003D7B4F"/>
    <w:rsid w:val="003D7D7F"/>
    <w:rsid w:val="003D7E43"/>
    <w:rsid w:val="003E060C"/>
    <w:rsid w:val="003E098E"/>
    <w:rsid w:val="003E0A11"/>
    <w:rsid w:val="003E0A15"/>
    <w:rsid w:val="003E0B82"/>
    <w:rsid w:val="003E0E39"/>
    <w:rsid w:val="003E10A5"/>
    <w:rsid w:val="003E140E"/>
    <w:rsid w:val="003E1550"/>
    <w:rsid w:val="003E1597"/>
    <w:rsid w:val="003E1827"/>
    <w:rsid w:val="003E1860"/>
    <w:rsid w:val="003E190F"/>
    <w:rsid w:val="003E1BD0"/>
    <w:rsid w:val="003E20F2"/>
    <w:rsid w:val="003E238D"/>
    <w:rsid w:val="003E24B4"/>
    <w:rsid w:val="003E261C"/>
    <w:rsid w:val="003E2C2D"/>
    <w:rsid w:val="003E2C7E"/>
    <w:rsid w:val="003E2FAE"/>
    <w:rsid w:val="003E325E"/>
    <w:rsid w:val="003E3565"/>
    <w:rsid w:val="003E35EB"/>
    <w:rsid w:val="003E39DD"/>
    <w:rsid w:val="003E39ED"/>
    <w:rsid w:val="003E42CC"/>
    <w:rsid w:val="003E4802"/>
    <w:rsid w:val="003E4CC6"/>
    <w:rsid w:val="003E4E63"/>
    <w:rsid w:val="003E5003"/>
    <w:rsid w:val="003E5322"/>
    <w:rsid w:val="003E552B"/>
    <w:rsid w:val="003E55C2"/>
    <w:rsid w:val="003E57EA"/>
    <w:rsid w:val="003E59FF"/>
    <w:rsid w:val="003E5EFD"/>
    <w:rsid w:val="003E6007"/>
    <w:rsid w:val="003E6051"/>
    <w:rsid w:val="003E60AE"/>
    <w:rsid w:val="003E6511"/>
    <w:rsid w:val="003E65D1"/>
    <w:rsid w:val="003E69C7"/>
    <w:rsid w:val="003E6A72"/>
    <w:rsid w:val="003E7117"/>
    <w:rsid w:val="003E7344"/>
    <w:rsid w:val="003E7394"/>
    <w:rsid w:val="003E78C1"/>
    <w:rsid w:val="003E79C5"/>
    <w:rsid w:val="003E7E5C"/>
    <w:rsid w:val="003F0032"/>
    <w:rsid w:val="003F019D"/>
    <w:rsid w:val="003F08AC"/>
    <w:rsid w:val="003F0A0E"/>
    <w:rsid w:val="003F0C07"/>
    <w:rsid w:val="003F0DEE"/>
    <w:rsid w:val="003F10B9"/>
    <w:rsid w:val="003F13FC"/>
    <w:rsid w:val="003F15D0"/>
    <w:rsid w:val="003F1AE1"/>
    <w:rsid w:val="003F1FA6"/>
    <w:rsid w:val="003F23BB"/>
    <w:rsid w:val="003F25A6"/>
    <w:rsid w:val="003F2643"/>
    <w:rsid w:val="003F27D7"/>
    <w:rsid w:val="003F2AFF"/>
    <w:rsid w:val="003F30AF"/>
    <w:rsid w:val="003F31B4"/>
    <w:rsid w:val="003F3440"/>
    <w:rsid w:val="003F35AC"/>
    <w:rsid w:val="003F3810"/>
    <w:rsid w:val="003F4098"/>
    <w:rsid w:val="003F4203"/>
    <w:rsid w:val="003F441E"/>
    <w:rsid w:val="003F462B"/>
    <w:rsid w:val="003F4714"/>
    <w:rsid w:val="003F49B3"/>
    <w:rsid w:val="003F4CD9"/>
    <w:rsid w:val="003F4EAF"/>
    <w:rsid w:val="003F5333"/>
    <w:rsid w:val="003F5443"/>
    <w:rsid w:val="003F5554"/>
    <w:rsid w:val="003F56C1"/>
    <w:rsid w:val="003F57A5"/>
    <w:rsid w:val="003F5888"/>
    <w:rsid w:val="003F59F7"/>
    <w:rsid w:val="003F5DDC"/>
    <w:rsid w:val="003F5E0A"/>
    <w:rsid w:val="003F5E80"/>
    <w:rsid w:val="003F60DE"/>
    <w:rsid w:val="003F61D3"/>
    <w:rsid w:val="003F62C7"/>
    <w:rsid w:val="003F64D8"/>
    <w:rsid w:val="003F674A"/>
    <w:rsid w:val="003F68E7"/>
    <w:rsid w:val="003F6A9B"/>
    <w:rsid w:val="003F6AF7"/>
    <w:rsid w:val="003F6B10"/>
    <w:rsid w:val="003F6D9B"/>
    <w:rsid w:val="003F6EF5"/>
    <w:rsid w:val="003F7174"/>
    <w:rsid w:val="003F775C"/>
    <w:rsid w:val="003F77C4"/>
    <w:rsid w:val="003F7CB1"/>
    <w:rsid w:val="0040001E"/>
    <w:rsid w:val="00400595"/>
    <w:rsid w:val="004008F5"/>
    <w:rsid w:val="004009BA"/>
    <w:rsid w:val="00400B21"/>
    <w:rsid w:val="00400D02"/>
    <w:rsid w:val="00400E06"/>
    <w:rsid w:val="0040176A"/>
    <w:rsid w:val="00401C3F"/>
    <w:rsid w:val="00401C76"/>
    <w:rsid w:val="00402228"/>
    <w:rsid w:val="00402401"/>
    <w:rsid w:val="004028EE"/>
    <w:rsid w:val="004029BC"/>
    <w:rsid w:val="00402A58"/>
    <w:rsid w:val="00402BB5"/>
    <w:rsid w:val="00402DDD"/>
    <w:rsid w:val="00402EAE"/>
    <w:rsid w:val="0040305C"/>
    <w:rsid w:val="004031EE"/>
    <w:rsid w:val="00403204"/>
    <w:rsid w:val="00403301"/>
    <w:rsid w:val="00403463"/>
    <w:rsid w:val="0040378E"/>
    <w:rsid w:val="00403C2D"/>
    <w:rsid w:val="00403CE9"/>
    <w:rsid w:val="00403D9F"/>
    <w:rsid w:val="004040A7"/>
    <w:rsid w:val="004042F7"/>
    <w:rsid w:val="00404415"/>
    <w:rsid w:val="004048A0"/>
    <w:rsid w:val="00404922"/>
    <w:rsid w:val="00404A5B"/>
    <w:rsid w:val="00404A9D"/>
    <w:rsid w:val="004050D2"/>
    <w:rsid w:val="004051F3"/>
    <w:rsid w:val="004052D0"/>
    <w:rsid w:val="00405BE0"/>
    <w:rsid w:val="00405D90"/>
    <w:rsid w:val="004060CD"/>
    <w:rsid w:val="00406363"/>
    <w:rsid w:val="0040641B"/>
    <w:rsid w:val="00406430"/>
    <w:rsid w:val="00406446"/>
    <w:rsid w:val="00406727"/>
    <w:rsid w:val="00406812"/>
    <w:rsid w:val="0040699D"/>
    <w:rsid w:val="00406C72"/>
    <w:rsid w:val="004071F0"/>
    <w:rsid w:val="00407CAD"/>
    <w:rsid w:val="00407CAE"/>
    <w:rsid w:val="00407CF7"/>
    <w:rsid w:val="00407DC1"/>
    <w:rsid w:val="00407E23"/>
    <w:rsid w:val="00407E9F"/>
    <w:rsid w:val="0041013C"/>
    <w:rsid w:val="00410770"/>
    <w:rsid w:val="00410889"/>
    <w:rsid w:val="004109C8"/>
    <w:rsid w:val="00410F40"/>
    <w:rsid w:val="00411337"/>
    <w:rsid w:val="004114D9"/>
    <w:rsid w:val="004116F0"/>
    <w:rsid w:val="00411CD5"/>
    <w:rsid w:val="00411D06"/>
    <w:rsid w:val="004121DE"/>
    <w:rsid w:val="004125AC"/>
    <w:rsid w:val="00412859"/>
    <w:rsid w:val="00412D36"/>
    <w:rsid w:val="00413182"/>
    <w:rsid w:val="00413592"/>
    <w:rsid w:val="004136C8"/>
    <w:rsid w:val="00413884"/>
    <w:rsid w:val="00413984"/>
    <w:rsid w:val="00413C84"/>
    <w:rsid w:val="00413CB5"/>
    <w:rsid w:val="00413E20"/>
    <w:rsid w:val="0041413D"/>
    <w:rsid w:val="00414172"/>
    <w:rsid w:val="00414354"/>
    <w:rsid w:val="00414499"/>
    <w:rsid w:val="004145CF"/>
    <w:rsid w:val="004147C0"/>
    <w:rsid w:val="004148C1"/>
    <w:rsid w:val="00414A0C"/>
    <w:rsid w:val="00414F4C"/>
    <w:rsid w:val="00415209"/>
    <w:rsid w:val="004153BF"/>
    <w:rsid w:val="00415684"/>
    <w:rsid w:val="00415696"/>
    <w:rsid w:val="00415823"/>
    <w:rsid w:val="004159F5"/>
    <w:rsid w:val="00415ED6"/>
    <w:rsid w:val="00415F39"/>
    <w:rsid w:val="00416634"/>
    <w:rsid w:val="00416674"/>
    <w:rsid w:val="00416741"/>
    <w:rsid w:val="00416BAF"/>
    <w:rsid w:val="00416C5F"/>
    <w:rsid w:val="00416D50"/>
    <w:rsid w:val="00416D8D"/>
    <w:rsid w:val="00417155"/>
    <w:rsid w:val="00417464"/>
    <w:rsid w:val="00417748"/>
    <w:rsid w:val="00417889"/>
    <w:rsid w:val="00417A4F"/>
    <w:rsid w:val="00417B7F"/>
    <w:rsid w:val="00417CAF"/>
    <w:rsid w:val="00417E30"/>
    <w:rsid w:val="00417E76"/>
    <w:rsid w:val="00420100"/>
    <w:rsid w:val="00420154"/>
    <w:rsid w:val="004201B5"/>
    <w:rsid w:val="00420271"/>
    <w:rsid w:val="0042038C"/>
    <w:rsid w:val="00420441"/>
    <w:rsid w:val="0042058D"/>
    <w:rsid w:val="004206E4"/>
    <w:rsid w:val="00420701"/>
    <w:rsid w:val="00420A11"/>
    <w:rsid w:val="00420BEE"/>
    <w:rsid w:val="00420CF1"/>
    <w:rsid w:val="00420DA4"/>
    <w:rsid w:val="00421030"/>
    <w:rsid w:val="004213F2"/>
    <w:rsid w:val="004214CB"/>
    <w:rsid w:val="0042182E"/>
    <w:rsid w:val="00421C13"/>
    <w:rsid w:val="00421CB3"/>
    <w:rsid w:val="00421FB1"/>
    <w:rsid w:val="0042224A"/>
    <w:rsid w:val="00422265"/>
    <w:rsid w:val="0042239C"/>
    <w:rsid w:val="004223CB"/>
    <w:rsid w:val="004224C9"/>
    <w:rsid w:val="00422684"/>
    <w:rsid w:val="004226AB"/>
    <w:rsid w:val="00422799"/>
    <w:rsid w:val="00422914"/>
    <w:rsid w:val="00422C1A"/>
    <w:rsid w:val="00422DE7"/>
    <w:rsid w:val="00422FB4"/>
    <w:rsid w:val="00423085"/>
    <w:rsid w:val="004232E6"/>
    <w:rsid w:val="004238B0"/>
    <w:rsid w:val="00423903"/>
    <w:rsid w:val="00423F66"/>
    <w:rsid w:val="00424009"/>
    <w:rsid w:val="00424344"/>
    <w:rsid w:val="0042452A"/>
    <w:rsid w:val="0042468D"/>
    <w:rsid w:val="0042486F"/>
    <w:rsid w:val="00424BD4"/>
    <w:rsid w:val="00425CC7"/>
    <w:rsid w:val="00425F2F"/>
    <w:rsid w:val="0042615C"/>
    <w:rsid w:val="00426339"/>
    <w:rsid w:val="00426563"/>
    <w:rsid w:val="0042677F"/>
    <w:rsid w:val="00426A1E"/>
    <w:rsid w:val="00426A9D"/>
    <w:rsid w:val="00426B9D"/>
    <w:rsid w:val="004270D2"/>
    <w:rsid w:val="004272B4"/>
    <w:rsid w:val="004273B1"/>
    <w:rsid w:val="00427439"/>
    <w:rsid w:val="004276B7"/>
    <w:rsid w:val="004277C5"/>
    <w:rsid w:val="00427B87"/>
    <w:rsid w:val="00430023"/>
    <w:rsid w:val="00430310"/>
    <w:rsid w:val="00430342"/>
    <w:rsid w:val="00430872"/>
    <w:rsid w:val="00430983"/>
    <w:rsid w:val="00430B86"/>
    <w:rsid w:val="00430F97"/>
    <w:rsid w:val="004310DD"/>
    <w:rsid w:val="0043140F"/>
    <w:rsid w:val="004317C1"/>
    <w:rsid w:val="00431943"/>
    <w:rsid w:val="00431B93"/>
    <w:rsid w:val="004326C0"/>
    <w:rsid w:val="00432900"/>
    <w:rsid w:val="004329F2"/>
    <w:rsid w:val="00432C48"/>
    <w:rsid w:val="00432CBC"/>
    <w:rsid w:val="00432D0B"/>
    <w:rsid w:val="00432EF0"/>
    <w:rsid w:val="004331C6"/>
    <w:rsid w:val="00433307"/>
    <w:rsid w:val="004335E0"/>
    <w:rsid w:val="004335FF"/>
    <w:rsid w:val="00433A01"/>
    <w:rsid w:val="00433C2D"/>
    <w:rsid w:val="00433CBE"/>
    <w:rsid w:val="00434174"/>
    <w:rsid w:val="00434256"/>
    <w:rsid w:val="00434284"/>
    <w:rsid w:val="00434432"/>
    <w:rsid w:val="00434BA5"/>
    <w:rsid w:val="00434C2D"/>
    <w:rsid w:val="00434F93"/>
    <w:rsid w:val="004355C5"/>
    <w:rsid w:val="004357C7"/>
    <w:rsid w:val="004358B5"/>
    <w:rsid w:val="00435C92"/>
    <w:rsid w:val="00436113"/>
    <w:rsid w:val="004361D9"/>
    <w:rsid w:val="0043642A"/>
    <w:rsid w:val="00436AFF"/>
    <w:rsid w:val="00436D5D"/>
    <w:rsid w:val="00436ECD"/>
    <w:rsid w:val="00436EE6"/>
    <w:rsid w:val="00437008"/>
    <w:rsid w:val="00437277"/>
    <w:rsid w:val="004373A7"/>
    <w:rsid w:val="00437466"/>
    <w:rsid w:val="00437508"/>
    <w:rsid w:val="004375BB"/>
    <w:rsid w:val="004376E8"/>
    <w:rsid w:val="00437C6A"/>
    <w:rsid w:val="00437D55"/>
    <w:rsid w:val="00437D94"/>
    <w:rsid w:val="0044030C"/>
    <w:rsid w:val="0044032C"/>
    <w:rsid w:val="00440604"/>
    <w:rsid w:val="004407F0"/>
    <w:rsid w:val="00440827"/>
    <w:rsid w:val="00440CD5"/>
    <w:rsid w:val="004412E2"/>
    <w:rsid w:val="00441AC0"/>
    <w:rsid w:val="00441B86"/>
    <w:rsid w:val="00441C0B"/>
    <w:rsid w:val="00441C36"/>
    <w:rsid w:val="00441C4A"/>
    <w:rsid w:val="00441CE8"/>
    <w:rsid w:val="0044202D"/>
    <w:rsid w:val="0044216D"/>
    <w:rsid w:val="0044226A"/>
    <w:rsid w:val="00442381"/>
    <w:rsid w:val="0044258B"/>
    <w:rsid w:val="004425B4"/>
    <w:rsid w:val="0044263E"/>
    <w:rsid w:val="0044279C"/>
    <w:rsid w:val="004428DF"/>
    <w:rsid w:val="00442940"/>
    <w:rsid w:val="00442DC2"/>
    <w:rsid w:val="00443010"/>
    <w:rsid w:val="00443463"/>
    <w:rsid w:val="004434E7"/>
    <w:rsid w:val="00443849"/>
    <w:rsid w:val="00443A73"/>
    <w:rsid w:val="00443BB4"/>
    <w:rsid w:val="00443D01"/>
    <w:rsid w:val="00443FAE"/>
    <w:rsid w:val="00444088"/>
    <w:rsid w:val="004442B3"/>
    <w:rsid w:val="00444374"/>
    <w:rsid w:val="0044493B"/>
    <w:rsid w:val="00444C37"/>
    <w:rsid w:val="00444CD4"/>
    <w:rsid w:val="00444EDD"/>
    <w:rsid w:val="00445146"/>
    <w:rsid w:val="00445182"/>
    <w:rsid w:val="004455E7"/>
    <w:rsid w:val="00445669"/>
    <w:rsid w:val="00445815"/>
    <w:rsid w:val="0044589A"/>
    <w:rsid w:val="004459AB"/>
    <w:rsid w:val="00445A2D"/>
    <w:rsid w:val="00445A55"/>
    <w:rsid w:val="00445CBA"/>
    <w:rsid w:val="00446409"/>
    <w:rsid w:val="00446526"/>
    <w:rsid w:val="00446593"/>
    <w:rsid w:val="00446AEB"/>
    <w:rsid w:val="00447191"/>
    <w:rsid w:val="004474AD"/>
    <w:rsid w:val="004478E3"/>
    <w:rsid w:val="004479D8"/>
    <w:rsid w:val="00447BC1"/>
    <w:rsid w:val="00447E4C"/>
    <w:rsid w:val="00447EE1"/>
    <w:rsid w:val="00450089"/>
    <w:rsid w:val="004500FF"/>
    <w:rsid w:val="004501C3"/>
    <w:rsid w:val="004503A8"/>
    <w:rsid w:val="0045047B"/>
    <w:rsid w:val="00450744"/>
    <w:rsid w:val="004507DF"/>
    <w:rsid w:val="004507E9"/>
    <w:rsid w:val="0045094E"/>
    <w:rsid w:val="00450B29"/>
    <w:rsid w:val="004512FC"/>
    <w:rsid w:val="0045183B"/>
    <w:rsid w:val="00451864"/>
    <w:rsid w:val="00451B09"/>
    <w:rsid w:val="00451EA8"/>
    <w:rsid w:val="00452077"/>
    <w:rsid w:val="004522AF"/>
    <w:rsid w:val="00452516"/>
    <w:rsid w:val="00452BB0"/>
    <w:rsid w:val="00452BD4"/>
    <w:rsid w:val="00452D59"/>
    <w:rsid w:val="00452DAA"/>
    <w:rsid w:val="00453014"/>
    <w:rsid w:val="00453035"/>
    <w:rsid w:val="004530C5"/>
    <w:rsid w:val="0045323C"/>
    <w:rsid w:val="0045332D"/>
    <w:rsid w:val="004533E0"/>
    <w:rsid w:val="00453C86"/>
    <w:rsid w:val="00453F16"/>
    <w:rsid w:val="004540AE"/>
    <w:rsid w:val="00454164"/>
    <w:rsid w:val="00454807"/>
    <w:rsid w:val="004548A4"/>
    <w:rsid w:val="00454EA6"/>
    <w:rsid w:val="00455171"/>
    <w:rsid w:val="00455391"/>
    <w:rsid w:val="004553F6"/>
    <w:rsid w:val="00455549"/>
    <w:rsid w:val="004556C3"/>
    <w:rsid w:val="004556D1"/>
    <w:rsid w:val="00455BEA"/>
    <w:rsid w:val="00455C83"/>
    <w:rsid w:val="00455EDD"/>
    <w:rsid w:val="00455F06"/>
    <w:rsid w:val="00455F11"/>
    <w:rsid w:val="0045607D"/>
    <w:rsid w:val="0045611F"/>
    <w:rsid w:val="00456275"/>
    <w:rsid w:val="004563F2"/>
    <w:rsid w:val="004567DF"/>
    <w:rsid w:val="00456B5F"/>
    <w:rsid w:val="00456DAB"/>
    <w:rsid w:val="0045703C"/>
    <w:rsid w:val="00457327"/>
    <w:rsid w:val="00460338"/>
    <w:rsid w:val="004603BF"/>
    <w:rsid w:val="004605F0"/>
    <w:rsid w:val="0046061E"/>
    <w:rsid w:val="0046069F"/>
    <w:rsid w:val="00460B6A"/>
    <w:rsid w:val="004612CB"/>
    <w:rsid w:val="004612EC"/>
    <w:rsid w:val="00461448"/>
    <w:rsid w:val="004615FC"/>
    <w:rsid w:val="0046179A"/>
    <w:rsid w:val="004617F2"/>
    <w:rsid w:val="00461835"/>
    <w:rsid w:val="00462142"/>
    <w:rsid w:val="0046220A"/>
    <w:rsid w:val="004624FA"/>
    <w:rsid w:val="00462844"/>
    <w:rsid w:val="00462BE2"/>
    <w:rsid w:val="00462C20"/>
    <w:rsid w:val="00462C9A"/>
    <w:rsid w:val="00462FE5"/>
    <w:rsid w:val="0046311A"/>
    <w:rsid w:val="0046360F"/>
    <w:rsid w:val="00463BBF"/>
    <w:rsid w:val="00463CA0"/>
    <w:rsid w:val="00463CB3"/>
    <w:rsid w:val="00463D96"/>
    <w:rsid w:val="00463E0E"/>
    <w:rsid w:val="0046408E"/>
    <w:rsid w:val="004640E8"/>
    <w:rsid w:val="0046437F"/>
    <w:rsid w:val="004648A4"/>
    <w:rsid w:val="00464DAE"/>
    <w:rsid w:val="00464DD9"/>
    <w:rsid w:val="004652D0"/>
    <w:rsid w:val="00465845"/>
    <w:rsid w:val="004659CC"/>
    <w:rsid w:val="00465A12"/>
    <w:rsid w:val="00465A59"/>
    <w:rsid w:val="00465AC9"/>
    <w:rsid w:val="00465DCA"/>
    <w:rsid w:val="00465E62"/>
    <w:rsid w:val="00466343"/>
    <w:rsid w:val="004663A0"/>
    <w:rsid w:val="0046655D"/>
    <w:rsid w:val="004665B2"/>
    <w:rsid w:val="004667DA"/>
    <w:rsid w:val="0046725A"/>
    <w:rsid w:val="0046756D"/>
    <w:rsid w:val="00467838"/>
    <w:rsid w:val="00467920"/>
    <w:rsid w:val="00467F5F"/>
    <w:rsid w:val="00470569"/>
    <w:rsid w:val="0047067A"/>
    <w:rsid w:val="00470890"/>
    <w:rsid w:val="00470A9B"/>
    <w:rsid w:val="00470DF6"/>
    <w:rsid w:val="00471380"/>
    <w:rsid w:val="00471498"/>
    <w:rsid w:val="00471757"/>
    <w:rsid w:val="004718BB"/>
    <w:rsid w:val="00471D09"/>
    <w:rsid w:val="00471DD8"/>
    <w:rsid w:val="00471EE7"/>
    <w:rsid w:val="00471F33"/>
    <w:rsid w:val="00472018"/>
    <w:rsid w:val="004725B6"/>
    <w:rsid w:val="0047287A"/>
    <w:rsid w:val="00472A6C"/>
    <w:rsid w:val="00472B37"/>
    <w:rsid w:val="004732A4"/>
    <w:rsid w:val="0047332A"/>
    <w:rsid w:val="004734E8"/>
    <w:rsid w:val="0047360C"/>
    <w:rsid w:val="00473C16"/>
    <w:rsid w:val="00473C1C"/>
    <w:rsid w:val="00473DE6"/>
    <w:rsid w:val="00474544"/>
    <w:rsid w:val="0047497C"/>
    <w:rsid w:val="00474C66"/>
    <w:rsid w:val="00474CBE"/>
    <w:rsid w:val="00474D84"/>
    <w:rsid w:val="00474DB5"/>
    <w:rsid w:val="00474DFF"/>
    <w:rsid w:val="00474F53"/>
    <w:rsid w:val="00474F73"/>
    <w:rsid w:val="004750BF"/>
    <w:rsid w:val="004756FF"/>
    <w:rsid w:val="0047588B"/>
    <w:rsid w:val="00475984"/>
    <w:rsid w:val="0047619B"/>
    <w:rsid w:val="00477229"/>
    <w:rsid w:val="00477385"/>
    <w:rsid w:val="00477402"/>
    <w:rsid w:val="00477404"/>
    <w:rsid w:val="0047743F"/>
    <w:rsid w:val="004775C8"/>
    <w:rsid w:val="004776B8"/>
    <w:rsid w:val="00477892"/>
    <w:rsid w:val="00477A22"/>
    <w:rsid w:val="00477AFA"/>
    <w:rsid w:val="00477E66"/>
    <w:rsid w:val="00477EC2"/>
    <w:rsid w:val="00480262"/>
    <w:rsid w:val="004802EF"/>
    <w:rsid w:val="00480586"/>
    <w:rsid w:val="004805B0"/>
    <w:rsid w:val="0048064B"/>
    <w:rsid w:val="00480751"/>
    <w:rsid w:val="00480763"/>
    <w:rsid w:val="0048088A"/>
    <w:rsid w:val="004808E3"/>
    <w:rsid w:val="00480DA7"/>
    <w:rsid w:val="00480E0D"/>
    <w:rsid w:val="00480F02"/>
    <w:rsid w:val="00480F73"/>
    <w:rsid w:val="00481189"/>
    <w:rsid w:val="004814AC"/>
    <w:rsid w:val="004814C4"/>
    <w:rsid w:val="0048171A"/>
    <w:rsid w:val="00481801"/>
    <w:rsid w:val="00481829"/>
    <w:rsid w:val="0048190F"/>
    <w:rsid w:val="00481BEC"/>
    <w:rsid w:val="00481D74"/>
    <w:rsid w:val="004821CA"/>
    <w:rsid w:val="004822FE"/>
    <w:rsid w:val="004823A1"/>
    <w:rsid w:val="004824DE"/>
    <w:rsid w:val="00482576"/>
    <w:rsid w:val="00482581"/>
    <w:rsid w:val="00482656"/>
    <w:rsid w:val="00482835"/>
    <w:rsid w:val="00482AEC"/>
    <w:rsid w:val="00482D2B"/>
    <w:rsid w:val="00483458"/>
    <w:rsid w:val="0048370A"/>
    <w:rsid w:val="004837E4"/>
    <w:rsid w:val="00483E7E"/>
    <w:rsid w:val="0048421B"/>
    <w:rsid w:val="00484955"/>
    <w:rsid w:val="00484ACB"/>
    <w:rsid w:val="00484DE0"/>
    <w:rsid w:val="00484EA0"/>
    <w:rsid w:val="00484FCF"/>
    <w:rsid w:val="00485192"/>
    <w:rsid w:val="00485243"/>
    <w:rsid w:val="004853E6"/>
    <w:rsid w:val="00485509"/>
    <w:rsid w:val="00485BA5"/>
    <w:rsid w:val="00485BAF"/>
    <w:rsid w:val="00485DA0"/>
    <w:rsid w:val="00485E0F"/>
    <w:rsid w:val="00485F75"/>
    <w:rsid w:val="0048641F"/>
    <w:rsid w:val="004869A1"/>
    <w:rsid w:val="00486D5F"/>
    <w:rsid w:val="00486D63"/>
    <w:rsid w:val="0048728F"/>
    <w:rsid w:val="004872FC"/>
    <w:rsid w:val="004877BC"/>
    <w:rsid w:val="004877FE"/>
    <w:rsid w:val="004878D2"/>
    <w:rsid w:val="004879A9"/>
    <w:rsid w:val="00490082"/>
    <w:rsid w:val="004902AF"/>
    <w:rsid w:val="0049043A"/>
    <w:rsid w:val="0049048A"/>
    <w:rsid w:val="0049078E"/>
    <w:rsid w:val="004908C1"/>
    <w:rsid w:val="00491154"/>
    <w:rsid w:val="004911AF"/>
    <w:rsid w:val="0049134F"/>
    <w:rsid w:val="0049176E"/>
    <w:rsid w:val="0049179F"/>
    <w:rsid w:val="00491955"/>
    <w:rsid w:val="004919DD"/>
    <w:rsid w:val="0049204E"/>
    <w:rsid w:val="00492239"/>
    <w:rsid w:val="004922EB"/>
    <w:rsid w:val="0049231B"/>
    <w:rsid w:val="004923E2"/>
    <w:rsid w:val="00492461"/>
    <w:rsid w:val="0049247F"/>
    <w:rsid w:val="0049256C"/>
    <w:rsid w:val="00492699"/>
    <w:rsid w:val="00492C65"/>
    <w:rsid w:val="00492CF2"/>
    <w:rsid w:val="00492D21"/>
    <w:rsid w:val="00493149"/>
    <w:rsid w:val="00493377"/>
    <w:rsid w:val="004934CA"/>
    <w:rsid w:val="0049365C"/>
    <w:rsid w:val="00493C10"/>
    <w:rsid w:val="00493DAE"/>
    <w:rsid w:val="00494390"/>
    <w:rsid w:val="004944E9"/>
    <w:rsid w:val="0049471E"/>
    <w:rsid w:val="00494AF5"/>
    <w:rsid w:val="00494BC3"/>
    <w:rsid w:val="00494BD2"/>
    <w:rsid w:val="00494E0E"/>
    <w:rsid w:val="00494F0D"/>
    <w:rsid w:val="00494FB3"/>
    <w:rsid w:val="0049505D"/>
    <w:rsid w:val="00495423"/>
    <w:rsid w:val="004954BD"/>
    <w:rsid w:val="00495FE6"/>
    <w:rsid w:val="004960C6"/>
    <w:rsid w:val="0049626E"/>
    <w:rsid w:val="0049653F"/>
    <w:rsid w:val="00496591"/>
    <w:rsid w:val="004965FA"/>
    <w:rsid w:val="00496696"/>
    <w:rsid w:val="00496897"/>
    <w:rsid w:val="00496A62"/>
    <w:rsid w:val="00496BFD"/>
    <w:rsid w:val="00496CF7"/>
    <w:rsid w:val="00496E25"/>
    <w:rsid w:val="0049773D"/>
    <w:rsid w:val="0049782C"/>
    <w:rsid w:val="00497986"/>
    <w:rsid w:val="00497BD7"/>
    <w:rsid w:val="004A0014"/>
    <w:rsid w:val="004A02EC"/>
    <w:rsid w:val="004A0458"/>
    <w:rsid w:val="004A08AA"/>
    <w:rsid w:val="004A0953"/>
    <w:rsid w:val="004A09DE"/>
    <w:rsid w:val="004A0FC8"/>
    <w:rsid w:val="004A0FCD"/>
    <w:rsid w:val="004A15B1"/>
    <w:rsid w:val="004A1BD0"/>
    <w:rsid w:val="004A20D3"/>
    <w:rsid w:val="004A24D0"/>
    <w:rsid w:val="004A26C8"/>
    <w:rsid w:val="004A29C5"/>
    <w:rsid w:val="004A2B47"/>
    <w:rsid w:val="004A2C1D"/>
    <w:rsid w:val="004A2C46"/>
    <w:rsid w:val="004A2E0B"/>
    <w:rsid w:val="004A3053"/>
    <w:rsid w:val="004A346D"/>
    <w:rsid w:val="004A347B"/>
    <w:rsid w:val="004A34AC"/>
    <w:rsid w:val="004A3522"/>
    <w:rsid w:val="004A357B"/>
    <w:rsid w:val="004A3629"/>
    <w:rsid w:val="004A38E5"/>
    <w:rsid w:val="004A3BF1"/>
    <w:rsid w:val="004A3D05"/>
    <w:rsid w:val="004A3DF2"/>
    <w:rsid w:val="004A3ECE"/>
    <w:rsid w:val="004A3F0F"/>
    <w:rsid w:val="004A4264"/>
    <w:rsid w:val="004A4313"/>
    <w:rsid w:val="004A491C"/>
    <w:rsid w:val="004A4A78"/>
    <w:rsid w:val="004A4B64"/>
    <w:rsid w:val="004A4B78"/>
    <w:rsid w:val="004A4E6E"/>
    <w:rsid w:val="004A4EB5"/>
    <w:rsid w:val="004A501E"/>
    <w:rsid w:val="004A51A0"/>
    <w:rsid w:val="004A5456"/>
    <w:rsid w:val="004A57D7"/>
    <w:rsid w:val="004A5D97"/>
    <w:rsid w:val="004A638E"/>
    <w:rsid w:val="004A64A4"/>
    <w:rsid w:val="004A6595"/>
    <w:rsid w:val="004A663B"/>
    <w:rsid w:val="004A666F"/>
    <w:rsid w:val="004A78E7"/>
    <w:rsid w:val="004A79C8"/>
    <w:rsid w:val="004A7C1F"/>
    <w:rsid w:val="004A7D5C"/>
    <w:rsid w:val="004A7E38"/>
    <w:rsid w:val="004B00A0"/>
    <w:rsid w:val="004B0255"/>
    <w:rsid w:val="004B040D"/>
    <w:rsid w:val="004B0454"/>
    <w:rsid w:val="004B054A"/>
    <w:rsid w:val="004B095A"/>
    <w:rsid w:val="004B0994"/>
    <w:rsid w:val="004B0B40"/>
    <w:rsid w:val="004B0E5C"/>
    <w:rsid w:val="004B0F72"/>
    <w:rsid w:val="004B111E"/>
    <w:rsid w:val="004B11D4"/>
    <w:rsid w:val="004B12D1"/>
    <w:rsid w:val="004B14AB"/>
    <w:rsid w:val="004B18DD"/>
    <w:rsid w:val="004B1941"/>
    <w:rsid w:val="004B1C26"/>
    <w:rsid w:val="004B1F5E"/>
    <w:rsid w:val="004B2146"/>
    <w:rsid w:val="004B2491"/>
    <w:rsid w:val="004B28CE"/>
    <w:rsid w:val="004B2B8D"/>
    <w:rsid w:val="004B30DE"/>
    <w:rsid w:val="004B341B"/>
    <w:rsid w:val="004B3461"/>
    <w:rsid w:val="004B34CF"/>
    <w:rsid w:val="004B3525"/>
    <w:rsid w:val="004B3588"/>
    <w:rsid w:val="004B3B54"/>
    <w:rsid w:val="004B3D3C"/>
    <w:rsid w:val="004B40BB"/>
    <w:rsid w:val="004B41F1"/>
    <w:rsid w:val="004B4A4B"/>
    <w:rsid w:val="004B4A71"/>
    <w:rsid w:val="004B4CAF"/>
    <w:rsid w:val="004B4CC6"/>
    <w:rsid w:val="004B5507"/>
    <w:rsid w:val="004B55C1"/>
    <w:rsid w:val="004B5630"/>
    <w:rsid w:val="004B5A45"/>
    <w:rsid w:val="004B5A65"/>
    <w:rsid w:val="004B5E6F"/>
    <w:rsid w:val="004B60E5"/>
    <w:rsid w:val="004B6240"/>
    <w:rsid w:val="004B636D"/>
    <w:rsid w:val="004B66CF"/>
    <w:rsid w:val="004B7269"/>
    <w:rsid w:val="004B74B2"/>
    <w:rsid w:val="004B763A"/>
    <w:rsid w:val="004B770B"/>
    <w:rsid w:val="004B7D12"/>
    <w:rsid w:val="004C02C3"/>
    <w:rsid w:val="004C031F"/>
    <w:rsid w:val="004C03C1"/>
    <w:rsid w:val="004C054B"/>
    <w:rsid w:val="004C0826"/>
    <w:rsid w:val="004C135D"/>
    <w:rsid w:val="004C1364"/>
    <w:rsid w:val="004C17AB"/>
    <w:rsid w:val="004C2001"/>
    <w:rsid w:val="004C20DD"/>
    <w:rsid w:val="004C2143"/>
    <w:rsid w:val="004C27BC"/>
    <w:rsid w:val="004C2CC7"/>
    <w:rsid w:val="004C2FA4"/>
    <w:rsid w:val="004C3031"/>
    <w:rsid w:val="004C31B0"/>
    <w:rsid w:val="004C361D"/>
    <w:rsid w:val="004C3695"/>
    <w:rsid w:val="004C38C0"/>
    <w:rsid w:val="004C3AC0"/>
    <w:rsid w:val="004C3AD2"/>
    <w:rsid w:val="004C3B65"/>
    <w:rsid w:val="004C3BE6"/>
    <w:rsid w:val="004C3E5C"/>
    <w:rsid w:val="004C43A8"/>
    <w:rsid w:val="004C43BD"/>
    <w:rsid w:val="004C4427"/>
    <w:rsid w:val="004C4465"/>
    <w:rsid w:val="004C44AA"/>
    <w:rsid w:val="004C45FC"/>
    <w:rsid w:val="004C4618"/>
    <w:rsid w:val="004C474D"/>
    <w:rsid w:val="004C483F"/>
    <w:rsid w:val="004C4891"/>
    <w:rsid w:val="004C48E3"/>
    <w:rsid w:val="004C490C"/>
    <w:rsid w:val="004C4BB9"/>
    <w:rsid w:val="004C4BEB"/>
    <w:rsid w:val="004C4DF2"/>
    <w:rsid w:val="004C4FEC"/>
    <w:rsid w:val="004C514A"/>
    <w:rsid w:val="004C54F2"/>
    <w:rsid w:val="004C5695"/>
    <w:rsid w:val="004C59E1"/>
    <w:rsid w:val="004C5D21"/>
    <w:rsid w:val="004C615A"/>
    <w:rsid w:val="004C61F5"/>
    <w:rsid w:val="004C63C9"/>
    <w:rsid w:val="004C6A6C"/>
    <w:rsid w:val="004C6B3A"/>
    <w:rsid w:val="004C6C76"/>
    <w:rsid w:val="004C716A"/>
    <w:rsid w:val="004C719F"/>
    <w:rsid w:val="004C754A"/>
    <w:rsid w:val="004C7759"/>
    <w:rsid w:val="004C79B3"/>
    <w:rsid w:val="004C7ABC"/>
    <w:rsid w:val="004C7CFF"/>
    <w:rsid w:val="004D01F8"/>
    <w:rsid w:val="004D036F"/>
    <w:rsid w:val="004D03FA"/>
    <w:rsid w:val="004D0666"/>
    <w:rsid w:val="004D130E"/>
    <w:rsid w:val="004D15B9"/>
    <w:rsid w:val="004D1D03"/>
    <w:rsid w:val="004D2515"/>
    <w:rsid w:val="004D27CA"/>
    <w:rsid w:val="004D28FD"/>
    <w:rsid w:val="004D293A"/>
    <w:rsid w:val="004D2948"/>
    <w:rsid w:val="004D299E"/>
    <w:rsid w:val="004D2C65"/>
    <w:rsid w:val="004D2C89"/>
    <w:rsid w:val="004D2CDF"/>
    <w:rsid w:val="004D2D8B"/>
    <w:rsid w:val="004D2ECE"/>
    <w:rsid w:val="004D2F7F"/>
    <w:rsid w:val="004D3153"/>
    <w:rsid w:val="004D3295"/>
    <w:rsid w:val="004D35B9"/>
    <w:rsid w:val="004D3714"/>
    <w:rsid w:val="004D37BC"/>
    <w:rsid w:val="004D423A"/>
    <w:rsid w:val="004D42DD"/>
    <w:rsid w:val="004D46E4"/>
    <w:rsid w:val="004D4909"/>
    <w:rsid w:val="004D4ADF"/>
    <w:rsid w:val="004D4FE7"/>
    <w:rsid w:val="004D50BC"/>
    <w:rsid w:val="004D515B"/>
    <w:rsid w:val="004D539B"/>
    <w:rsid w:val="004D575F"/>
    <w:rsid w:val="004D599F"/>
    <w:rsid w:val="004D5AA8"/>
    <w:rsid w:val="004D5B95"/>
    <w:rsid w:val="004D5CEE"/>
    <w:rsid w:val="004D5D89"/>
    <w:rsid w:val="004D5F5A"/>
    <w:rsid w:val="004D63C8"/>
    <w:rsid w:val="004D657A"/>
    <w:rsid w:val="004D6715"/>
    <w:rsid w:val="004D685F"/>
    <w:rsid w:val="004D6921"/>
    <w:rsid w:val="004D6BB1"/>
    <w:rsid w:val="004D6E5E"/>
    <w:rsid w:val="004D6EC7"/>
    <w:rsid w:val="004D6F35"/>
    <w:rsid w:val="004D71C3"/>
    <w:rsid w:val="004D7243"/>
    <w:rsid w:val="004D7293"/>
    <w:rsid w:val="004D73CE"/>
    <w:rsid w:val="004D78DE"/>
    <w:rsid w:val="004D794C"/>
    <w:rsid w:val="004D7B14"/>
    <w:rsid w:val="004D7B82"/>
    <w:rsid w:val="004D7F65"/>
    <w:rsid w:val="004E043E"/>
    <w:rsid w:val="004E05D7"/>
    <w:rsid w:val="004E05DD"/>
    <w:rsid w:val="004E08AF"/>
    <w:rsid w:val="004E09B9"/>
    <w:rsid w:val="004E09CE"/>
    <w:rsid w:val="004E0AC6"/>
    <w:rsid w:val="004E0E07"/>
    <w:rsid w:val="004E11C8"/>
    <w:rsid w:val="004E150A"/>
    <w:rsid w:val="004E19B2"/>
    <w:rsid w:val="004E1AC4"/>
    <w:rsid w:val="004E1AD5"/>
    <w:rsid w:val="004E1CCD"/>
    <w:rsid w:val="004E1DD8"/>
    <w:rsid w:val="004E273D"/>
    <w:rsid w:val="004E28CB"/>
    <w:rsid w:val="004E2A09"/>
    <w:rsid w:val="004E2BCC"/>
    <w:rsid w:val="004E2DE9"/>
    <w:rsid w:val="004E2F67"/>
    <w:rsid w:val="004E32C1"/>
    <w:rsid w:val="004E32F9"/>
    <w:rsid w:val="004E3334"/>
    <w:rsid w:val="004E34BA"/>
    <w:rsid w:val="004E34C9"/>
    <w:rsid w:val="004E34F8"/>
    <w:rsid w:val="004E35A7"/>
    <w:rsid w:val="004E3865"/>
    <w:rsid w:val="004E38D1"/>
    <w:rsid w:val="004E3932"/>
    <w:rsid w:val="004E3DBB"/>
    <w:rsid w:val="004E3E23"/>
    <w:rsid w:val="004E431B"/>
    <w:rsid w:val="004E4362"/>
    <w:rsid w:val="004E45DF"/>
    <w:rsid w:val="004E4753"/>
    <w:rsid w:val="004E4982"/>
    <w:rsid w:val="004E4BC3"/>
    <w:rsid w:val="004E5189"/>
    <w:rsid w:val="004E5289"/>
    <w:rsid w:val="004E52FD"/>
    <w:rsid w:val="004E5396"/>
    <w:rsid w:val="004E57A7"/>
    <w:rsid w:val="004E5932"/>
    <w:rsid w:val="004E59CB"/>
    <w:rsid w:val="004E5BAF"/>
    <w:rsid w:val="004E5C29"/>
    <w:rsid w:val="004E5D9D"/>
    <w:rsid w:val="004E5E8E"/>
    <w:rsid w:val="004E5EEA"/>
    <w:rsid w:val="004E605C"/>
    <w:rsid w:val="004E60B1"/>
    <w:rsid w:val="004E60E0"/>
    <w:rsid w:val="004E6D10"/>
    <w:rsid w:val="004E6EAB"/>
    <w:rsid w:val="004E7012"/>
    <w:rsid w:val="004E747B"/>
    <w:rsid w:val="004E7645"/>
    <w:rsid w:val="004E7D39"/>
    <w:rsid w:val="004E7E3D"/>
    <w:rsid w:val="004F074B"/>
    <w:rsid w:val="004F08F8"/>
    <w:rsid w:val="004F0A19"/>
    <w:rsid w:val="004F0A8A"/>
    <w:rsid w:val="004F0D03"/>
    <w:rsid w:val="004F124A"/>
    <w:rsid w:val="004F1E79"/>
    <w:rsid w:val="004F1EF2"/>
    <w:rsid w:val="004F2280"/>
    <w:rsid w:val="004F2404"/>
    <w:rsid w:val="004F2598"/>
    <w:rsid w:val="004F26F2"/>
    <w:rsid w:val="004F2814"/>
    <w:rsid w:val="004F2CD4"/>
    <w:rsid w:val="004F3133"/>
    <w:rsid w:val="004F320E"/>
    <w:rsid w:val="004F3652"/>
    <w:rsid w:val="004F3654"/>
    <w:rsid w:val="004F36E7"/>
    <w:rsid w:val="004F391E"/>
    <w:rsid w:val="004F3A0B"/>
    <w:rsid w:val="004F4071"/>
    <w:rsid w:val="004F418D"/>
    <w:rsid w:val="004F437F"/>
    <w:rsid w:val="004F44C0"/>
    <w:rsid w:val="004F4735"/>
    <w:rsid w:val="004F4C5C"/>
    <w:rsid w:val="004F5574"/>
    <w:rsid w:val="004F5660"/>
    <w:rsid w:val="004F5747"/>
    <w:rsid w:val="004F5A42"/>
    <w:rsid w:val="004F5F33"/>
    <w:rsid w:val="004F6248"/>
    <w:rsid w:val="004F66A0"/>
    <w:rsid w:val="004F68A6"/>
    <w:rsid w:val="004F6B4E"/>
    <w:rsid w:val="004F6E8B"/>
    <w:rsid w:val="004F6E9D"/>
    <w:rsid w:val="004F6FBA"/>
    <w:rsid w:val="004F7063"/>
    <w:rsid w:val="004F7066"/>
    <w:rsid w:val="004F70DD"/>
    <w:rsid w:val="004F7157"/>
    <w:rsid w:val="004F7820"/>
    <w:rsid w:val="004F7C5D"/>
    <w:rsid w:val="004F7E66"/>
    <w:rsid w:val="005001E0"/>
    <w:rsid w:val="00500270"/>
    <w:rsid w:val="005004CF"/>
    <w:rsid w:val="00500569"/>
    <w:rsid w:val="00500750"/>
    <w:rsid w:val="00500B93"/>
    <w:rsid w:val="00500CC5"/>
    <w:rsid w:val="00500E6E"/>
    <w:rsid w:val="00500F07"/>
    <w:rsid w:val="0050103A"/>
    <w:rsid w:val="00501336"/>
    <w:rsid w:val="005014F9"/>
    <w:rsid w:val="00501505"/>
    <w:rsid w:val="005016E0"/>
    <w:rsid w:val="00501808"/>
    <w:rsid w:val="0050198F"/>
    <w:rsid w:val="00501DC1"/>
    <w:rsid w:val="00501E95"/>
    <w:rsid w:val="00501FB2"/>
    <w:rsid w:val="00501FBC"/>
    <w:rsid w:val="00502544"/>
    <w:rsid w:val="0050257F"/>
    <w:rsid w:val="005027CD"/>
    <w:rsid w:val="00502B67"/>
    <w:rsid w:val="005030F6"/>
    <w:rsid w:val="00503134"/>
    <w:rsid w:val="00503365"/>
    <w:rsid w:val="00503580"/>
    <w:rsid w:val="005037D7"/>
    <w:rsid w:val="00503881"/>
    <w:rsid w:val="0050397D"/>
    <w:rsid w:val="00503EFC"/>
    <w:rsid w:val="00503F88"/>
    <w:rsid w:val="005040AD"/>
    <w:rsid w:val="00504129"/>
    <w:rsid w:val="00504262"/>
    <w:rsid w:val="005043D6"/>
    <w:rsid w:val="005047E3"/>
    <w:rsid w:val="005048BB"/>
    <w:rsid w:val="00504C27"/>
    <w:rsid w:val="00504C50"/>
    <w:rsid w:val="005052B6"/>
    <w:rsid w:val="00505312"/>
    <w:rsid w:val="00505322"/>
    <w:rsid w:val="005056A2"/>
    <w:rsid w:val="00505A4B"/>
    <w:rsid w:val="00505DDB"/>
    <w:rsid w:val="00505F13"/>
    <w:rsid w:val="00506059"/>
    <w:rsid w:val="0050609B"/>
    <w:rsid w:val="0050609C"/>
    <w:rsid w:val="00506189"/>
    <w:rsid w:val="0050641C"/>
    <w:rsid w:val="0050658A"/>
    <w:rsid w:val="005065B6"/>
    <w:rsid w:val="00506BE2"/>
    <w:rsid w:val="00506E93"/>
    <w:rsid w:val="00506EB3"/>
    <w:rsid w:val="00507199"/>
    <w:rsid w:val="005075D8"/>
    <w:rsid w:val="0050779F"/>
    <w:rsid w:val="005077B6"/>
    <w:rsid w:val="005078EB"/>
    <w:rsid w:val="00507CEE"/>
    <w:rsid w:val="00507DFE"/>
    <w:rsid w:val="0051019F"/>
    <w:rsid w:val="00510265"/>
    <w:rsid w:val="005104AF"/>
    <w:rsid w:val="0051060F"/>
    <w:rsid w:val="00510A3E"/>
    <w:rsid w:val="00510ACC"/>
    <w:rsid w:val="00510EB9"/>
    <w:rsid w:val="00510F08"/>
    <w:rsid w:val="00510F92"/>
    <w:rsid w:val="005110ED"/>
    <w:rsid w:val="005113A8"/>
    <w:rsid w:val="00511436"/>
    <w:rsid w:val="0051153E"/>
    <w:rsid w:val="0051166E"/>
    <w:rsid w:val="00511863"/>
    <w:rsid w:val="00511A18"/>
    <w:rsid w:val="00511B0F"/>
    <w:rsid w:val="005120D9"/>
    <w:rsid w:val="00512626"/>
    <w:rsid w:val="00512633"/>
    <w:rsid w:val="00512AEE"/>
    <w:rsid w:val="00512B8E"/>
    <w:rsid w:val="00512BA6"/>
    <w:rsid w:val="00512C28"/>
    <w:rsid w:val="00512D6C"/>
    <w:rsid w:val="00512FCD"/>
    <w:rsid w:val="00513228"/>
    <w:rsid w:val="0051327F"/>
    <w:rsid w:val="00513759"/>
    <w:rsid w:val="00513A3D"/>
    <w:rsid w:val="00513A80"/>
    <w:rsid w:val="00513C4F"/>
    <w:rsid w:val="00513DAC"/>
    <w:rsid w:val="00513DAD"/>
    <w:rsid w:val="00514144"/>
    <w:rsid w:val="005141DD"/>
    <w:rsid w:val="00514339"/>
    <w:rsid w:val="00514676"/>
    <w:rsid w:val="0051480C"/>
    <w:rsid w:val="00514961"/>
    <w:rsid w:val="00514B36"/>
    <w:rsid w:val="00514CF9"/>
    <w:rsid w:val="00514FC1"/>
    <w:rsid w:val="00515153"/>
    <w:rsid w:val="005152AF"/>
    <w:rsid w:val="00515310"/>
    <w:rsid w:val="00515444"/>
    <w:rsid w:val="005154F0"/>
    <w:rsid w:val="005156E3"/>
    <w:rsid w:val="00515BB7"/>
    <w:rsid w:val="00516309"/>
    <w:rsid w:val="0051639C"/>
    <w:rsid w:val="00516509"/>
    <w:rsid w:val="005166B5"/>
    <w:rsid w:val="00516998"/>
    <w:rsid w:val="00516D54"/>
    <w:rsid w:val="005173D1"/>
    <w:rsid w:val="005178FC"/>
    <w:rsid w:val="00517964"/>
    <w:rsid w:val="005179BA"/>
    <w:rsid w:val="00517B21"/>
    <w:rsid w:val="00517BC8"/>
    <w:rsid w:val="00517BF7"/>
    <w:rsid w:val="00517DEA"/>
    <w:rsid w:val="00517E2A"/>
    <w:rsid w:val="005203D6"/>
    <w:rsid w:val="00520894"/>
    <w:rsid w:val="005209F1"/>
    <w:rsid w:val="00520C54"/>
    <w:rsid w:val="00520E38"/>
    <w:rsid w:val="00520E44"/>
    <w:rsid w:val="00521606"/>
    <w:rsid w:val="00521759"/>
    <w:rsid w:val="005218E4"/>
    <w:rsid w:val="00521D21"/>
    <w:rsid w:val="0052202D"/>
    <w:rsid w:val="005220F8"/>
    <w:rsid w:val="00522308"/>
    <w:rsid w:val="005225A4"/>
    <w:rsid w:val="0052266E"/>
    <w:rsid w:val="005226EE"/>
    <w:rsid w:val="0052287F"/>
    <w:rsid w:val="00522A1D"/>
    <w:rsid w:val="00522B8F"/>
    <w:rsid w:val="00522C7A"/>
    <w:rsid w:val="00522CD2"/>
    <w:rsid w:val="0052305F"/>
    <w:rsid w:val="005230F1"/>
    <w:rsid w:val="0052314D"/>
    <w:rsid w:val="005235B6"/>
    <w:rsid w:val="00523635"/>
    <w:rsid w:val="005236C2"/>
    <w:rsid w:val="00523709"/>
    <w:rsid w:val="00523881"/>
    <w:rsid w:val="00523A30"/>
    <w:rsid w:val="00523AE7"/>
    <w:rsid w:val="00523CB8"/>
    <w:rsid w:val="00523F1E"/>
    <w:rsid w:val="00523F27"/>
    <w:rsid w:val="00523F52"/>
    <w:rsid w:val="00524169"/>
    <w:rsid w:val="005241B8"/>
    <w:rsid w:val="005241BC"/>
    <w:rsid w:val="00524360"/>
    <w:rsid w:val="0052439C"/>
    <w:rsid w:val="00524405"/>
    <w:rsid w:val="00524413"/>
    <w:rsid w:val="005247BD"/>
    <w:rsid w:val="00524ADD"/>
    <w:rsid w:val="00524B33"/>
    <w:rsid w:val="00524D78"/>
    <w:rsid w:val="00524DD2"/>
    <w:rsid w:val="00524FD8"/>
    <w:rsid w:val="00525107"/>
    <w:rsid w:val="005251C2"/>
    <w:rsid w:val="005253BA"/>
    <w:rsid w:val="00525458"/>
    <w:rsid w:val="005255E6"/>
    <w:rsid w:val="00525BBB"/>
    <w:rsid w:val="0052664D"/>
    <w:rsid w:val="00526689"/>
    <w:rsid w:val="005266A2"/>
    <w:rsid w:val="00526924"/>
    <w:rsid w:val="00526E2B"/>
    <w:rsid w:val="00526F7C"/>
    <w:rsid w:val="0052726E"/>
    <w:rsid w:val="005275CE"/>
    <w:rsid w:val="00527658"/>
    <w:rsid w:val="00527675"/>
    <w:rsid w:val="00527BA6"/>
    <w:rsid w:val="00527D96"/>
    <w:rsid w:val="00527FD3"/>
    <w:rsid w:val="00530175"/>
    <w:rsid w:val="00530B12"/>
    <w:rsid w:val="00530B4C"/>
    <w:rsid w:val="00530B55"/>
    <w:rsid w:val="00530E00"/>
    <w:rsid w:val="005311A7"/>
    <w:rsid w:val="005313B8"/>
    <w:rsid w:val="0053172D"/>
    <w:rsid w:val="00531A87"/>
    <w:rsid w:val="00531A97"/>
    <w:rsid w:val="0053245E"/>
    <w:rsid w:val="005324BB"/>
    <w:rsid w:val="0053255C"/>
    <w:rsid w:val="00532658"/>
    <w:rsid w:val="00532833"/>
    <w:rsid w:val="0053288E"/>
    <w:rsid w:val="00532A68"/>
    <w:rsid w:val="00532AD4"/>
    <w:rsid w:val="00532B60"/>
    <w:rsid w:val="00532DCC"/>
    <w:rsid w:val="00532DF4"/>
    <w:rsid w:val="0053325E"/>
    <w:rsid w:val="00533683"/>
    <w:rsid w:val="0053382B"/>
    <w:rsid w:val="005338CC"/>
    <w:rsid w:val="00533AE5"/>
    <w:rsid w:val="00533EC4"/>
    <w:rsid w:val="00533F9A"/>
    <w:rsid w:val="0053403A"/>
    <w:rsid w:val="005342EC"/>
    <w:rsid w:val="005347B7"/>
    <w:rsid w:val="00534858"/>
    <w:rsid w:val="005354AD"/>
    <w:rsid w:val="0053555E"/>
    <w:rsid w:val="0053558B"/>
    <w:rsid w:val="005355CE"/>
    <w:rsid w:val="0053591C"/>
    <w:rsid w:val="00535B50"/>
    <w:rsid w:val="00535D1A"/>
    <w:rsid w:val="005360C9"/>
    <w:rsid w:val="0053619F"/>
    <w:rsid w:val="0053635F"/>
    <w:rsid w:val="005364DE"/>
    <w:rsid w:val="00536534"/>
    <w:rsid w:val="0053654E"/>
    <w:rsid w:val="0053681B"/>
    <w:rsid w:val="005369FC"/>
    <w:rsid w:val="00537068"/>
    <w:rsid w:val="0054013A"/>
    <w:rsid w:val="00540234"/>
    <w:rsid w:val="00540292"/>
    <w:rsid w:val="00540490"/>
    <w:rsid w:val="00540BAA"/>
    <w:rsid w:val="00540E05"/>
    <w:rsid w:val="00540E35"/>
    <w:rsid w:val="00540E4A"/>
    <w:rsid w:val="005418C5"/>
    <w:rsid w:val="00541902"/>
    <w:rsid w:val="0054194A"/>
    <w:rsid w:val="00541998"/>
    <w:rsid w:val="00541AF4"/>
    <w:rsid w:val="00541B9A"/>
    <w:rsid w:val="00541E48"/>
    <w:rsid w:val="00541F80"/>
    <w:rsid w:val="00542859"/>
    <w:rsid w:val="0054297C"/>
    <w:rsid w:val="005429EC"/>
    <w:rsid w:val="00542E7F"/>
    <w:rsid w:val="00542E96"/>
    <w:rsid w:val="00542EA8"/>
    <w:rsid w:val="005431D5"/>
    <w:rsid w:val="00543294"/>
    <w:rsid w:val="0054359B"/>
    <w:rsid w:val="005437EB"/>
    <w:rsid w:val="00543C3C"/>
    <w:rsid w:val="00543CB3"/>
    <w:rsid w:val="00543D3E"/>
    <w:rsid w:val="00544187"/>
    <w:rsid w:val="005446E1"/>
    <w:rsid w:val="0054474F"/>
    <w:rsid w:val="0054477F"/>
    <w:rsid w:val="00544E97"/>
    <w:rsid w:val="00545046"/>
    <w:rsid w:val="0054505D"/>
    <w:rsid w:val="00545288"/>
    <w:rsid w:val="00545A87"/>
    <w:rsid w:val="00545DC4"/>
    <w:rsid w:val="005465E3"/>
    <w:rsid w:val="0054667C"/>
    <w:rsid w:val="005469DF"/>
    <w:rsid w:val="00546A8C"/>
    <w:rsid w:val="0054707C"/>
    <w:rsid w:val="00547237"/>
    <w:rsid w:val="0054767F"/>
    <w:rsid w:val="00547753"/>
    <w:rsid w:val="005479AC"/>
    <w:rsid w:val="00547BC0"/>
    <w:rsid w:val="00547CF0"/>
    <w:rsid w:val="00550166"/>
    <w:rsid w:val="00550388"/>
    <w:rsid w:val="005506C5"/>
    <w:rsid w:val="00550740"/>
    <w:rsid w:val="0055079E"/>
    <w:rsid w:val="00550887"/>
    <w:rsid w:val="0055096D"/>
    <w:rsid w:val="00550E84"/>
    <w:rsid w:val="005510D2"/>
    <w:rsid w:val="00551160"/>
    <w:rsid w:val="0055139A"/>
    <w:rsid w:val="00551760"/>
    <w:rsid w:val="00551966"/>
    <w:rsid w:val="00551A77"/>
    <w:rsid w:val="00551B3F"/>
    <w:rsid w:val="00551B5A"/>
    <w:rsid w:val="00551C25"/>
    <w:rsid w:val="00551C9E"/>
    <w:rsid w:val="00551ECE"/>
    <w:rsid w:val="0055223C"/>
    <w:rsid w:val="0055241E"/>
    <w:rsid w:val="00552A9E"/>
    <w:rsid w:val="00552C46"/>
    <w:rsid w:val="005531C9"/>
    <w:rsid w:val="00553308"/>
    <w:rsid w:val="005535D2"/>
    <w:rsid w:val="005537A1"/>
    <w:rsid w:val="0055388E"/>
    <w:rsid w:val="0055389B"/>
    <w:rsid w:val="00553C35"/>
    <w:rsid w:val="00553C87"/>
    <w:rsid w:val="00553D06"/>
    <w:rsid w:val="00553DD0"/>
    <w:rsid w:val="00553FFE"/>
    <w:rsid w:val="005541E6"/>
    <w:rsid w:val="00554206"/>
    <w:rsid w:val="0055449D"/>
    <w:rsid w:val="005545A6"/>
    <w:rsid w:val="0055471A"/>
    <w:rsid w:val="0055477B"/>
    <w:rsid w:val="00554C01"/>
    <w:rsid w:val="0055521C"/>
    <w:rsid w:val="005557BB"/>
    <w:rsid w:val="00555A5A"/>
    <w:rsid w:val="00555C2C"/>
    <w:rsid w:val="00555DCE"/>
    <w:rsid w:val="00556365"/>
    <w:rsid w:val="0055643C"/>
    <w:rsid w:val="00556AD3"/>
    <w:rsid w:val="00556FCA"/>
    <w:rsid w:val="00557382"/>
    <w:rsid w:val="005575AC"/>
    <w:rsid w:val="0055780E"/>
    <w:rsid w:val="00557844"/>
    <w:rsid w:val="0055786E"/>
    <w:rsid w:val="005579EE"/>
    <w:rsid w:val="00557B62"/>
    <w:rsid w:val="00557DD3"/>
    <w:rsid w:val="00560240"/>
    <w:rsid w:val="00560277"/>
    <w:rsid w:val="00560A40"/>
    <w:rsid w:val="00560A57"/>
    <w:rsid w:val="00560B31"/>
    <w:rsid w:val="00560CC3"/>
    <w:rsid w:val="00560CE1"/>
    <w:rsid w:val="00560F1F"/>
    <w:rsid w:val="0056107A"/>
    <w:rsid w:val="00561110"/>
    <w:rsid w:val="005612AE"/>
    <w:rsid w:val="00561413"/>
    <w:rsid w:val="0056142D"/>
    <w:rsid w:val="005616DF"/>
    <w:rsid w:val="0056188F"/>
    <w:rsid w:val="00561F2B"/>
    <w:rsid w:val="00561FE2"/>
    <w:rsid w:val="005620C7"/>
    <w:rsid w:val="005625C6"/>
    <w:rsid w:val="0056287F"/>
    <w:rsid w:val="00562A31"/>
    <w:rsid w:val="00562C71"/>
    <w:rsid w:val="00562E52"/>
    <w:rsid w:val="00563178"/>
    <w:rsid w:val="0056319B"/>
    <w:rsid w:val="00563203"/>
    <w:rsid w:val="00563527"/>
    <w:rsid w:val="00563EF5"/>
    <w:rsid w:val="00563F5F"/>
    <w:rsid w:val="00564332"/>
    <w:rsid w:val="00564424"/>
    <w:rsid w:val="005645EA"/>
    <w:rsid w:val="0056488B"/>
    <w:rsid w:val="0056498A"/>
    <w:rsid w:val="00564E3A"/>
    <w:rsid w:val="00564ED9"/>
    <w:rsid w:val="005651AD"/>
    <w:rsid w:val="00566107"/>
    <w:rsid w:val="00566286"/>
    <w:rsid w:val="005663E6"/>
    <w:rsid w:val="00566586"/>
    <w:rsid w:val="005667F1"/>
    <w:rsid w:val="0056697D"/>
    <w:rsid w:val="005669E1"/>
    <w:rsid w:val="00566B7A"/>
    <w:rsid w:val="00566B88"/>
    <w:rsid w:val="00566BD8"/>
    <w:rsid w:val="00566CA5"/>
    <w:rsid w:val="0056718D"/>
    <w:rsid w:val="005671BD"/>
    <w:rsid w:val="005675D2"/>
    <w:rsid w:val="00567719"/>
    <w:rsid w:val="005677E0"/>
    <w:rsid w:val="005679A8"/>
    <w:rsid w:val="00567AD8"/>
    <w:rsid w:val="00567F23"/>
    <w:rsid w:val="0057015D"/>
    <w:rsid w:val="00570AD8"/>
    <w:rsid w:val="00570B35"/>
    <w:rsid w:val="00570B8E"/>
    <w:rsid w:val="00571084"/>
    <w:rsid w:val="0057154B"/>
    <w:rsid w:val="0057189B"/>
    <w:rsid w:val="0057197B"/>
    <w:rsid w:val="00571ABF"/>
    <w:rsid w:val="00571E45"/>
    <w:rsid w:val="0057246D"/>
    <w:rsid w:val="00572501"/>
    <w:rsid w:val="0057259B"/>
    <w:rsid w:val="00572B44"/>
    <w:rsid w:val="00572CEC"/>
    <w:rsid w:val="00572E3A"/>
    <w:rsid w:val="00572FB2"/>
    <w:rsid w:val="00573590"/>
    <w:rsid w:val="00573BBC"/>
    <w:rsid w:val="00573C9C"/>
    <w:rsid w:val="00573EC0"/>
    <w:rsid w:val="00574240"/>
    <w:rsid w:val="005743E9"/>
    <w:rsid w:val="00574664"/>
    <w:rsid w:val="00574845"/>
    <w:rsid w:val="00574ABD"/>
    <w:rsid w:val="00574ADB"/>
    <w:rsid w:val="00574C20"/>
    <w:rsid w:val="00574E1C"/>
    <w:rsid w:val="0057531A"/>
    <w:rsid w:val="005753B2"/>
    <w:rsid w:val="00575480"/>
    <w:rsid w:val="005754AE"/>
    <w:rsid w:val="00575566"/>
    <w:rsid w:val="00575576"/>
    <w:rsid w:val="0057579E"/>
    <w:rsid w:val="00575925"/>
    <w:rsid w:val="00575A49"/>
    <w:rsid w:val="00575EBC"/>
    <w:rsid w:val="005760A7"/>
    <w:rsid w:val="005760AD"/>
    <w:rsid w:val="005765F8"/>
    <w:rsid w:val="00576745"/>
    <w:rsid w:val="005769DA"/>
    <w:rsid w:val="005769DF"/>
    <w:rsid w:val="00576C40"/>
    <w:rsid w:val="00576F16"/>
    <w:rsid w:val="00576F96"/>
    <w:rsid w:val="00577026"/>
    <w:rsid w:val="00577622"/>
    <w:rsid w:val="00577FB5"/>
    <w:rsid w:val="00580221"/>
    <w:rsid w:val="005807B0"/>
    <w:rsid w:val="00580B74"/>
    <w:rsid w:val="00580D31"/>
    <w:rsid w:val="00580FA2"/>
    <w:rsid w:val="005811A6"/>
    <w:rsid w:val="005813F5"/>
    <w:rsid w:val="005816E8"/>
    <w:rsid w:val="00581747"/>
    <w:rsid w:val="00581AF3"/>
    <w:rsid w:val="00581B0D"/>
    <w:rsid w:val="00581C88"/>
    <w:rsid w:val="00581D4A"/>
    <w:rsid w:val="00581F6F"/>
    <w:rsid w:val="0058203B"/>
    <w:rsid w:val="0058262B"/>
    <w:rsid w:val="00582A6D"/>
    <w:rsid w:val="00582C71"/>
    <w:rsid w:val="00582E48"/>
    <w:rsid w:val="005830A1"/>
    <w:rsid w:val="0058337D"/>
    <w:rsid w:val="005833B5"/>
    <w:rsid w:val="0058346D"/>
    <w:rsid w:val="00583C8A"/>
    <w:rsid w:val="00583E57"/>
    <w:rsid w:val="0058402A"/>
    <w:rsid w:val="00584032"/>
    <w:rsid w:val="005840E8"/>
    <w:rsid w:val="005841CC"/>
    <w:rsid w:val="005842F3"/>
    <w:rsid w:val="0058449D"/>
    <w:rsid w:val="005844E6"/>
    <w:rsid w:val="0058464F"/>
    <w:rsid w:val="005848EE"/>
    <w:rsid w:val="005849A4"/>
    <w:rsid w:val="00584C8D"/>
    <w:rsid w:val="00584D33"/>
    <w:rsid w:val="005850EB"/>
    <w:rsid w:val="005852D1"/>
    <w:rsid w:val="005852EC"/>
    <w:rsid w:val="005853B6"/>
    <w:rsid w:val="00585432"/>
    <w:rsid w:val="00585568"/>
    <w:rsid w:val="0058593D"/>
    <w:rsid w:val="005860AE"/>
    <w:rsid w:val="005860F3"/>
    <w:rsid w:val="005861D2"/>
    <w:rsid w:val="0058682D"/>
    <w:rsid w:val="00586891"/>
    <w:rsid w:val="005869E7"/>
    <w:rsid w:val="00586A3E"/>
    <w:rsid w:val="00586B5C"/>
    <w:rsid w:val="00586B96"/>
    <w:rsid w:val="00586CE7"/>
    <w:rsid w:val="00586D0D"/>
    <w:rsid w:val="005871C7"/>
    <w:rsid w:val="00587271"/>
    <w:rsid w:val="00587359"/>
    <w:rsid w:val="00587413"/>
    <w:rsid w:val="00587501"/>
    <w:rsid w:val="00587542"/>
    <w:rsid w:val="00587A22"/>
    <w:rsid w:val="00587CA8"/>
    <w:rsid w:val="00587ED0"/>
    <w:rsid w:val="00587FA9"/>
    <w:rsid w:val="005901E9"/>
    <w:rsid w:val="00590203"/>
    <w:rsid w:val="00590648"/>
    <w:rsid w:val="00590936"/>
    <w:rsid w:val="00590C6E"/>
    <w:rsid w:val="00590D73"/>
    <w:rsid w:val="00591025"/>
    <w:rsid w:val="00591046"/>
    <w:rsid w:val="0059142A"/>
    <w:rsid w:val="00591441"/>
    <w:rsid w:val="005914ED"/>
    <w:rsid w:val="00591BC2"/>
    <w:rsid w:val="00591F29"/>
    <w:rsid w:val="00591FF4"/>
    <w:rsid w:val="00592015"/>
    <w:rsid w:val="005920FC"/>
    <w:rsid w:val="0059217C"/>
    <w:rsid w:val="00592216"/>
    <w:rsid w:val="0059234F"/>
    <w:rsid w:val="00592362"/>
    <w:rsid w:val="005927DC"/>
    <w:rsid w:val="00592807"/>
    <w:rsid w:val="0059299D"/>
    <w:rsid w:val="005929A9"/>
    <w:rsid w:val="00592BF4"/>
    <w:rsid w:val="00592F90"/>
    <w:rsid w:val="0059349F"/>
    <w:rsid w:val="0059356C"/>
    <w:rsid w:val="0059392B"/>
    <w:rsid w:val="00593AF9"/>
    <w:rsid w:val="00593E90"/>
    <w:rsid w:val="005940D0"/>
    <w:rsid w:val="00594113"/>
    <w:rsid w:val="00594240"/>
    <w:rsid w:val="00594332"/>
    <w:rsid w:val="0059444E"/>
    <w:rsid w:val="005944A4"/>
    <w:rsid w:val="00594EA6"/>
    <w:rsid w:val="00594F50"/>
    <w:rsid w:val="005950B5"/>
    <w:rsid w:val="005952B5"/>
    <w:rsid w:val="0059537B"/>
    <w:rsid w:val="0059560C"/>
    <w:rsid w:val="00595998"/>
    <w:rsid w:val="00595B0E"/>
    <w:rsid w:val="00595C8C"/>
    <w:rsid w:val="0059611F"/>
    <w:rsid w:val="00596132"/>
    <w:rsid w:val="00596232"/>
    <w:rsid w:val="005964BC"/>
    <w:rsid w:val="00596B0D"/>
    <w:rsid w:val="00596DB2"/>
    <w:rsid w:val="00596E16"/>
    <w:rsid w:val="00596F5B"/>
    <w:rsid w:val="00597353"/>
    <w:rsid w:val="005975A3"/>
    <w:rsid w:val="00597747"/>
    <w:rsid w:val="00597BB3"/>
    <w:rsid w:val="00597BF8"/>
    <w:rsid w:val="00597C25"/>
    <w:rsid w:val="00597D37"/>
    <w:rsid w:val="00597DE5"/>
    <w:rsid w:val="00597E16"/>
    <w:rsid w:val="005A0370"/>
    <w:rsid w:val="005A046F"/>
    <w:rsid w:val="005A051F"/>
    <w:rsid w:val="005A088C"/>
    <w:rsid w:val="005A0B99"/>
    <w:rsid w:val="005A1325"/>
    <w:rsid w:val="005A1514"/>
    <w:rsid w:val="005A17BD"/>
    <w:rsid w:val="005A17EC"/>
    <w:rsid w:val="005A1CEE"/>
    <w:rsid w:val="005A1D60"/>
    <w:rsid w:val="005A1DE9"/>
    <w:rsid w:val="005A1EBF"/>
    <w:rsid w:val="005A2065"/>
    <w:rsid w:val="005A21CF"/>
    <w:rsid w:val="005A2568"/>
    <w:rsid w:val="005A26CF"/>
    <w:rsid w:val="005A2883"/>
    <w:rsid w:val="005A2C73"/>
    <w:rsid w:val="005A2F4F"/>
    <w:rsid w:val="005A3771"/>
    <w:rsid w:val="005A37FA"/>
    <w:rsid w:val="005A3C91"/>
    <w:rsid w:val="005A40A4"/>
    <w:rsid w:val="005A4285"/>
    <w:rsid w:val="005A434E"/>
    <w:rsid w:val="005A46F0"/>
    <w:rsid w:val="005A478D"/>
    <w:rsid w:val="005A4818"/>
    <w:rsid w:val="005A4841"/>
    <w:rsid w:val="005A49A4"/>
    <w:rsid w:val="005A4A08"/>
    <w:rsid w:val="005A4C18"/>
    <w:rsid w:val="005A4CDD"/>
    <w:rsid w:val="005A5005"/>
    <w:rsid w:val="005A5049"/>
    <w:rsid w:val="005A50B7"/>
    <w:rsid w:val="005A526F"/>
    <w:rsid w:val="005A5291"/>
    <w:rsid w:val="005A581A"/>
    <w:rsid w:val="005A581F"/>
    <w:rsid w:val="005A58BE"/>
    <w:rsid w:val="005A5921"/>
    <w:rsid w:val="005A598D"/>
    <w:rsid w:val="005A5CDC"/>
    <w:rsid w:val="005A5EF1"/>
    <w:rsid w:val="005A604E"/>
    <w:rsid w:val="005A62B3"/>
    <w:rsid w:val="005A6321"/>
    <w:rsid w:val="005A63EB"/>
    <w:rsid w:val="005A6542"/>
    <w:rsid w:val="005A6573"/>
    <w:rsid w:val="005A6717"/>
    <w:rsid w:val="005A68FE"/>
    <w:rsid w:val="005A6A20"/>
    <w:rsid w:val="005A6A39"/>
    <w:rsid w:val="005A6D1D"/>
    <w:rsid w:val="005A6E48"/>
    <w:rsid w:val="005A6EA4"/>
    <w:rsid w:val="005A7118"/>
    <w:rsid w:val="005A7456"/>
    <w:rsid w:val="005A75A6"/>
    <w:rsid w:val="005A75AE"/>
    <w:rsid w:val="005A7683"/>
    <w:rsid w:val="005A7CF4"/>
    <w:rsid w:val="005A7D7E"/>
    <w:rsid w:val="005B041D"/>
    <w:rsid w:val="005B0660"/>
    <w:rsid w:val="005B0FD9"/>
    <w:rsid w:val="005B0FE3"/>
    <w:rsid w:val="005B104F"/>
    <w:rsid w:val="005B120C"/>
    <w:rsid w:val="005B12F9"/>
    <w:rsid w:val="005B13A4"/>
    <w:rsid w:val="005B15AF"/>
    <w:rsid w:val="005B1756"/>
    <w:rsid w:val="005B1BCF"/>
    <w:rsid w:val="005B233C"/>
    <w:rsid w:val="005B2C1B"/>
    <w:rsid w:val="005B301D"/>
    <w:rsid w:val="005B33A2"/>
    <w:rsid w:val="005B3410"/>
    <w:rsid w:val="005B3453"/>
    <w:rsid w:val="005B3793"/>
    <w:rsid w:val="005B3FBF"/>
    <w:rsid w:val="005B40A3"/>
    <w:rsid w:val="005B41A9"/>
    <w:rsid w:val="005B425A"/>
    <w:rsid w:val="005B4346"/>
    <w:rsid w:val="005B444C"/>
    <w:rsid w:val="005B45BA"/>
    <w:rsid w:val="005B4768"/>
    <w:rsid w:val="005B4CD6"/>
    <w:rsid w:val="005B4F60"/>
    <w:rsid w:val="005B4F83"/>
    <w:rsid w:val="005B54A3"/>
    <w:rsid w:val="005B54AC"/>
    <w:rsid w:val="005B56A1"/>
    <w:rsid w:val="005B5793"/>
    <w:rsid w:val="005B57A8"/>
    <w:rsid w:val="005B57E4"/>
    <w:rsid w:val="005B5ABD"/>
    <w:rsid w:val="005B5B73"/>
    <w:rsid w:val="005B5EB4"/>
    <w:rsid w:val="005B5EF2"/>
    <w:rsid w:val="005B610D"/>
    <w:rsid w:val="005B6353"/>
    <w:rsid w:val="005B64BD"/>
    <w:rsid w:val="005B66F4"/>
    <w:rsid w:val="005B683D"/>
    <w:rsid w:val="005B68CE"/>
    <w:rsid w:val="005B6B00"/>
    <w:rsid w:val="005B6B78"/>
    <w:rsid w:val="005B6D61"/>
    <w:rsid w:val="005B6F2F"/>
    <w:rsid w:val="005B7101"/>
    <w:rsid w:val="005B735D"/>
    <w:rsid w:val="005B73A0"/>
    <w:rsid w:val="005B7520"/>
    <w:rsid w:val="005B75CF"/>
    <w:rsid w:val="005B76D3"/>
    <w:rsid w:val="005B7851"/>
    <w:rsid w:val="005B79D6"/>
    <w:rsid w:val="005B7A14"/>
    <w:rsid w:val="005B7B26"/>
    <w:rsid w:val="005C025F"/>
    <w:rsid w:val="005C0338"/>
    <w:rsid w:val="005C03EA"/>
    <w:rsid w:val="005C045C"/>
    <w:rsid w:val="005C04C5"/>
    <w:rsid w:val="005C05BF"/>
    <w:rsid w:val="005C08F2"/>
    <w:rsid w:val="005C09EB"/>
    <w:rsid w:val="005C0AF3"/>
    <w:rsid w:val="005C0BA1"/>
    <w:rsid w:val="005C0D07"/>
    <w:rsid w:val="005C0EB0"/>
    <w:rsid w:val="005C11D0"/>
    <w:rsid w:val="005C140A"/>
    <w:rsid w:val="005C1486"/>
    <w:rsid w:val="005C164C"/>
    <w:rsid w:val="005C1FAA"/>
    <w:rsid w:val="005C20FB"/>
    <w:rsid w:val="005C218F"/>
    <w:rsid w:val="005C22EE"/>
    <w:rsid w:val="005C25A4"/>
    <w:rsid w:val="005C268F"/>
    <w:rsid w:val="005C2750"/>
    <w:rsid w:val="005C2A00"/>
    <w:rsid w:val="005C2AB3"/>
    <w:rsid w:val="005C2E77"/>
    <w:rsid w:val="005C2EC2"/>
    <w:rsid w:val="005C3010"/>
    <w:rsid w:val="005C3164"/>
    <w:rsid w:val="005C31A3"/>
    <w:rsid w:val="005C32E1"/>
    <w:rsid w:val="005C3430"/>
    <w:rsid w:val="005C34D7"/>
    <w:rsid w:val="005C3682"/>
    <w:rsid w:val="005C37BF"/>
    <w:rsid w:val="005C3849"/>
    <w:rsid w:val="005C384A"/>
    <w:rsid w:val="005C3AA7"/>
    <w:rsid w:val="005C3AA8"/>
    <w:rsid w:val="005C3C4A"/>
    <w:rsid w:val="005C43FD"/>
    <w:rsid w:val="005C44DD"/>
    <w:rsid w:val="005C4506"/>
    <w:rsid w:val="005C4591"/>
    <w:rsid w:val="005C4619"/>
    <w:rsid w:val="005C46BA"/>
    <w:rsid w:val="005C4798"/>
    <w:rsid w:val="005C4803"/>
    <w:rsid w:val="005C4C17"/>
    <w:rsid w:val="005C5190"/>
    <w:rsid w:val="005C522B"/>
    <w:rsid w:val="005C537A"/>
    <w:rsid w:val="005C5462"/>
    <w:rsid w:val="005C5673"/>
    <w:rsid w:val="005C5733"/>
    <w:rsid w:val="005C5759"/>
    <w:rsid w:val="005C5982"/>
    <w:rsid w:val="005C5D2B"/>
    <w:rsid w:val="005C654D"/>
    <w:rsid w:val="005C65E5"/>
    <w:rsid w:val="005C6763"/>
    <w:rsid w:val="005C68CC"/>
    <w:rsid w:val="005C6937"/>
    <w:rsid w:val="005C6C19"/>
    <w:rsid w:val="005C6EF3"/>
    <w:rsid w:val="005C6F2F"/>
    <w:rsid w:val="005C7764"/>
    <w:rsid w:val="005C785E"/>
    <w:rsid w:val="005C7937"/>
    <w:rsid w:val="005C7B35"/>
    <w:rsid w:val="005D0041"/>
    <w:rsid w:val="005D038F"/>
    <w:rsid w:val="005D0774"/>
    <w:rsid w:val="005D0E05"/>
    <w:rsid w:val="005D0FE2"/>
    <w:rsid w:val="005D119B"/>
    <w:rsid w:val="005D154B"/>
    <w:rsid w:val="005D16EE"/>
    <w:rsid w:val="005D1771"/>
    <w:rsid w:val="005D1D64"/>
    <w:rsid w:val="005D1FA9"/>
    <w:rsid w:val="005D22DC"/>
    <w:rsid w:val="005D2708"/>
    <w:rsid w:val="005D2797"/>
    <w:rsid w:val="005D2B49"/>
    <w:rsid w:val="005D2D09"/>
    <w:rsid w:val="005D2D0E"/>
    <w:rsid w:val="005D3164"/>
    <w:rsid w:val="005D3257"/>
    <w:rsid w:val="005D3621"/>
    <w:rsid w:val="005D3635"/>
    <w:rsid w:val="005D36FC"/>
    <w:rsid w:val="005D3A43"/>
    <w:rsid w:val="005D3BF7"/>
    <w:rsid w:val="005D3D67"/>
    <w:rsid w:val="005D3DCE"/>
    <w:rsid w:val="005D41A2"/>
    <w:rsid w:val="005D4320"/>
    <w:rsid w:val="005D45B5"/>
    <w:rsid w:val="005D45D4"/>
    <w:rsid w:val="005D46C2"/>
    <w:rsid w:val="005D4723"/>
    <w:rsid w:val="005D4752"/>
    <w:rsid w:val="005D4B73"/>
    <w:rsid w:val="005D4DCC"/>
    <w:rsid w:val="005D4FF1"/>
    <w:rsid w:val="005D50AE"/>
    <w:rsid w:val="005D52BC"/>
    <w:rsid w:val="005D5D3C"/>
    <w:rsid w:val="005D5EDB"/>
    <w:rsid w:val="005D60A6"/>
    <w:rsid w:val="005D645D"/>
    <w:rsid w:val="005D65C7"/>
    <w:rsid w:val="005D6601"/>
    <w:rsid w:val="005D6711"/>
    <w:rsid w:val="005D679E"/>
    <w:rsid w:val="005D6B4E"/>
    <w:rsid w:val="005D6C98"/>
    <w:rsid w:val="005D6D6A"/>
    <w:rsid w:val="005D71FE"/>
    <w:rsid w:val="005D732E"/>
    <w:rsid w:val="005D7392"/>
    <w:rsid w:val="005D7587"/>
    <w:rsid w:val="005D7613"/>
    <w:rsid w:val="005D778A"/>
    <w:rsid w:val="005D7A33"/>
    <w:rsid w:val="005D7B3A"/>
    <w:rsid w:val="005D7D87"/>
    <w:rsid w:val="005D7DA6"/>
    <w:rsid w:val="005D7EDE"/>
    <w:rsid w:val="005D7F70"/>
    <w:rsid w:val="005E0344"/>
    <w:rsid w:val="005E0472"/>
    <w:rsid w:val="005E0947"/>
    <w:rsid w:val="005E0DE4"/>
    <w:rsid w:val="005E0F45"/>
    <w:rsid w:val="005E10A1"/>
    <w:rsid w:val="005E10F8"/>
    <w:rsid w:val="005E1342"/>
    <w:rsid w:val="005E1347"/>
    <w:rsid w:val="005E172F"/>
    <w:rsid w:val="005E1735"/>
    <w:rsid w:val="005E1851"/>
    <w:rsid w:val="005E1876"/>
    <w:rsid w:val="005E1A41"/>
    <w:rsid w:val="005E1A6D"/>
    <w:rsid w:val="005E1DBA"/>
    <w:rsid w:val="005E1EAC"/>
    <w:rsid w:val="005E2118"/>
    <w:rsid w:val="005E2F94"/>
    <w:rsid w:val="005E2FB1"/>
    <w:rsid w:val="005E3033"/>
    <w:rsid w:val="005E334B"/>
    <w:rsid w:val="005E3447"/>
    <w:rsid w:val="005E3983"/>
    <w:rsid w:val="005E3AF4"/>
    <w:rsid w:val="005E3C4D"/>
    <w:rsid w:val="005E3C71"/>
    <w:rsid w:val="005E3D3D"/>
    <w:rsid w:val="005E3D4D"/>
    <w:rsid w:val="005E3DFF"/>
    <w:rsid w:val="005E3E6A"/>
    <w:rsid w:val="005E418C"/>
    <w:rsid w:val="005E4297"/>
    <w:rsid w:val="005E429F"/>
    <w:rsid w:val="005E440B"/>
    <w:rsid w:val="005E46E0"/>
    <w:rsid w:val="005E4A3A"/>
    <w:rsid w:val="005E4A9E"/>
    <w:rsid w:val="005E4D20"/>
    <w:rsid w:val="005E4FE5"/>
    <w:rsid w:val="005E5093"/>
    <w:rsid w:val="005E55F6"/>
    <w:rsid w:val="005E58FB"/>
    <w:rsid w:val="005E59CC"/>
    <w:rsid w:val="005E5BB1"/>
    <w:rsid w:val="005E5E81"/>
    <w:rsid w:val="005E5ED6"/>
    <w:rsid w:val="005E5F5C"/>
    <w:rsid w:val="005E6076"/>
    <w:rsid w:val="005E63D4"/>
    <w:rsid w:val="005E6528"/>
    <w:rsid w:val="005E65B4"/>
    <w:rsid w:val="005E6855"/>
    <w:rsid w:val="005E68E1"/>
    <w:rsid w:val="005E6A4B"/>
    <w:rsid w:val="005E6CCE"/>
    <w:rsid w:val="005E6D02"/>
    <w:rsid w:val="005E6DBA"/>
    <w:rsid w:val="005E6E89"/>
    <w:rsid w:val="005E6F37"/>
    <w:rsid w:val="005E7207"/>
    <w:rsid w:val="005E797F"/>
    <w:rsid w:val="005E7A70"/>
    <w:rsid w:val="005E7E02"/>
    <w:rsid w:val="005E7E85"/>
    <w:rsid w:val="005E7EFD"/>
    <w:rsid w:val="005E7F58"/>
    <w:rsid w:val="005F0231"/>
    <w:rsid w:val="005F032D"/>
    <w:rsid w:val="005F0415"/>
    <w:rsid w:val="005F06EA"/>
    <w:rsid w:val="005F073E"/>
    <w:rsid w:val="005F0A82"/>
    <w:rsid w:val="005F0BF6"/>
    <w:rsid w:val="005F0D7E"/>
    <w:rsid w:val="005F1003"/>
    <w:rsid w:val="005F11D1"/>
    <w:rsid w:val="005F11E2"/>
    <w:rsid w:val="005F1284"/>
    <w:rsid w:val="005F1436"/>
    <w:rsid w:val="005F1A9F"/>
    <w:rsid w:val="005F1B1C"/>
    <w:rsid w:val="005F1BDB"/>
    <w:rsid w:val="005F1C35"/>
    <w:rsid w:val="005F1D03"/>
    <w:rsid w:val="005F2362"/>
    <w:rsid w:val="005F2494"/>
    <w:rsid w:val="005F254B"/>
    <w:rsid w:val="005F25FB"/>
    <w:rsid w:val="005F264D"/>
    <w:rsid w:val="005F266B"/>
    <w:rsid w:val="005F267F"/>
    <w:rsid w:val="005F26E3"/>
    <w:rsid w:val="005F26EF"/>
    <w:rsid w:val="005F276D"/>
    <w:rsid w:val="005F2970"/>
    <w:rsid w:val="005F2AD0"/>
    <w:rsid w:val="005F2AD1"/>
    <w:rsid w:val="005F2C85"/>
    <w:rsid w:val="005F2F9C"/>
    <w:rsid w:val="005F308F"/>
    <w:rsid w:val="005F30A7"/>
    <w:rsid w:val="005F33B0"/>
    <w:rsid w:val="005F37BB"/>
    <w:rsid w:val="005F37C9"/>
    <w:rsid w:val="005F38AC"/>
    <w:rsid w:val="005F3BD7"/>
    <w:rsid w:val="005F43E0"/>
    <w:rsid w:val="005F4668"/>
    <w:rsid w:val="005F483A"/>
    <w:rsid w:val="005F4871"/>
    <w:rsid w:val="005F494F"/>
    <w:rsid w:val="005F4A74"/>
    <w:rsid w:val="005F4BDD"/>
    <w:rsid w:val="005F4FCC"/>
    <w:rsid w:val="005F51ED"/>
    <w:rsid w:val="005F52DB"/>
    <w:rsid w:val="005F56C1"/>
    <w:rsid w:val="005F5970"/>
    <w:rsid w:val="005F5991"/>
    <w:rsid w:val="005F5B4A"/>
    <w:rsid w:val="005F5BD0"/>
    <w:rsid w:val="005F64D1"/>
    <w:rsid w:val="005F6805"/>
    <w:rsid w:val="005F681D"/>
    <w:rsid w:val="005F6A79"/>
    <w:rsid w:val="005F6CBF"/>
    <w:rsid w:val="005F6D32"/>
    <w:rsid w:val="005F6DEA"/>
    <w:rsid w:val="005F6F68"/>
    <w:rsid w:val="005F7053"/>
    <w:rsid w:val="005F7464"/>
    <w:rsid w:val="005F747B"/>
    <w:rsid w:val="005F768A"/>
    <w:rsid w:val="005F77A5"/>
    <w:rsid w:val="005F7AED"/>
    <w:rsid w:val="005F7CC1"/>
    <w:rsid w:val="005F7CCD"/>
    <w:rsid w:val="005F7D10"/>
    <w:rsid w:val="006002C9"/>
    <w:rsid w:val="00600462"/>
    <w:rsid w:val="00600529"/>
    <w:rsid w:val="00600D57"/>
    <w:rsid w:val="00601036"/>
    <w:rsid w:val="00601206"/>
    <w:rsid w:val="006015E9"/>
    <w:rsid w:val="006018F2"/>
    <w:rsid w:val="0060194E"/>
    <w:rsid w:val="00601C3D"/>
    <w:rsid w:val="006021DA"/>
    <w:rsid w:val="006023CB"/>
    <w:rsid w:val="006029B8"/>
    <w:rsid w:val="00602E28"/>
    <w:rsid w:val="0060347A"/>
    <w:rsid w:val="006034B1"/>
    <w:rsid w:val="0060384B"/>
    <w:rsid w:val="00603A46"/>
    <w:rsid w:val="00603D21"/>
    <w:rsid w:val="00603D36"/>
    <w:rsid w:val="006041FE"/>
    <w:rsid w:val="006044E9"/>
    <w:rsid w:val="0060468D"/>
    <w:rsid w:val="0060494D"/>
    <w:rsid w:val="00604C80"/>
    <w:rsid w:val="00604E22"/>
    <w:rsid w:val="006050F6"/>
    <w:rsid w:val="00605ADB"/>
    <w:rsid w:val="00605D16"/>
    <w:rsid w:val="00605DEF"/>
    <w:rsid w:val="00606231"/>
    <w:rsid w:val="00606311"/>
    <w:rsid w:val="00606392"/>
    <w:rsid w:val="006066CF"/>
    <w:rsid w:val="00606795"/>
    <w:rsid w:val="00606917"/>
    <w:rsid w:val="006069A7"/>
    <w:rsid w:val="00606E7F"/>
    <w:rsid w:val="00606F07"/>
    <w:rsid w:val="00607159"/>
    <w:rsid w:val="00607A7E"/>
    <w:rsid w:val="00607AFE"/>
    <w:rsid w:val="00607D1A"/>
    <w:rsid w:val="006103BB"/>
    <w:rsid w:val="0061054E"/>
    <w:rsid w:val="00610951"/>
    <w:rsid w:val="00610A31"/>
    <w:rsid w:val="00610B8B"/>
    <w:rsid w:val="00610EB1"/>
    <w:rsid w:val="0061124B"/>
    <w:rsid w:val="006112D8"/>
    <w:rsid w:val="00611337"/>
    <w:rsid w:val="006113A8"/>
    <w:rsid w:val="0061165B"/>
    <w:rsid w:val="006116F1"/>
    <w:rsid w:val="00611780"/>
    <w:rsid w:val="006117B5"/>
    <w:rsid w:val="00611C9F"/>
    <w:rsid w:val="00611DC3"/>
    <w:rsid w:val="00611E05"/>
    <w:rsid w:val="00612071"/>
    <w:rsid w:val="006120DB"/>
    <w:rsid w:val="00612318"/>
    <w:rsid w:val="006124BB"/>
    <w:rsid w:val="006126DC"/>
    <w:rsid w:val="006126F6"/>
    <w:rsid w:val="0061288E"/>
    <w:rsid w:val="00612ACA"/>
    <w:rsid w:val="00612CAC"/>
    <w:rsid w:val="00612D8F"/>
    <w:rsid w:val="00613137"/>
    <w:rsid w:val="006133CA"/>
    <w:rsid w:val="006134FB"/>
    <w:rsid w:val="00613677"/>
    <w:rsid w:val="00613984"/>
    <w:rsid w:val="00613B17"/>
    <w:rsid w:val="00613D4A"/>
    <w:rsid w:val="00613FE1"/>
    <w:rsid w:val="00614179"/>
    <w:rsid w:val="00614662"/>
    <w:rsid w:val="006149DD"/>
    <w:rsid w:val="006153E4"/>
    <w:rsid w:val="0061543F"/>
    <w:rsid w:val="006156B8"/>
    <w:rsid w:val="006156D4"/>
    <w:rsid w:val="006157E5"/>
    <w:rsid w:val="00615A8E"/>
    <w:rsid w:val="006162A9"/>
    <w:rsid w:val="006162F3"/>
    <w:rsid w:val="006163F6"/>
    <w:rsid w:val="006165D7"/>
    <w:rsid w:val="006169DA"/>
    <w:rsid w:val="00616AC0"/>
    <w:rsid w:val="00616C1F"/>
    <w:rsid w:val="00616C9C"/>
    <w:rsid w:val="00616D53"/>
    <w:rsid w:val="00616E28"/>
    <w:rsid w:val="00616FA1"/>
    <w:rsid w:val="006170D1"/>
    <w:rsid w:val="00617265"/>
    <w:rsid w:val="0061750E"/>
    <w:rsid w:val="00617AF9"/>
    <w:rsid w:val="00617E33"/>
    <w:rsid w:val="006208DC"/>
    <w:rsid w:val="006208EF"/>
    <w:rsid w:val="006209B5"/>
    <w:rsid w:val="00620ACD"/>
    <w:rsid w:val="00621031"/>
    <w:rsid w:val="006211AC"/>
    <w:rsid w:val="00621368"/>
    <w:rsid w:val="006216D3"/>
    <w:rsid w:val="006216EF"/>
    <w:rsid w:val="0062202C"/>
    <w:rsid w:val="006220E3"/>
    <w:rsid w:val="006222BD"/>
    <w:rsid w:val="006223F4"/>
    <w:rsid w:val="0062265F"/>
    <w:rsid w:val="006229FC"/>
    <w:rsid w:val="00622BD5"/>
    <w:rsid w:val="00622E56"/>
    <w:rsid w:val="006230AA"/>
    <w:rsid w:val="006230BA"/>
    <w:rsid w:val="00623121"/>
    <w:rsid w:val="006232B2"/>
    <w:rsid w:val="006232FF"/>
    <w:rsid w:val="00623B5A"/>
    <w:rsid w:val="00623C28"/>
    <w:rsid w:val="00623EE5"/>
    <w:rsid w:val="00623F76"/>
    <w:rsid w:val="0062427D"/>
    <w:rsid w:val="00624691"/>
    <w:rsid w:val="006247D3"/>
    <w:rsid w:val="0062497B"/>
    <w:rsid w:val="006249C0"/>
    <w:rsid w:val="00624A4B"/>
    <w:rsid w:val="00624B56"/>
    <w:rsid w:val="00625A46"/>
    <w:rsid w:val="00625A53"/>
    <w:rsid w:val="00625D89"/>
    <w:rsid w:val="00625F4E"/>
    <w:rsid w:val="00626374"/>
    <w:rsid w:val="0062643B"/>
    <w:rsid w:val="006266E0"/>
    <w:rsid w:val="006267F6"/>
    <w:rsid w:val="006269FD"/>
    <w:rsid w:val="00626EAF"/>
    <w:rsid w:val="006271B6"/>
    <w:rsid w:val="006274D6"/>
    <w:rsid w:val="00627555"/>
    <w:rsid w:val="00627604"/>
    <w:rsid w:val="00627898"/>
    <w:rsid w:val="00627A49"/>
    <w:rsid w:val="00627AD4"/>
    <w:rsid w:val="00627BE3"/>
    <w:rsid w:val="00627C82"/>
    <w:rsid w:val="00627D8B"/>
    <w:rsid w:val="006300BE"/>
    <w:rsid w:val="0063013E"/>
    <w:rsid w:val="00630340"/>
    <w:rsid w:val="006306BC"/>
    <w:rsid w:val="00630DB7"/>
    <w:rsid w:val="006310F3"/>
    <w:rsid w:val="006312A9"/>
    <w:rsid w:val="0063134A"/>
    <w:rsid w:val="00631795"/>
    <w:rsid w:val="00631A0B"/>
    <w:rsid w:val="00631BE0"/>
    <w:rsid w:val="00631E4A"/>
    <w:rsid w:val="00631F2B"/>
    <w:rsid w:val="00632076"/>
    <w:rsid w:val="006321CA"/>
    <w:rsid w:val="0063223C"/>
    <w:rsid w:val="006322A0"/>
    <w:rsid w:val="006322A2"/>
    <w:rsid w:val="00632481"/>
    <w:rsid w:val="006327CA"/>
    <w:rsid w:val="00632C9F"/>
    <w:rsid w:val="00632D28"/>
    <w:rsid w:val="00633262"/>
    <w:rsid w:val="00633431"/>
    <w:rsid w:val="0063347D"/>
    <w:rsid w:val="006334C6"/>
    <w:rsid w:val="006335F9"/>
    <w:rsid w:val="00633681"/>
    <w:rsid w:val="00633992"/>
    <w:rsid w:val="00633E0A"/>
    <w:rsid w:val="00633F60"/>
    <w:rsid w:val="006340B8"/>
    <w:rsid w:val="00634136"/>
    <w:rsid w:val="00634415"/>
    <w:rsid w:val="0063443E"/>
    <w:rsid w:val="0063464E"/>
    <w:rsid w:val="0063473D"/>
    <w:rsid w:val="00635308"/>
    <w:rsid w:val="0063572B"/>
    <w:rsid w:val="0063573C"/>
    <w:rsid w:val="00635B09"/>
    <w:rsid w:val="006361FD"/>
    <w:rsid w:val="006368AA"/>
    <w:rsid w:val="00636932"/>
    <w:rsid w:val="00636971"/>
    <w:rsid w:val="0063699C"/>
    <w:rsid w:val="00636A1B"/>
    <w:rsid w:val="00636A9E"/>
    <w:rsid w:val="00636BD5"/>
    <w:rsid w:val="00636D3F"/>
    <w:rsid w:val="00637069"/>
    <w:rsid w:val="0063737B"/>
    <w:rsid w:val="0063739F"/>
    <w:rsid w:val="006374CB"/>
    <w:rsid w:val="00637AB8"/>
    <w:rsid w:val="00637CB9"/>
    <w:rsid w:val="00637EA2"/>
    <w:rsid w:val="00637F9D"/>
    <w:rsid w:val="00640204"/>
    <w:rsid w:val="0064032A"/>
    <w:rsid w:val="006408EF"/>
    <w:rsid w:val="00640981"/>
    <w:rsid w:val="00640C5D"/>
    <w:rsid w:val="00640CB1"/>
    <w:rsid w:val="00640E85"/>
    <w:rsid w:val="00641314"/>
    <w:rsid w:val="00641454"/>
    <w:rsid w:val="006414DF"/>
    <w:rsid w:val="006416EB"/>
    <w:rsid w:val="006416F3"/>
    <w:rsid w:val="00641F7E"/>
    <w:rsid w:val="00642083"/>
    <w:rsid w:val="00642165"/>
    <w:rsid w:val="0064226F"/>
    <w:rsid w:val="006423A4"/>
    <w:rsid w:val="00642558"/>
    <w:rsid w:val="0064275C"/>
    <w:rsid w:val="00642791"/>
    <w:rsid w:val="006428DC"/>
    <w:rsid w:val="006429B5"/>
    <w:rsid w:val="00642A2B"/>
    <w:rsid w:val="00642D4D"/>
    <w:rsid w:val="00642EC5"/>
    <w:rsid w:val="006430C6"/>
    <w:rsid w:val="00643242"/>
    <w:rsid w:val="00643476"/>
    <w:rsid w:val="006435F7"/>
    <w:rsid w:val="00643A50"/>
    <w:rsid w:val="00643B90"/>
    <w:rsid w:val="00643FB3"/>
    <w:rsid w:val="006440B7"/>
    <w:rsid w:val="006440C4"/>
    <w:rsid w:val="00644144"/>
    <w:rsid w:val="0064421C"/>
    <w:rsid w:val="0064458A"/>
    <w:rsid w:val="0064485D"/>
    <w:rsid w:val="00644A68"/>
    <w:rsid w:val="00644D5D"/>
    <w:rsid w:val="00644EB0"/>
    <w:rsid w:val="00645031"/>
    <w:rsid w:val="0064562D"/>
    <w:rsid w:val="006459AB"/>
    <w:rsid w:val="00645DEA"/>
    <w:rsid w:val="00646105"/>
    <w:rsid w:val="0064622A"/>
    <w:rsid w:val="00646659"/>
    <w:rsid w:val="006466BA"/>
    <w:rsid w:val="0064679B"/>
    <w:rsid w:val="006467E3"/>
    <w:rsid w:val="0064683D"/>
    <w:rsid w:val="00646EDB"/>
    <w:rsid w:val="00646EF3"/>
    <w:rsid w:val="006470B0"/>
    <w:rsid w:val="0064714E"/>
    <w:rsid w:val="00647204"/>
    <w:rsid w:val="00647260"/>
    <w:rsid w:val="00647272"/>
    <w:rsid w:val="00647482"/>
    <w:rsid w:val="00647575"/>
    <w:rsid w:val="006476D3"/>
    <w:rsid w:val="00647D37"/>
    <w:rsid w:val="00650330"/>
    <w:rsid w:val="00650541"/>
    <w:rsid w:val="00650549"/>
    <w:rsid w:val="00650642"/>
    <w:rsid w:val="00650B0E"/>
    <w:rsid w:val="00650FBD"/>
    <w:rsid w:val="00651BEF"/>
    <w:rsid w:val="00651DE4"/>
    <w:rsid w:val="00652233"/>
    <w:rsid w:val="0065228D"/>
    <w:rsid w:val="006524CB"/>
    <w:rsid w:val="00652662"/>
    <w:rsid w:val="00652764"/>
    <w:rsid w:val="0065285C"/>
    <w:rsid w:val="00652E0C"/>
    <w:rsid w:val="00653298"/>
    <w:rsid w:val="00653427"/>
    <w:rsid w:val="0065357A"/>
    <w:rsid w:val="00653889"/>
    <w:rsid w:val="00653AC4"/>
    <w:rsid w:val="00653CE5"/>
    <w:rsid w:val="00653F6F"/>
    <w:rsid w:val="00654557"/>
    <w:rsid w:val="006545CE"/>
    <w:rsid w:val="006547AA"/>
    <w:rsid w:val="00654C99"/>
    <w:rsid w:val="00654E14"/>
    <w:rsid w:val="00654F39"/>
    <w:rsid w:val="00654F44"/>
    <w:rsid w:val="00655056"/>
    <w:rsid w:val="006550A7"/>
    <w:rsid w:val="006550FC"/>
    <w:rsid w:val="0065542D"/>
    <w:rsid w:val="00655472"/>
    <w:rsid w:val="00655670"/>
    <w:rsid w:val="00655A46"/>
    <w:rsid w:val="00655D29"/>
    <w:rsid w:val="00655D7A"/>
    <w:rsid w:val="00655EF7"/>
    <w:rsid w:val="00656237"/>
    <w:rsid w:val="0065689B"/>
    <w:rsid w:val="00656AA1"/>
    <w:rsid w:val="00656B79"/>
    <w:rsid w:val="00656C47"/>
    <w:rsid w:val="00656EE2"/>
    <w:rsid w:val="0065737E"/>
    <w:rsid w:val="0065795F"/>
    <w:rsid w:val="0065799F"/>
    <w:rsid w:val="00657AD2"/>
    <w:rsid w:val="00657C0C"/>
    <w:rsid w:val="00657EB6"/>
    <w:rsid w:val="0066006D"/>
    <w:rsid w:val="006601D9"/>
    <w:rsid w:val="006603FB"/>
    <w:rsid w:val="00660542"/>
    <w:rsid w:val="006605F9"/>
    <w:rsid w:val="00660629"/>
    <w:rsid w:val="00660714"/>
    <w:rsid w:val="00660DEF"/>
    <w:rsid w:val="00660F0C"/>
    <w:rsid w:val="00660FE4"/>
    <w:rsid w:val="006612CB"/>
    <w:rsid w:val="00661529"/>
    <w:rsid w:val="0066176E"/>
    <w:rsid w:val="00661843"/>
    <w:rsid w:val="00661EDD"/>
    <w:rsid w:val="00662024"/>
    <w:rsid w:val="006621D6"/>
    <w:rsid w:val="00662657"/>
    <w:rsid w:val="0066291A"/>
    <w:rsid w:val="00662A71"/>
    <w:rsid w:val="00662CF1"/>
    <w:rsid w:val="00662E8B"/>
    <w:rsid w:val="00662E93"/>
    <w:rsid w:val="00662F70"/>
    <w:rsid w:val="0066301C"/>
    <w:rsid w:val="0066305D"/>
    <w:rsid w:val="0066307C"/>
    <w:rsid w:val="006635DB"/>
    <w:rsid w:val="0066363C"/>
    <w:rsid w:val="00663A7C"/>
    <w:rsid w:val="00663D4E"/>
    <w:rsid w:val="006642E5"/>
    <w:rsid w:val="00664668"/>
    <w:rsid w:val="006646D4"/>
    <w:rsid w:val="006647A0"/>
    <w:rsid w:val="00664934"/>
    <w:rsid w:val="00664BC3"/>
    <w:rsid w:val="00664C29"/>
    <w:rsid w:val="00664D19"/>
    <w:rsid w:val="00664D5D"/>
    <w:rsid w:val="00664D7A"/>
    <w:rsid w:val="00664EA2"/>
    <w:rsid w:val="00664EF3"/>
    <w:rsid w:val="006650F3"/>
    <w:rsid w:val="006653FE"/>
    <w:rsid w:val="00665E4A"/>
    <w:rsid w:val="00666124"/>
    <w:rsid w:val="006663FE"/>
    <w:rsid w:val="006668DD"/>
    <w:rsid w:val="00666C30"/>
    <w:rsid w:val="00666E97"/>
    <w:rsid w:val="00666EC6"/>
    <w:rsid w:val="00666FD2"/>
    <w:rsid w:val="00667309"/>
    <w:rsid w:val="00667887"/>
    <w:rsid w:val="00667B97"/>
    <w:rsid w:val="00667DF2"/>
    <w:rsid w:val="00670096"/>
    <w:rsid w:val="0067024D"/>
    <w:rsid w:val="006706A2"/>
    <w:rsid w:val="006706BB"/>
    <w:rsid w:val="00670BE9"/>
    <w:rsid w:val="00670CA7"/>
    <w:rsid w:val="00670DED"/>
    <w:rsid w:val="00670DF1"/>
    <w:rsid w:val="00671345"/>
    <w:rsid w:val="00671399"/>
    <w:rsid w:val="0067160B"/>
    <w:rsid w:val="00671657"/>
    <w:rsid w:val="00671676"/>
    <w:rsid w:val="006718A3"/>
    <w:rsid w:val="00671A2E"/>
    <w:rsid w:val="00671BE1"/>
    <w:rsid w:val="00671C3A"/>
    <w:rsid w:val="00671CB3"/>
    <w:rsid w:val="00672235"/>
    <w:rsid w:val="006722C1"/>
    <w:rsid w:val="006725CE"/>
    <w:rsid w:val="006728DE"/>
    <w:rsid w:val="0067298D"/>
    <w:rsid w:val="006729B1"/>
    <w:rsid w:val="00672A75"/>
    <w:rsid w:val="00672A9B"/>
    <w:rsid w:val="006731D8"/>
    <w:rsid w:val="006731EF"/>
    <w:rsid w:val="006738C6"/>
    <w:rsid w:val="006738CE"/>
    <w:rsid w:val="00673E43"/>
    <w:rsid w:val="00673EC7"/>
    <w:rsid w:val="006742C6"/>
    <w:rsid w:val="006743BE"/>
    <w:rsid w:val="0067444A"/>
    <w:rsid w:val="006744D2"/>
    <w:rsid w:val="006747B2"/>
    <w:rsid w:val="00675155"/>
    <w:rsid w:val="006752BD"/>
    <w:rsid w:val="006753D4"/>
    <w:rsid w:val="00675884"/>
    <w:rsid w:val="00675BE0"/>
    <w:rsid w:val="00675F4B"/>
    <w:rsid w:val="00676449"/>
    <w:rsid w:val="006764C2"/>
    <w:rsid w:val="0067656B"/>
    <w:rsid w:val="00676AC6"/>
    <w:rsid w:val="00676C0A"/>
    <w:rsid w:val="00676D2C"/>
    <w:rsid w:val="00676F00"/>
    <w:rsid w:val="006770FF"/>
    <w:rsid w:val="0067721A"/>
    <w:rsid w:val="00677455"/>
    <w:rsid w:val="006778A2"/>
    <w:rsid w:val="00677B32"/>
    <w:rsid w:val="00677EB9"/>
    <w:rsid w:val="00677EE3"/>
    <w:rsid w:val="00677F94"/>
    <w:rsid w:val="00680339"/>
    <w:rsid w:val="00680903"/>
    <w:rsid w:val="006809C2"/>
    <w:rsid w:val="00680A31"/>
    <w:rsid w:val="00680FA5"/>
    <w:rsid w:val="006812AD"/>
    <w:rsid w:val="0068207D"/>
    <w:rsid w:val="00682276"/>
    <w:rsid w:val="006823D2"/>
    <w:rsid w:val="00682440"/>
    <w:rsid w:val="0068276F"/>
    <w:rsid w:val="0068277C"/>
    <w:rsid w:val="00682835"/>
    <w:rsid w:val="006828F3"/>
    <w:rsid w:val="00682AC0"/>
    <w:rsid w:val="00682DA2"/>
    <w:rsid w:val="00682E09"/>
    <w:rsid w:val="00682F50"/>
    <w:rsid w:val="006831F1"/>
    <w:rsid w:val="006832E1"/>
    <w:rsid w:val="0068356D"/>
    <w:rsid w:val="0068362B"/>
    <w:rsid w:val="0068384E"/>
    <w:rsid w:val="00683889"/>
    <w:rsid w:val="00683B6D"/>
    <w:rsid w:val="00683FCD"/>
    <w:rsid w:val="006842E5"/>
    <w:rsid w:val="00684356"/>
    <w:rsid w:val="006847C7"/>
    <w:rsid w:val="00684B7E"/>
    <w:rsid w:val="00684E6F"/>
    <w:rsid w:val="00685051"/>
    <w:rsid w:val="00685103"/>
    <w:rsid w:val="006857EE"/>
    <w:rsid w:val="006859B2"/>
    <w:rsid w:val="00685C4A"/>
    <w:rsid w:val="00685CA0"/>
    <w:rsid w:val="00685CAA"/>
    <w:rsid w:val="00685F8B"/>
    <w:rsid w:val="006860BB"/>
    <w:rsid w:val="00686450"/>
    <w:rsid w:val="00686459"/>
    <w:rsid w:val="006866B4"/>
    <w:rsid w:val="00686AC3"/>
    <w:rsid w:val="00686B0A"/>
    <w:rsid w:val="00686B5C"/>
    <w:rsid w:val="00686B9D"/>
    <w:rsid w:val="00686E25"/>
    <w:rsid w:val="00686EBC"/>
    <w:rsid w:val="00687108"/>
    <w:rsid w:val="00687548"/>
    <w:rsid w:val="00687567"/>
    <w:rsid w:val="006879B5"/>
    <w:rsid w:val="00687E74"/>
    <w:rsid w:val="0069001E"/>
    <w:rsid w:val="00690128"/>
    <w:rsid w:val="006901A5"/>
    <w:rsid w:val="00690489"/>
    <w:rsid w:val="0069054F"/>
    <w:rsid w:val="00690929"/>
    <w:rsid w:val="0069098D"/>
    <w:rsid w:val="00690B27"/>
    <w:rsid w:val="00690ED7"/>
    <w:rsid w:val="00690FE4"/>
    <w:rsid w:val="00691135"/>
    <w:rsid w:val="00691257"/>
    <w:rsid w:val="00691295"/>
    <w:rsid w:val="0069149D"/>
    <w:rsid w:val="00691519"/>
    <w:rsid w:val="00691A27"/>
    <w:rsid w:val="00691B7B"/>
    <w:rsid w:val="00691D95"/>
    <w:rsid w:val="00692079"/>
    <w:rsid w:val="0069256E"/>
    <w:rsid w:val="00692A7B"/>
    <w:rsid w:val="00692BF0"/>
    <w:rsid w:val="00692D02"/>
    <w:rsid w:val="00692EA7"/>
    <w:rsid w:val="00692FE4"/>
    <w:rsid w:val="006934C8"/>
    <w:rsid w:val="00693829"/>
    <w:rsid w:val="00693A93"/>
    <w:rsid w:val="00693CBA"/>
    <w:rsid w:val="00694415"/>
    <w:rsid w:val="006947AF"/>
    <w:rsid w:val="00694A3D"/>
    <w:rsid w:val="00694B1A"/>
    <w:rsid w:val="00694B3F"/>
    <w:rsid w:val="00694C70"/>
    <w:rsid w:val="00694D5E"/>
    <w:rsid w:val="00694DC8"/>
    <w:rsid w:val="006950AC"/>
    <w:rsid w:val="006950B0"/>
    <w:rsid w:val="0069523C"/>
    <w:rsid w:val="006952FD"/>
    <w:rsid w:val="0069557B"/>
    <w:rsid w:val="00695E36"/>
    <w:rsid w:val="00696210"/>
    <w:rsid w:val="00696603"/>
    <w:rsid w:val="00696612"/>
    <w:rsid w:val="0069663D"/>
    <w:rsid w:val="00696DD7"/>
    <w:rsid w:val="00696E27"/>
    <w:rsid w:val="00696EE0"/>
    <w:rsid w:val="00696F14"/>
    <w:rsid w:val="006972E7"/>
    <w:rsid w:val="0069738B"/>
    <w:rsid w:val="0069741B"/>
    <w:rsid w:val="00697577"/>
    <w:rsid w:val="00697586"/>
    <w:rsid w:val="00697980"/>
    <w:rsid w:val="00697A4C"/>
    <w:rsid w:val="00697D43"/>
    <w:rsid w:val="006A021B"/>
    <w:rsid w:val="006A0324"/>
    <w:rsid w:val="006A0366"/>
    <w:rsid w:val="006A039B"/>
    <w:rsid w:val="006A04D5"/>
    <w:rsid w:val="006A0D2C"/>
    <w:rsid w:val="006A0ECD"/>
    <w:rsid w:val="006A1054"/>
    <w:rsid w:val="006A11A0"/>
    <w:rsid w:val="006A1212"/>
    <w:rsid w:val="006A12CE"/>
    <w:rsid w:val="006A13F5"/>
    <w:rsid w:val="006A153A"/>
    <w:rsid w:val="006A19EF"/>
    <w:rsid w:val="006A1A0F"/>
    <w:rsid w:val="006A1B30"/>
    <w:rsid w:val="006A1E2E"/>
    <w:rsid w:val="006A1FD6"/>
    <w:rsid w:val="006A204A"/>
    <w:rsid w:val="006A2127"/>
    <w:rsid w:val="006A21DD"/>
    <w:rsid w:val="006A22F5"/>
    <w:rsid w:val="006A23A2"/>
    <w:rsid w:val="006A29BB"/>
    <w:rsid w:val="006A29C7"/>
    <w:rsid w:val="006A2C54"/>
    <w:rsid w:val="006A2DD0"/>
    <w:rsid w:val="006A317C"/>
    <w:rsid w:val="006A32E3"/>
    <w:rsid w:val="006A32EB"/>
    <w:rsid w:val="006A333A"/>
    <w:rsid w:val="006A39DA"/>
    <w:rsid w:val="006A3B92"/>
    <w:rsid w:val="006A3BFA"/>
    <w:rsid w:val="006A3D7C"/>
    <w:rsid w:val="006A408B"/>
    <w:rsid w:val="006A43D5"/>
    <w:rsid w:val="006A48CD"/>
    <w:rsid w:val="006A4E3C"/>
    <w:rsid w:val="006A5166"/>
    <w:rsid w:val="006A525B"/>
    <w:rsid w:val="006A52A5"/>
    <w:rsid w:val="006A5420"/>
    <w:rsid w:val="006A5561"/>
    <w:rsid w:val="006A58D5"/>
    <w:rsid w:val="006A59F0"/>
    <w:rsid w:val="006A6370"/>
    <w:rsid w:val="006A679D"/>
    <w:rsid w:val="006A68DE"/>
    <w:rsid w:val="006A6A3F"/>
    <w:rsid w:val="006A6EC2"/>
    <w:rsid w:val="006A6F61"/>
    <w:rsid w:val="006A768C"/>
    <w:rsid w:val="006A78E9"/>
    <w:rsid w:val="006A7980"/>
    <w:rsid w:val="006A7D68"/>
    <w:rsid w:val="006B01D6"/>
    <w:rsid w:val="006B04F8"/>
    <w:rsid w:val="006B0B38"/>
    <w:rsid w:val="006B10DA"/>
    <w:rsid w:val="006B1494"/>
    <w:rsid w:val="006B151E"/>
    <w:rsid w:val="006B1564"/>
    <w:rsid w:val="006B186A"/>
    <w:rsid w:val="006B18AF"/>
    <w:rsid w:val="006B1907"/>
    <w:rsid w:val="006B19B0"/>
    <w:rsid w:val="006B19BF"/>
    <w:rsid w:val="006B1D65"/>
    <w:rsid w:val="006B2517"/>
    <w:rsid w:val="006B251D"/>
    <w:rsid w:val="006B259A"/>
    <w:rsid w:val="006B2728"/>
    <w:rsid w:val="006B272D"/>
    <w:rsid w:val="006B28D2"/>
    <w:rsid w:val="006B2B67"/>
    <w:rsid w:val="006B2C88"/>
    <w:rsid w:val="006B2E50"/>
    <w:rsid w:val="006B2EBE"/>
    <w:rsid w:val="006B30CF"/>
    <w:rsid w:val="006B343B"/>
    <w:rsid w:val="006B39BF"/>
    <w:rsid w:val="006B4013"/>
    <w:rsid w:val="006B4045"/>
    <w:rsid w:val="006B43A4"/>
    <w:rsid w:val="006B44D0"/>
    <w:rsid w:val="006B4907"/>
    <w:rsid w:val="006B4973"/>
    <w:rsid w:val="006B4CD2"/>
    <w:rsid w:val="006B4D12"/>
    <w:rsid w:val="006B533A"/>
    <w:rsid w:val="006B5406"/>
    <w:rsid w:val="006B54A0"/>
    <w:rsid w:val="006B56FA"/>
    <w:rsid w:val="006B5778"/>
    <w:rsid w:val="006B5A27"/>
    <w:rsid w:val="006B5C77"/>
    <w:rsid w:val="006B5FBB"/>
    <w:rsid w:val="006B6063"/>
    <w:rsid w:val="006B6100"/>
    <w:rsid w:val="006B6257"/>
    <w:rsid w:val="006B6415"/>
    <w:rsid w:val="006B68B3"/>
    <w:rsid w:val="006B68D4"/>
    <w:rsid w:val="006B6C5C"/>
    <w:rsid w:val="006B6CE5"/>
    <w:rsid w:val="006B7108"/>
    <w:rsid w:val="006B7372"/>
    <w:rsid w:val="006B7B3C"/>
    <w:rsid w:val="006B7C56"/>
    <w:rsid w:val="006B7CE2"/>
    <w:rsid w:val="006B7E8D"/>
    <w:rsid w:val="006C038D"/>
    <w:rsid w:val="006C045F"/>
    <w:rsid w:val="006C0512"/>
    <w:rsid w:val="006C075E"/>
    <w:rsid w:val="006C0A21"/>
    <w:rsid w:val="006C0CA4"/>
    <w:rsid w:val="006C0F8E"/>
    <w:rsid w:val="006C162F"/>
    <w:rsid w:val="006C168C"/>
    <w:rsid w:val="006C1935"/>
    <w:rsid w:val="006C1B39"/>
    <w:rsid w:val="006C1C3C"/>
    <w:rsid w:val="006C1EBD"/>
    <w:rsid w:val="006C1F62"/>
    <w:rsid w:val="006C2235"/>
    <w:rsid w:val="006C287D"/>
    <w:rsid w:val="006C29D8"/>
    <w:rsid w:val="006C2CA3"/>
    <w:rsid w:val="006C2CB0"/>
    <w:rsid w:val="006C31B7"/>
    <w:rsid w:val="006C357D"/>
    <w:rsid w:val="006C378B"/>
    <w:rsid w:val="006C385F"/>
    <w:rsid w:val="006C38DD"/>
    <w:rsid w:val="006C3B0F"/>
    <w:rsid w:val="006C3DF4"/>
    <w:rsid w:val="006C3EA8"/>
    <w:rsid w:val="006C3F15"/>
    <w:rsid w:val="006C3F38"/>
    <w:rsid w:val="006C3FF0"/>
    <w:rsid w:val="006C4196"/>
    <w:rsid w:val="006C41DB"/>
    <w:rsid w:val="006C436C"/>
    <w:rsid w:val="006C4609"/>
    <w:rsid w:val="006C4928"/>
    <w:rsid w:val="006C49AB"/>
    <w:rsid w:val="006C4B09"/>
    <w:rsid w:val="006C4B25"/>
    <w:rsid w:val="006C4BCA"/>
    <w:rsid w:val="006C4C12"/>
    <w:rsid w:val="006C4D14"/>
    <w:rsid w:val="006C4D9E"/>
    <w:rsid w:val="006C508E"/>
    <w:rsid w:val="006C5130"/>
    <w:rsid w:val="006C5137"/>
    <w:rsid w:val="006C5289"/>
    <w:rsid w:val="006C55B5"/>
    <w:rsid w:val="006C55BB"/>
    <w:rsid w:val="006C577F"/>
    <w:rsid w:val="006C5856"/>
    <w:rsid w:val="006C58CF"/>
    <w:rsid w:val="006C598A"/>
    <w:rsid w:val="006C5A66"/>
    <w:rsid w:val="006C5B43"/>
    <w:rsid w:val="006C5BAC"/>
    <w:rsid w:val="006C5C44"/>
    <w:rsid w:val="006C5E5A"/>
    <w:rsid w:val="006C6165"/>
    <w:rsid w:val="006C63B0"/>
    <w:rsid w:val="006C65BA"/>
    <w:rsid w:val="006C66F4"/>
    <w:rsid w:val="006C69AC"/>
    <w:rsid w:val="006C6A3F"/>
    <w:rsid w:val="006C6DAD"/>
    <w:rsid w:val="006C6F09"/>
    <w:rsid w:val="006C74B6"/>
    <w:rsid w:val="006C76A2"/>
    <w:rsid w:val="006C7702"/>
    <w:rsid w:val="006C792E"/>
    <w:rsid w:val="006C7960"/>
    <w:rsid w:val="006C7CA5"/>
    <w:rsid w:val="006C7D1F"/>
    <w:rsid w:val="006C7E23"/>
    <w:rsid w:val="006C7E75"/>
    <w:rsid w:val="006D0312"/>
    <w:rsid w:val="006D037D"/>
    <w:rsid w:val="006D043F"/>
    <w:rsid w:val="006D0487"/>
    <w:rsid w:val="006D0675"/>
    <w:rsid w:val="006D072F"/>
    <w:rsid w:val="006D076F"/>
    <w:rsid w:val="006D0819"/>
    <w:rsid w:val="006D08E9"/>
    <w:rsid w:val="006D0965"/>
    <w:rsid w:val="006D0AC6"/>
    <w:rsid w:val="006D0B03"/>
    <w:rsid w:val="006D0BCB"/>
    <w:rsid w:val="006D116C"/>
    <w:rsid w:val="006D12E9"/>
    <w:rsid w:val="006D1972"/>
    <w:rsid w:val="006D1AF2"/>
    <w:rsid w:val="006D1E50"/>
    <w:rsid w:val="006D1F47"/>
    <w:rsid w:val="006D20E4"/>
    <w:rsid w:val="006D20FD"/>
    <w:rsid w:val="006D2408"/>
    <w:rsid w:val="006D2421"/>
    <w:rsid w:val="006D24A6"/>
    <w:rsid w:val="006D251A"/>
    <w:rsid w:val="006D2717"/>
    <w:rsid w:val="006D28DF"/>
    <w:rsid w:val="006D298F"/>
    <w:rsid w:val="006D2ABE"/>
    <w:rsid w:val="006D2C13"/>
    <w:rsid w:val="006D2DE9"/>
    <w:rsid w:val="006D2E49"/>
    <w:rsid w:val="006D2E7D"/>
    <w:rsid w:val="006D2F1C"/>
    <w:rsid w:val="006D330E"/>
    <w:rsid w:val="006D339B"/>
    <w:rsid w:val="006D3871"/>
    <w:rsid w:val="006D390F"/>
    <w:rsid w:val="006D396B"/>
    <w:rsid w:val="006D3BD7"/>
    <w:rsid w:val="006D3C9A"/>
    <w:rsid w:val="006D3FA3"/>
    <w:rsid w:val="006D4490"/>
    <w:rsid w:val="006D4732"/>
    <w:rsid w:val="006D4978"/>
    <w:rsid w:val="006D4BE4"/>
    <w:rsid w:val="006D5105"/>
    <w:rsid w:val="006D51A4"/>
    <w:rsid w:val="006D55CD"/>
    <w:rsid w:val="006D566E"/>
    <w:rsid w:val="006D581B"/>
    <w:rsid w:val="006D58FC"/>
    <w:rsid w:val="006D5E08"/>
    <w:rsid w:val="006D5E09"/>
    <w:rsid w:val="006D6007"/>
    <w:rsid w:val="006D6404"/>
    <w:rsid w:val="006D64C0"/>
    <w:rsid w:val="006D6547"/>
    <w:rsid w:val="006D6B3C"/>
    <w:rsid w:val="006D6E80"/>
    <w:rsid w:val="006D70B6"/>
    <w:rsid w:val="006D71C6"/>
    <w:rsid w:val="006D7B05"/>
    <w:rsid w:val="006D7BA5"/>
    <w:rsid w:val="006D7C80"/>
    <w:rsid w:val="006D7ECB"/>
    <w:rsid w:val="006E0349"/>
    <w:rsid w:val="006E04B0"/>
    <w:rsid w:val="006E0706"/>
    <w:rsid w:val="006E0799"/>
    <w:rsid w:val="006E093D"/>
    <w:rsid w:val="006E0A20"/>
    <w:rsid w:val="006E0ADF"/>
    <w:rsid w:val="006E0D0E"/>
    <w:rsid w:val="006E127A"/>
    <w:rsid w:val="006E1402"/>
    <w:rsid w:val="006E149D"/>
    <w:rsid w:val="006E14E5"/>
    <w:rsid w:val="006E1519"/>
    <w:rsid w:val="006E1635"/>
    <w:rsid w:val="006E1805"/>
    <w:rsid w:val="006E1AC6"/>
    <w:rsid w:val="006E1AD7"/>
    <w:rsid w:val="006E1AF7"/>
    <w:rsid w:val="006E1EE0"/>
    <w:rsid w:val="006E1FA7"/>
    <w:rsid w:val="006E25BA"/>
    <w:rsid w:val="006E26A0"/>
    <w:rsid w:val="006E279D"/>
    <w:rsid w:val="006E2806"/>
    <w:rsid w:val="006E285E"/>
    <w:rsid w:val="006E2BB1"/>
    <w:rsid w:val="006E31CD"/>
    <w:rsid w:val="006E3B6E"/>
    <w:rsid w:val="006E3BAB"/>
    <w:rsid w:val="006E3C7B"/>
    <w:rsid w:val="006E45C3"/>
    <w:rsid w:val="006E4987"/>
    <w:rsid w:val="006E4DC2"/>
    <w:rsid w:val="006E4FF3"/>
    <w:rsid w:val="006E573E"/>
    <w:rsid w:val="006E655D"/>
    <w:rsid w:val="006E6BB3"/>
    <w:rsid w:val="006E6D09"/>
    <w:rsid w:val="006E6D35"/>
    <w:rsid w:val="006E7B08"/>
    <w:rsid w:val="006E7C42"/>
    <w:rsid w:val="006F0146"/>
    <w:rsid w:val="006F01B8"/>
    <w:rsid w:val="006F07CB"/>
    <w:rsid w:val="006F0883"/>
    <w:rsid w:val="006F0A04"/>
    <w:rsid w:val="006F11CB"/>
    <w:rsid w:val="006F12C2"/>
    <w:rsid w:val="006F136C"/>
    <w:rsid w:val="006F1393"/>
    <w:rsid w:val="006F150C"/>
    <w:rsid w:val="006F15A5"/>
    <w:rsid w:val="006F15F7"/>
    <w:rsid w:val="006F168A"/>
    <w:rsid w:val="006F178C"/>
    <w:rsid w:val="006F18B8"/>
    <w:rsid w:val="006F1947"/>
    <w:rsid w:val="006F1F9C"/>
    <w:rsid w:val="006F226C"/>
    <w:rsid w:val="006F253B"/>
    <w:rsid w:val="006F2666"/>
    <w:rsid w:val="006F270B"/>
    <w:rsid w:val="006F272B"/>
    <w:rsid w:val="006F2913"/>
    <w:rsid w:val="006F29DE"/>
    <w:rsid w:val="006F2A2B"/>
    <w:rsid w:val="006F2B36"/>
    <w:rsid w:val="006F2C98"/>
    <w:rsid w:val="006F36D3"/>
    <w:rsid w:val="006F3DF2"/>
    <w:rsid w:val="006F3F02"/>
    <w:rsid w:val="006F41FD"/>
    <w:rsid w:val="006F42EB"/>
    <w:rsid w:val="006F43B0"/>
    <w:rsid w:val="006F4468"/>
    <w:rsid w:val="006F4702"/>
    <w:rsid w:val="006F48D6"/>
    <w:rsid w:val="006F4974"/>
    <w:rsid w:val="006F5076"/>
    <w:rsid w:val="006F52B1"/>
    <w:rsid w:val="006F5529"/>
    <w:rsid w:val="006F5582"/>
    <w:rsid w:val="006F57B9"/>
    <w:rsid w:val="006F5911"/>
    <w:rsid w:val="006F6009"/>
    <w:rsid w:val="006F6262"/>
    <w:rsid w:val="006F626A"/>
    <w:rsid w:val="006F62B3"/>
    <w:rsid w:val="006F65CB"/>
    <w:rsid w:val="006F6834"/>
    <w:rsid w:val="006F684E"/>
    <w:rsid w:val="006F688A"/>
    <w:rsid w:val="006F6967"/>
    <w:rsid w:val="006F6AAA"/>
    <w:rsid w:val="006F702B"/>
    <w:rsid w:val="006F70F0"/>
    <w:rsid w:val="006F71F9"/>
    <w:rsid w:val="006F7579"/>
    <w:rsid w:val="006F7AE1"/>
    <w:rsid w:val="006F7B7E"/>
    <w:rsid w:val="006F7D35"/>
    <w:rsid w:val="006F7DB5"/>
    <w:rsid w:val="006F7F29"/>
    <w:rsid w:val="007001DA"/>
    <w:rsid w:val="007003AE"/>
    <w:rsid w:val="007005DE"/>
    <w:rsid w:val="007006E5"/>
    <w:rsid w:val="0070078D"/>
    <w:rsid w:val="007008E9"/>
    <w:rsid w:val="00700B7D"/>
    <w:rsid w:val="00700C5F"/>
    <w:rsid w:val="00700D3E"/>
    <w:rsid w:val="00700E36"/>
    <w:rsid w:val="007010F3"/>
    <w:rsid w:val="0070118C"/>
    <w:rsid w:val="0070142C"/>
    <w:rsid w:val="007019B4"/>
    <w:rsid w:val="00701A7D"/>
    <w:rsid w:val="00701EF7"/>
    <w:rsid w:val="007025BB"/>
    <w:rsid w:val="007030BB"/>
    <w:rsid w:val="0070321D"/>
    <w:rsid w:val="00703277"/>
    <w:rsid w:val="00703C2E"/>
    <w:rsid w:val="00703C83"/>
    <w:rsid w:val="00703CAC"/>
    <w:rsid w:val="00703F27"/>
    <w:rsid w:val="00704192"/>
    <w:rsid w:val="007042FA"/>
    <w:rsid w:val="00704409"/>
    <w:rsid w:val="0070448C"/>
    <w:rsid w:val="00704544"/>
    <w:rsid w:val="007045AB"/>
    <w:rsid w:val="0070466C"/>
    <w:rsid w:val="007049CC"/>
    <w:rsid w:val="00704AFD"/>
    <w:rsid w:val="00704B06"/>
    <w:rsid w:val="00705290"/>
    <w:rsid w:val="007053AF"/>
    <w:rsid w:val="00705CF8"/>
    <w:rsid w:val="007068AC"/>
    <w:rsid w:val="007068BA"/>
    <w:rsid w:val="007069CD"/>
    <w:rsid w:val="00706A8A"/>
    <w:rsid w:val="00707FF8"/>
    <w:rsid w:val="0071043F"/>
    <w:rsid w:val="0071045D"/>
    <w:rsid w:val="0071047A"/>
    <w:rsid w:val="00710CC0"/>
    <w:rsid w:val="00711122"/>
    <w:rsid w:val="00711384"/>
    <w:rsid w:val="007114FD"/>
    <w:rsid w:val="007116EB"/>
    <w:rsid w:val="007117B6"/>
    <w:rsid w:val="00711912"/>
    <w:rsid w:val="00711CB9"/>
    <w:rsid w:val="0071202D"/>
    <w:rsid w:val="0071205A"/>
    <w:rsid w:val="00712295"/>
    <w:rsid w:val="0071230A"/>
    <w:rsid w:val="007125F1"/>
    <w:rsid w:val="00712760"/>
    <w:rsid w:val="00712AD8"/>
    <w:rsid w:val="00712C8E"/>
    <w:rsid w:val="00712C9C"/>
    <w:rsid w:val="00712CDF"/>
    <w:rsid w:val="007131E1"/>
    <w:rsid w:val="0071357C"/>
    <w:rsid w:val="00713639"/>
    <w:rsid w:val="00713973"/>
    <w:rsid w:val="00713A70"/>
    <w:rsid w:val="00713F27"/>
    <w:rsid w:val="00713F3C"/>
    <w:rsid w:val="0071452C"/>
    <w:rsid w:val="007147A6"/>
    <w:rsid w:val="00714886"/>
    <w:rsid w:val="00714896"/>
    <w:rsid w:val="00714CF8"/>
    <w:rsid w:val="00714D08"/>
    <w:rsid w:val="00714D5F"/>
    <w:rsid w:val="00715074"/>
    <w:rsid w:val="007152CB"/>
    <w:rsid w:val="007154C5"/>
    <w:rsid w:val="00715A43"/>
    <w:rsid w:val="00715B74"/>
    <w:rsid w:val="00715DB6"/>
    <w:rsid w:val="00715E21"/>
    <w:rsid w:val="00715E89"/>
    <w:rsid w:val="00715F3A"/>
    <w:rsid w:val="00716193"/>
    <w:rsid w:val="0071623E"/>
    <w:rsid w:val="00716316"/>
    <w:rsid w:val="0071632A"/>
    <w:rsid w:val="007168A3"/>
    <w:rsid w:val="00716A1E"/>
    <w:rsid w:val="00716AB1"/>
    <w:rsid w:val="00716BE8"/>
    <w:rsid w:val="00716C1A"/>
    <w:rsid w:val="00716FAA"/>
    <w:rsid w:val="00717070"/>
    <w:rsid w:val="007171E6"/>
    <w:rsid w:val="007175FA"/>
    <w:rsid w:val="0071784D"/>
    <w:rsid w:val="00717991"/>
    <w:rsid w:val="00717BAC"/>
    <w:rsid w:val="00717E3C"/>
    <w:rsid w:val="00720248"/>
    <w:rsid w:val="007203FD"/>
    <w:rsid w:val="007205C1"/>
    <w:rsid w:val="00720DC7"/>
    <w:rsid w:val="00720E60"/>
    <w:rsid w:val="007211FB"/>
    <w:rsid w:val="007212F9"/>
    <w:rsid w:val="00721518"/>
    <w:rsid w:val="00721595"/>
    <w:rsid w:val="007216D7"/>
    <w:rsid w:val="00721D63"/>
    <w:rsid w:val="00721D98"/>
    <w:rsid w:val="00721DC2"/>
    <w:rsid w:val="0072218B"/>
    <w:rsid w:val="007221E9"/>
    <w:rsid w:val="007223BA"/>
    <w:rsid w:val="007225A5"/>
    <w:rsid w:val="0072269E"/>
    <w:rsid w:val="00722779"/>
    <w:rsid w:val="007227E8"/>
    <w:rsid w:val="00722C01"/>
    <w:rsid w:val="00722C29"/>
    <w:rsid w:val="00722DAE"/>
    <w:rsid w:val="0072342C"/>
    <w:rsid w:val="007234C6"/>
    <w:rsid w:val="00723550"/>
    <w:rsid w:val="00723578"/>
    <w:rsid w:val="007235AD"/>
    <w:rsid w:val="00723670"/>
    <w:rsid w:val="00723888"/>
    <w:rsid w:val="00723CDA"/>
    <w:rsid w:val="00723D77"/>
    <w:rsid w:val="00724008"/>
    <w:rsid w:val="0072422F"/>
    <w:rsid w:val="007245B2"/>
    <w:rsid w:val="00724950"/>
    <w:rsid w:val="00724955"/>
    <w:rsid w:val="00724BCE"/>
    <w:rsid w:val="00724C1C"/>
    <w:rsid w:val="00724D64"/>
    <w:rsid w:val="00724D71"/>
    <w:rsid w:val="00724F23"/>
    <w:rsid w:val="007252A6"/>
    <w:rsid w:val="00725438"/>
    <w:rsid w:val="00725546"/>
    <w:rsid w:val="00725665"/>
    <w:rsid w:val="00725DE9"/>
    <w:rsid w:val="007261E4"/>
    <w:rsid w:val="007261FC"/>
    <w:rsid w:val="00726202"/>
    <w:rsid w:val="00726232"/>
    <w:rsid w:val="00726709"/>
    <w:rsid w:val="0072683D"/>
    <w:rsid w:val="00726D3E"/>
    <w:rsid w:val="00727279"/>
    <w:rsid w:val="007273A4"/>
    <w:rsid w:val="007273A9"/>
    <w:rsid w:val="007274F3"/>
    <w:rsid w:val="00727612"/>
    <w:rsid w:val="00727780"/>
    <w:rsid w:val="00727E8D"/>
    <w:rsid w:val="00730186"/>
    <w:rsid w:val="00730306"/>
    <w:rsid w:val="007304DC"/>
    <w:rsid w:val="0073078F"/>
    <w:rsid w:val="0073086C"/>
    <w:rsid w:val="007309F6"/>
    <w:rsid w:val="00730E4A"/>
    <w:rsid w:val="00731143"/>
    <w:rsid w:val="00731482"/>
    <w:rsid w:val="0073148C"/>
    <w:rsid w:val="00731501"/>
    <w:rsid w:val="00731933"/>
    <w:rsid w:val="00731B38"/>
    <w:rsid w:val="00731D3D"/>
    <w:rsid w:val="00731F31"/>
    <w:rsid w:val="007323C9"/>
    <w:rsid w:val="007325C8"/>
    <w:rsid w:val="00732642"/>
    <w:rsid w:val="00732716"/>
    <w:rsid w:val="00732989"/>
    <w:rsid w:val="00732C7B"/>
    <w:rsid w:val="00732F12"/>
    <w:rsid w:val="0073301D"/>
    <w:rsid w:val="007333E3"/>
    <w:rsid w:val="0073358D"/>
    <w:rsid w:val="007337EE"/>
    <w:rsid w:val="00733941"/>
    <w:rsid w:val="00733BBB"/>
    <w:rsid w:val="00733EC6"/>
    <w:rsid w:val="00733FDD"/>
    <w:rsid w:val="007340B1"/>
    <w:rsid w:val="00734B4B"/>
    <w:rsid w:val="00734BA7"/>
    <w:rsid w:val="00734D2B"/>
    <w:rsid w:val="00734D32"/>
    <w:rsid w:val="00734F8E"/>
    <w:rsid w:val="007353CF"/>
    <w:rsid w:val="007356B2"/>
    <w:rsid w:val="00735921"/>
    <w:rsid w:val="00735B49"/>
    <w:rsid w:val="00735C95"/>
    <w:rsid w:val="007360AA"/>
    <w:rsid w:val="00736AFF"/>
    <w:rsid w:val="00736BDC"/>
    <w:rsid w:val="00736D1D"/>
    <w:rsid w:val="00737384"/>
    <w:rsid w:val="00737705"/>
    <w:rsid w:val="007377D6"/>
    <w:rsid w:val="0073782A"/>
    <w:rsid w:val="00737908"/>
    <w:rsid w:val="00737C2C"/>
    <w:rsid w:val="00737D09"/>
    <w:rsid w:val="00737D15"/>
    <w:rsid w:val="007402EE"/>
    <w:rsid w:val="007406FA"/>
    <w:rsid w:val="007408D4"/>
    <w:rsid w:val="00740FEB"/>
    <w:rsid w:val="00741079"/>
    <w:rsid w:val="0074120C"/>
    <w:rsid w:val="00741670"/>
    <w:rsid w:val="00741817"/>
    <w:rsid w:val="00741906"/>
    <w:rsid w:val="00741A3F"/>
    <w:rsid w:val="00741B21"/>
    <w:rsid w:val="00741D9C"/>
    <w:rsid w:val="007420AC"/>
    <w:rsid w:val="007423A1"/>
    <w:rsid w:val="00742559"/>
    <w:rsid w:val="007425AC"/>
    <w:rsid w:val="007425EB"/>
    <w:rsid w:val="00742617"/>
    <w:rsid w:val="007428BD"/>
    <w:rsid w:val="007429E9"/>
    <w:rsid w:val="007429F2"/>
    <w:rsid w:val="00742A62"/>
    <w:rsid w:val="00742D3E"/>
    <w:rsid w:val="00743447"/>
    <w:rsid w:val="00743D65"/>
    <w:rsid w:val="00743E96"/>
    <w:rsid w:val="00744384"/>
    <w:rsid w:val="00744722"/>
    <w:rsid w:val="007447F6"/>
    <w:rsid w:val="007448A3"/>
    <w:rsid w:val="00744A9F"/>
    <w:rsid w:val="00744E15"/>
    <w:rsid w:val="007450EA"/>
    <w:rsid w:val="0074518D"/>
    <w:rsid w:val="0074546B"/>
    <w:rsid w:val="0074553E"/>
    <w:rsid w:val="0074554A"/>
    <w:rsid w:val="007455DF"/>
    <w:rsid w:val="007456F8"/>
    <w:rsid w:val="00745976"/>
    <w:rsid w:val="00745A92"/>
    <w:rsid w:val="00745B78"/>
    <w:rsid w:val="00745C07"/>
    <w:rsid w:val="00745D00"/>
    <w:rsid w:val="0074629C"/>
    <w:rsid w:val="0074638F"/>
    <w:rsid w:val="0074647F"/>
    <w:rsid w:val="00746A6C"/>
    <w:rsid w:val="00746DFB"/>
    <w:rsid w:val="00746FA7"/>
    <w:rsid w:val="0074725C"/>
    <w:rsid w:val="007472F9"/>
    <w:rsid w:val="0074778A"/>
    <w:rsid w:val="007477C6"/>
    <w:rsid w:val="00747B6E"/>
    <w:rsid w:val="00747D0C"/>
    <w:rsid w:val="00747FC7"/>
    <w:rsid w:val="007501C0"/>
    <w:rsid w:val="007504CF"/>
    <w:rsid w:val="00750658"/>
    <w:rsid w:val="0075068F"/>
    <w:rsid w:val="00750696"/>
    <w:rsid w:val="00750821"/>
    <w:rsid w:val="0075093B"/>
    <w:rsid w:val="00750E83"/>
    <w:rsid w:val="00750EBB"/>
    <w:rsid w:val="00750FAE"/>
    <w:rsid w:val="007511D5"/>
    <w:rsid w:val="0075162A"/>
    <w:rsid w:val="00751635"/>
    <w:rsid w:val="00751758"/>
    <w:rsid w:val="00751764"/>
    <w:rsid w:val="00751781"/>
    <w:rsid w:val="0075186A"/>
    <w:rsid w:val="00751AEF"/>
    <w:rsid w:val="00751BA4"/>
    <w:rsid w:val="00751E3A"/>
    <w:rsid w:val="00751EFF"/>
    <w:rsid w:val="00751F84"/>
    <w:rsid w:val="0075205B"/>
    <w:rsid w:val="00752471"/>
    <w:rsid w:val="00752839"/>
    <w:rsid w:val="007528C1"/>
    <w:rsid w:val="0075292D"/>
    <w:rsid w:val="00752D4A"/>
    <w:rsid w:val="00752DBF"/>
    <w:rsid w:val="00752F6B"/>
    <w:rsid w:val="007531C6"/>
    <w:rsid w:val="0075327C"/>
    <w:rsid w:val="00753294"/>
    <w:rsid w:val="00753446"/>
    <w:rsid w:val="007534F0"/>
    <w:rsid w:val="0075354D"/>
    <w:rsid w:val="00753CBF"/>
    <w:rsid w:val="00753D66"/>
    <w:rsid w:val="00753EC2"/>
    <w:rsid w:val="00754205"/>
    <w:rsid w:val="0075433E"/>
    <w:rsid w:val="007543D5"/>
    <w:rsid w:val="0075455C"/>
    <w:rsid w:val="00754B8E"/>
    <w:rsid w:val="00754BC6"/>
    <w:rsid w:val="0075508B"/>
    <w:rsid w:val="0075542C"/>
    <w:rsid w:val="0075561E"/>
    <w:rsid w:val="0075565C"/>
    <w:rsid w:val="00755684"/>
    <w:rsid w:val="007557F9"/>
    <w:rsid w:val="00755A2A"/>
    <w:rsid w:val="00755A65"/>
    <w:rsid w:val="00755B61"/>
    <w:rsid w:val="00755EF1"/>
    <w:rsid w:val="00755F47"/>
    <w:rsid w:val="0075616D"/>
    <w:rsid w:val="007564E8"/>
    <w:rsid w:val="00756585"/>
    <w:rsid w:val="0075670F"/>
    <w:rsid w:val="007568FA"/>
    <w:rsid w:val="00756DD8"/>
    <w:rsid w:val="00756E6A"/>
    <w:rsid w:val="00757070"/>
    <w:rsid w:val="007571E4"/>
    <w:rsid w:val="0075729A"/>
    <w:rsid w:val="0075737B"/>
    <w:rsid w:val="0075763B"/>
    <w:rsid w:val="007576A1"/>
    <w:rsid w:val="00757859"/>
    <w:rsid w:val="00757ADC"/>
    <w:rsid w:val="00757C16"/>
    <w:rsid w:val="00757C29"/>
    <w:rsid w:val="00757C34"/>
    <w:rsid w:val="00757D6C"/>
    <w:rsid w:val="00757E03"/>
    <w:rsid w:val="00757E06"/>
    <w:rsid w:val="0076044A"/>
    <w:rsid w:val="0076051B"/>
    <w:rsid w:val="007607B0"/>
    <w:rsid w:val="00760C4C"/>
    <w:rsid w:val="00760E45"/>
    <w:rsid w:val="00760F10"/>
    <w:rsid w:val="0076171E"/>
    <w:rsid w:val="007619F0"/>
    <w:rsid w:val="00761BE8"/>
    <w:rsid w:val="00761CB1"/>
    <w:rsid w:val="007621C4"/>
    <w:rsid w:val="007621F6"/>
    <w:rsid w:val="0076224F"/>
    <w:rsid w:val="00762478"/>
    <w:rsid w:val="007624A4"/>
    <w:rsid w:val="007625F2"/>
    <w:rsid w:val="0076261F"/>
    <w:rsid w:val="007627B5"/>
    <w:rsid w:val="00762818"/>
    <w:rsid w:val="00762988"/>
    <w:rsid w:val="00762B3E"/>
    <w:rsid w:val="00762D27"/>
    <w:rsid w:val="0076324D"/>
    <w:rsid w:val="00763788"/>
    <w:rsid w:val="00763B49"/>
    <w:rsid w:val="00763B6E"/>
    <w:rsid w:val="00763C29"/>
    <w:rsid w:val="00763CD0"/>
    <w:rsid w:val="00763D02"/>
    <w:rsid w:val="0076434A"/>
    <w:rsid w:val="00764443"/>
    <w:rsid w:val="00764448"/>
    <w:rsid w:val="00764776"/>
    <w:rsid w:val="00764B41"/>
    <w:rsid w:val="00764BB6"/>
    <w:rsid w:val="007650D6"/>
    <w:rsid w:val="007652E7"/>
    <w:rsid w:val="007653F9"/>
    <w:rsid w:val="00765413"/>
    <w:rsid w:val="0076557C"/>
    <w:rsid w:val="007657E3"/>
    <w:rsid w:val="00765804"/>
    <w:rsid w:val="007658C6"/>
    <w:rsid w:val="00765A6F"/>
    <w:rsid w:val="00765AF9"/>
    <w:rsid w:val="00765C0D"/>
    <w:rsid w:val="00765EF3"/>
    <w:rsid w:val="00765FA6"/>
    <w:rsid w:val="007660CD"/>
    <w:rsid w:val="007661D2"/>
    <w:rsid w:val="0076625C"/>
    <w:rsid w:val="00766486"/>
    <w:rsid w:val="0076660A"/>
    <w:rsid w:val="0076667E"/>
    <w:rsid w:val="00766BED"/>
    <w:rsid w:val="00766DC8"/>
    <w:rsid w:val="0076703B"/>
    <w:rsid w:val="0076704B"/>
    <w:rsid w:val="00767620"/>
    <w:rsid w:val="00767AF0"/>
    <w:rsid w:val="00767FB5"/>
    <w:rsid w:val="00767FFE"/>
    <w:rsid w:val="00770251"/>
    <w:rsid w:val="00770A08"/>
    <w:rsid w:val="00770A7E"/>
    <w:rsid w:val="00770B17"/>
    <w:rsid w:val="00770CA1"/>
    <w:rsid w:val="00770D0B"/>
    <w:rsid w:val="00770ECA"/>
    <w:rsid w:val="00770F16"/>
    <w:rsid w:val="007711D3"/>
    <w:rsid w:val="00771233"/>
    <w:rsid w:val="00771E8C"/>
    <w:rsid w:val="00771F59"/>
    <w:rsid w:val="007723B7"/>
    <w:rsid w:val="00772544"/>
    <w:rsid w:val="007728CD"/>
    <w:rsid w:val="007729C9"/>
    <w:rsid w:val="00772A26"/>
    <w:rsid w:val="00772A8F"/>
    <w:rsid w:val="00772E23"/>
    <w:rsid w:val="00772F9A"/>
    <w:rsid w:val="00772FED"/>
    <w:rsid w:val="007731CA"/>
    <w:rsid w:val="00773242"/>
    <w:rsid w:val="0077352C"/>
    <w:rsid w:val="007735E5"/>
    <w:rsid w:val="007737D7"/>
    <w:rsid w:val="0077383B"/>
    <w:rsid w:val="007738C9"/>
    <w:rsid w:val="00773CA2"/>
    <w:rsid w:val="00774158"/>
    <w:rsid w:val="0077415F"/>
    <w:rsid w:val="00774166"/>
    <w:rsid w:val="00774483"/>
    <w:rsid w:val="007745FD"/>
    <w:rsid w:val="00774819"/>
    <w:rsid w:val="00774A6C"/>
    <w:rsid w:val="00774DBD"/>
    <w:rsid w:val="00774FEB"/>
    <w:rsid w:val="007751E3"/>
    <w:rsid w:val="00775274"/>
    <w:rsid w:val="0077543A"/>
    <w:rsid w:val="007754FB"/>
    <w:rsid w:val="00775566"/>
    <w:rsid w:val="00775B65"/>
    <w:rsid w:val="007760B6"/>
    <w:rsid w:val="00776118"/>
    <w:rsid w:val="0077632F"/>
    <w:rsid w:val="007764FD"/>
    <w:rsid w:val="00776548"/>
    <w:rsid w:val="00776857"/>
    <w:rsid w:val="0077688D"/>
    <w:rsid w:val="00776BA5"/>
    <w:rsid w:val="00776C94"/>
    <w:rsid w:val="00776D5C"/>
    <w:rsid w:val="00776D94"/>
    <w:rsid w:val="007772E4"/>
    <w:rsid w:val="00777326"/>
    <w:rsid w:val="0077732B"/>
    <w:rsid w:val="007774B8"/>
    <w:rsid w:val="00777630"/>
    <w:rsid w:val="0077765B"/>
    <w:rsid w:val="00777D0F"/>
    <w:rsid w:val="00777D18"/>
    <w:rsid w:val="00777E2A"/>
    <w:rsid w:val="00777F0E"/>
    <w:rsid w:val="00780166"/>
    <w:rsid w:val="00780325"/>
    <w:rsid w:val="00780812"/>
    <w:rsid w:val="00780900"/>
    <w:rsid w:val="00780F76"/>
    <w:rsid w:val="007812A9"/>
    <w:rsid w:val="00781699"/>
    <w:rsid w:val="0078172A"/>
    <w:rsid w:val="00781802"/>
    <w:rsid w:val="00781BF2"/>
    <w:rsid w:val="00781BF4"/>
    <w:rsid w:val="00782119"/>
    <w:rsid w:val="0078215B"/>
    <w:rsid w:val="007821C5"/>
    <w:rsid w:val="0078221B"/>
    <w:rsid w:val="007822DC"/>
    <w:rsid w:val="007823B1"/>
    <w:rsid w:val="0078253A"/>
    <w:rsid w:val="007828DB"/>
    <w:rsid w:val="00782D7B"/>
    <w:rsid w:val="00782F72"/>
    <w:rsid w:val="007830C9"/>
    <w:rsid w:val="00783299"/>
    <w:rsid w:val="00783519"/>
    <w:rsid w:val="00783594"/>
    <w:rsid w:val="0078361A"/>
    <w:rsid w:val="00783990"/>
    <w:rsid w:val="00783AFA"/>
    <w:rsid w:val="00784053"/>
    <w:rsid w:val="00784065"/>
    <w:rsid w:val="00784823"/>
    <w:rsid w:val="00784D79"/>
    <w:rsid w:val="00785035"/>
    <w:rsid w:val="00785226"/>
    <w:rsid w:val="0078524D"/>
    <w:rsid w:val="00785380"/>
    <w:rsid w:val="00785427"/>
    <w:rsid w:val="007855C6"/>
    <w:rsid w:val="007857EE"/>
    <w:rsid w:val="00786196"/>
    <w:rsid w:val="00786418"/>
    <w:rsid w:val="00786858"/>
    <w:rsid w:val="00786EBC"/>
    <w:rsid w:val="007875F8"/>
    <w:rsid w:val="0078776A"/>
    <w:rsid w:val="00787AED"/>
    <w:rsid w:val="00787D08"/>
    <w:rsid w:val="00787E4B"/>
    <w:rsid w:val="007903BB"/>
    <w:rsid w:val="00790540"/>
    <w:rsid w:val="00790D19"/>
    <w:rsid w:val="00790D44"/>
    <w:rsid w:val="00791149"/>
    <w:rsid w:val="00791200"/>
    <w:rsid w:val="00791257"/>
    <w:rsid w:val="007914A0"/>
    <w:rsid w:val="007914FA"/>
    <w:rsid w:val="00791611"/>
    <w:rsid w:val="0079161F"/>
    <w:rsid w:val="00791786"/>
    <w:rsid w:val="007919AB"/>
    <w:rsid w:val="00791BEF"/>
    <w:rsid w:val="00791D06"/>
    <w:rsid w:val="007921EC"/>
    <w:rsid w:val="007922D6"/>
    <w:rsid w:val="0079268F"/>
    <w:rsid w:val="007929DE"/>
    <w:rsid w:val="00792A27"/>
    <w:rsid w:val="00792D2B"/>
    <w:rsid w:val="00792F42"/>
    <w:rsid w:val="00792F46"/>
    <w:rsid w:val="00793474"/>
    <w:rsid w:val="00793D44"/>
    <w:rsid w:val="00793F47"/>
    <w:rsid w:val="00794051"/>
    <w:rsid w:val="00794751"/>
    <w:rsid w:val="00794940"/>
    <w:rsid w:val="00794B3F"/>
    <w:rsid w:val="00794BFF"/>
    <w:rsid w:val="00795371"/>
    <w:rsid w:val="007953F6"/>
    <w:rsid w:val="00795888"/>
    <w:rsid w:val="00795968"/>
    <w:rsid w:val="00795DB1"/>
    <w:rsid w:val="007960DF"/>
    <w:rsid w:val="00796109"/>
    <w:rsid w:val="007964AF"/>
    <w:rsid w:val="00796826"/>
    <w:rsid w:val="007968C9"/>
    <w:rsid w:val="007968CA"/>
    <w:rsid w:val="00796BAC"/>
    <w:rsid w:val="00796F80"/>
    <w:rsid w:val="0079700E"/>
    <w:rsid w:val="00797086"/>
    <w:rsid w:val="00797259"/>
    <w:rsid w:val="007973F4"/>
    <w:rsid w:val="0079751A"/>
    <w:rsid w:val="007975F5"/>
    <w:rsid w:val="0079770C"/>
    <w:rsid w:val="007977BF"/>
    <w:rsid w:val="00797A93"/>
    <w:rsid w:val="00797C64"/>
    <w:rsid w:val="00797E75"/>
    <w:rsid w:val="00797EBD"/>
    <w:rsid w:val="007A0024"/>
    <w:rsid w:val="007A01F7"/>
    <w:rsid w:val="007A035D"/>
    <w:rsid w:val="007A0585"/>
    <w:rsid w:val="007A06DB"/>
    <w:rsid w:val="007A0743"/>
    <w:rsid w:val="007A0814"/>
    <w:rsid w:val="007A0826"/>
    <w:rsid w:val="007A0F71"/>
    <w:rsid w:val="007A1239"/>
    <w:rsid w:val="007A136C"/>
    <w:rsid w:val="007A1420"/>
    <w:rsid w:val="007A180E"/>
    <w:rsid w:val="007A1812"/>
    <w:rsid w:val="007A1B6B"/>
    <w:rsid w:val="007A1B7C"/>
    <w:rsid w:val="007A1D6D"/>
    <w:rsid w:val="007A20EB"/>
    <w:rsid w:val="007A2101"/>
    <w:rsid w:val="007A221B"/>
    <w:rsid w:val="007A2B14"/>
    <w:rsid w:val="007A2FF3"/>
    <w:rsid w:val="007A3176"/>
    <w:rsid w:val="007A34B8"/>
    <w:rsid w:val="007A3637"/>
    <w:rsid w:val="007A36E8"/>
    <w:rsid w:val="007A3761"/>
    <w:rsid w:val="007A3864"/>
    <w:rsid w:val="007A38AF"/>
    <w:rsid w:val="007A38C0"/>
    <w:rsid w:val="007A3D6A"/>
    <w:rsid w:val="007A3D71"/>
    <w:rsid w:val="007A3FA3"/>
    <w:rsid w:val="007A3FCA"/>
    <w:rsid w:val="007A42B2"/>
    <w:rsid w:val="007A43BB"/>
    <w:rsid w:val="007A43F2"/>
    <w:rsid w:val="007A43FF"/>
    <w:rsid w:val="007A45C5"/>
    <w:rsid w:val="007A4AEF"/>
    <w:rsid w:val="007A4B57"/>
    <w:rsid w:val="007A4CE2"/>
    <w:rsid w:val="007A4D53"/>
    <w:rsid w:val="007A4E20"/>
    <w:rsid w:val="007A4F08"/>
    <w:rsid w:val="007A50AA"/>
    <w:rsid w:val="007A5173"/>
    <w:rsid w:val="007A5500"/>
    <w:rsid w:val="007A586E"/>
    <w:rsid w:val="007A58A2"/>
    <w:rsid w:val="007A5C2F"/>
    <w:rsid w:val="007A603D"/>
    <w:rsid w:val="007A61C2"/>
    <w:rsid w:val="007A649E"/>
    <w:rsid w:val="007A6629"/>
    <w:rsid w:val="007A667A"/>
    <w:rsid w:val="007A6694"/>
    <w:rsid w:val="007A674E"/>
    <w:rsid w:val="007A6905"/>
    <w:rsid w:val="007A6A57"/>
    <w:rsid w:val="007A6A94"/>
    <w:rsid w:val="007A6C6A"/>
    <w:rsid w:val="007A6E3D"/>
    <w:rsid w:val="007A6F3F"/>
    <w:rsid w:val="007A706E"/>
    <w:rsid w:val="007B00BB"/>
    <w:rsid w:val="007B00C9"/>
    <w:rsid w:val="007B0133"/>
    <w:rsid w:val="007B0603"/>
    <w:rsid w:val="007B07B6"/>
    <w:rsid w:val="007B0CCE"/>
    <w:rsid w:val="007B0D18"/>
    <w:rsid w:val="007B0F3C"/>
    <w:rsid w:val="007B156D"/>
    <w:rsid w:val="007B1CB0"/>
    <w:rsid w:val="007B1DAA"/>
    <w:rsid w:val="007B1FB7"/>
    <w:rsid w:val="007B211B"/>
    <w:rsid w:val="007B2199"/>
    <w:rsid w:val="007B21CF"/>
    <w:rsid w:val="007B270D"/>
    <w:rsid w:val="007B27D9"/>
    <w:rsid w:val="007B2C04"/>
    <w:rsid w:val="007B2E6F"/>
    <w:rsid w:val="007B3918"/>
    <w:rsid w:val="007B40D0"/>
    <w:rsid w:val="007B410A"/>
    <w:rsid w:val="007B43F4"/>
    <w:rsid w:val="007B43FA"/>
    <w:rsid w:val="007B4414"/>
    <w:rsid w:val="007B48BF"/>
    <w:rsid w:val="007B4B04"/>
    <w:rsid w:val="007B4BC5"/>
    <w:rsid w:val="007B4C9D"/>
    <w:rsid w:val="007B518D"/>
    <w:rsid w:val="007B53B0"/>
    <w:rsid w:val="007B5468"/>
    <w:rsid w:val="007B55CA"/>
    <w:rsid w:val="007B563F"/>
    <w:rsid w:val="007B5725"/>
    <w:rsid w:val="007B57C0"/>
    <w:rsid w:val="007B58D6"/>
    <w:rsid w:val="007B5FFD"/>
    <w:rsid w:val="007B678F"/>
    <w:rsid w:val="007B6A1B"/>
    <w:rsid w:val="007B6D78"/>
    <w:rsid w:val="007B6D8C"/>
    <w:rsid w:val="007B6E31"/>
    <w:rsid w:val="007B6FBC"/>
    <w:rsid w:val="007B7178"/>
    <w:rsid w:val="007B71C7"/>
    <w:rsid w:val="007B7373"/>
    <w:rsid w:val="007B7AC1"/>
    <w:rsid w:val="007B7C05"/>
    <w:rsid w:val="007B7C26"/>
    <w:rsid w:val="007B7CC5"/>
    <w:rsid w:val="007C0108"/>
    <w:rsid w:val="007C0790"/>
    <w:rsid w:val="007C0984"/>
    <w:rsid w:val="007C0A17"/>
    <w:rsid w:val="007C0B44"/>
    <w:rsid w:val="007C0D90"/>
    <w:rsid w:val="007C1115"/>
    <w:rsid w:val="007C1551"/>
    <w:rsid w:val="007C17DD"/>
    <w:rsid w:val="007C190C"/>
    <w:rsid w:val="007C1980"/>
    <w:rsid w:val="007C19E0"/>
    <w:rsid w:val="007C1C7B"/>
    <w:rsid w:val="007C1F08"/>
    <w:rsid w:val="007C213D"/>
    <w:rsid w:val="007C266C"/>
    <w:rsid w:val="007C2780"/>
    <w:rsid w:val="007C2D3C"/>
    <w:rsid w:val="007C2DE4"/>
    <w:rsid w:val="007C2FAB"/>
    <w:rsid w:val="007C33EF"/>
    <w:rsid w:val="007C37A8"/>
    <w:rsid w:val="007C37FF"/>
    <w:rsid w:val="007C3855"/>
    <w:rsid w:val="007C3C1D"/>
    <w:rsid w:val="007C3DCD"/>
    <w:rsid w:val="007C4202"/>
    <w:rsid w:val="007C4210"/>
    <w:rsid w:val="007C4804"/>
    <w:rsid w:val="007C4811"/>
    <w:rsid w:val="007C48D9"/>
    <w:rsid w:val="007C4900"/>
    <w:rsid w:val="007C4C78"/>
    <w:rsid w:val="007C4CC2"/>
    <w:rsid w:val="007C4E35"/>
    <w:rsid w:val="007C4E6E"/>
    <w:rsid w:val="007C4E75"/>
    <w:rsid w:val="007C530C"/>
    <w:rsid w:val="007C5AFF"/>
    <w:rsid w:val="007C5CB5"/>
    <w:rsid w:val="007C5F72"/>
    <w:rsid w:val="007C5F81"/>
    <w:rsid w:val="007C6531"/>
    <w:rsid w:val="007C66F5"/>
    <w:rsid w:val="007C67CA"/>
    <w:rsid w:val="007C6998"/>
    <w:rsid w:val="007C7413"/>
    <w:rsid w:val="007C7590"/>
    <w:rsid w:val="007C7843"/>
    <w:rsid w:val="007C789C"/>
    <w:rsid w:val="007C7945"/>
    <w:rsid w:val="007C7B0E"/>
    <w:rsid w:val="007C7B60"/>
    <w:rsid w:val="007C7C1F"/>
    <w:rsid w:val="007C7CC6"/>
    <w:rsid w:val="007C7CDF"/>
    <w:rsid w:val="007D010F"/>
    <w:rsid w:val="007D015B"/>
    <w:rsid w:val="007D0367"/>
    <w:rsid w:val="007D0DEA"/>
    <w:rsid w:val="007D0F95"/>
    <w:rsid w:val="007D114A"/>
    <w:rsid w:val="007D14D9"/>
    <w:rsid w:val="007D1532"/>
    <w:rsid w:val="007D199A"/>
    <w:rsid w:val="007D1E38"/>
    <w:rsid w:val="007D2109"/>
    <w:rsid w:val="007D241B"/>
    <w:rsid w:val="007D2434"/>
    <w:rsid w:val="007D24DC"/>
    <w:rsid w:val="007D2840"/>
    <w:rsid w:val="007D2EBE"/>
    <w:rsid w:val="007D2F52"/>
    <w:rsid w:val="007D313D"/>
    <w:rsid w:val="007D3196"/>
    <w:rsid w:val="007D31DC"/>
    <w:rsid w:val="007D335F"/>
    <w:rsid w:val="007D3466"/>
    <w:rsid w:val="007D3990"/>
    <w:rsid w:val="007D3C96"/>
    <w:rsid w:val="007D3CFE"/>
    <w:rsid w:val="007D3D47"/>
    <w:rsid w:val="007D3DF2"/>
    <w:rsid w:val="007D40DD"/>
    <w:rsid w:val="007D4364"/>
    <w:rsid w:val="007D43C5"/>
    <w:rsid w:val="007D4CEA"/>
    <w:rsid w:val="007D4F22"/>
    <w:rsid w:val="007D5004"/>
    <w:rsid w:val="007D5143"/>
    <w:rsid w:val="007D5198"/>
    <w:rsid w:val="007D53EA"/>
    <w:rsid w:val="007D542A"/>
    <w:rsid w:val="007D55AE"/>
    <w:rsid w:val="007D5A72"/>
    <w:rsid w:val="007D5CB8"/>
    <w:rsid w:val="007D5CDA"/>
    <w:rsid w:val="007D5E8E"/>
    <w:rsid w:val="007D6080"/>
    <w:rsid w:val="007D60DF"/>
    <w:rsid w:val="007D62BD"/>
    <w:rsid w:val="007D645D"/>
    <w:rsid w:val="007D6618"/>
    <w:rsid w:val="007D6983"/>
    <w:rsid w:val="007D6990"/>
    <w:rsid w:val="007D6CF1"/>
    <w:rsid w:val="007D6D35"/>
    <w:rsid w:val="007D6EC2"/>
    <w:rsid w:val="007D70CB"/>
    <w:rsid w:val="007D7190"/>
    <w:rsid w:val="007E00F8"/>
    <w:rsid w:val="007E035C"/>
    <w:rsid w:val="007E05D2"/>
    <w:rsid w:val="007E0619"/>
    <w:rsid w:val="007E0622"/>
    <w:rsid w:val="007E062E"/>
    <w:rsid w:val="007E0651"/>
    <w:rsid w:val="007E0AA3"/>
    <w:rsid w:val="007E0E39"/>
    <w:rsid w:val="007E14D9"/>
    <w:rsid w:val="007E16A3"/>
    <w:rsid w:val="007E179E"/>
    <w:rsid w:val="007E17D4"/>
    <w:rsid w:val="007E1AEE"/>
    <w:rsid w:val="007E1B1D"/>
    <w:rsid w:val="007E1C07"/>
    <w:rsid w:val="007E1D44"/>
    <w:rsid w:val="007E2426"/>
    <w:rsid w:val="007E2821"/>
    <w:rsid w:val="007E3057"/>
    <w:rsid w:val="007E31B9"/>
    <w:rsid w:val="007E32C5"/>
    <w:rsid w:val="007E351E"/>
    <w:rsid w:val="007E35CD"/>
    <w:rsid w:val="007E36DE"/>
    <w:rsid w:val="007E3AB0"/>
    <w:rsid w:val="007E3B88"/>
    <w:rsid w:val="007E3C3D"/>
    <w:rsid w:val="007E430B"/>
    <w:rsid w:val="007E4396"/>
    <w:rsid w:val="007E447B"/>
    <w:rsid w:val="007E4585"/>
    <w:rsid w:val="007E4613"/>
    <w:rsid w:val="007E4861"/>
    <w:rsid w:val="007E4A43"/>
    <w:rsid w:val="007E4E08"/>
    <w:rsid w:val="007E4F2E"/>
    <w:rsid w:val="007E5513"/>
    <w:rsid w:val="007E554D"/>
    <w:rsid w:val="007E56A5"/>
    <w:rsid w:val="007E5752"/>
    <w:rsid w:val="007E57A7"/>
    <w:rsid w:val="007E58A1"/>
    <w:rsid w:val="007E5AF9"/>
    <w:rsid w:val="007E5B94"/>
    <w:rsid w:val="007E6058"/>
    <w:rsid w:val="007E63D8"/>
    <w:rsid w:val="007E6442"/>
    <w:rsid w:val="007E669D"/>
    <w:rsid w:val="007E6A2B"/>
    <w:rsid w:val="007E6A30"/>
    <w:rsid w:val="007E6D36"/>
    <w:rsid w:val="007E6E46"/>
    <w:rsid w:val="007E6EFD"/>
    <w:rsid w:val="007E7055"/>
    <w:rsid w:val="007E714E"/>
    <w:rsid w:val="007E71AA"/>
    <w:rsid w:val="007E72AC"/>
    <w:rsid w:val="007E72D5"/>
    <w:rsid w:val="007E7435"/>
    <w:rsid w:val="007E7507"/>
    <w:rsid w:val="007E754D"/>
    <w:rsid w:val="007E75A6"/>
    <w:rsid w:val="007E78E8"/>
    <w:rsid w:val="007E7C5F"/>
    <w:rsid w:val="007E7C62"/>
    <w:rsid w:val="007E7E88"/>
    <w:rsid w:val="007F0182"/>
    <w:rsid w:val="007F01DB"/>
    <w:rsid w:val="007F052F"/>
    <w:rsid w:val="007F0D0E"/>
    <w:rsid w:val="007F0F7B"/>
    <w:rsid w:val="007F0FFA"/>
    <w:rsid w:val="007F1399"/>
    <w:rsid w:val="007F1C8B"/>
    <w:rsid w:val="007F1EE3"/>
    <w:rsid w:val="007F1FCC"/>
    <w:rsid w:val="007F2179"/>
    <w:rsid w:val="007F2182"/>
    <w:rsid w:val="007F24B6"/>
    <w:rsid w:val="007F2540"/>
    <w:rsid w:val="007F2648"/>
    <w:rsid w:val="007F2FC3"/>
    <w:rsid w:val="007F2FCA"/>
    <w:rsid w:val="007F3032"/>
    <w:rsid w:val="007F31D6"/>
    <w:rsid w:val="007F379C"/>
    <w:rsid w:val="007F3B7A"/>
    <w:rsid w:val="007F3CEB"/>
    <w:rsid w:val="007F3D2A"/>
    <w:rsid w:val="007F3E0C"/>
    <w:rsid w:val="007F40E7"/>
    <w:rsid w:val="007F4126"/>
    <w:rsid w:val="007F433A"/>
    <w:rsid w:val="007F4762"/>
    <w:rsid w:val="007F4769"/>
    <w:rsid w:val="007F477F"/>
    <w:rsid w:val="007F4E61"/>
    <w:rsid w:val="007F5356"/>
    <w:rsid w:val="007F54BD"/>
    <w:rsid w:val="007F5908"/>
    <w:rsid w:val="007F5F6F"/>
    <w:rsid w:val="007F601F"/>
    <w:rsid w:val="007F606F"/>
    <w:rsid w:val="007F6242"/>
    <w:rsid w:val="007F632B"/>
    <w:rsid w:val="007F68A7"/>
    <w:rsid w:val="007F69FC"/>
    <w:rsid w:val="007F6C8B"/>
    <w:rsid w:val="007F787B"/>
    <w:rsid w:val="007F7AB5"/>
    <w:rsid w:val="007F7F85"/>
    <w:rsid w:val="0080065D"/>
    <w:rsid w:val="008009C0"/>
    <w:rsid w:val="00800A17"/>
    <w:rsid w:val="00800FBE"/>
    <w:rsid w:val="008010F1"/>
    <w:rsid w:val="0080112F"/>
    <w:rsid w:val="008014F7"/>
    <w:rsid w:val="00801845"/>
    <w:rsid w:val="008019BA"/>
    <w:rsid w:val="00801E0B"/>
    <w:rsid w:val="00801F4E"/>
    <w:rsid w:val="00801F7A"/>
    <w:rsid w:val="008023EA"/>
    <w:rsid w:val="00802426"/>
    <w:rsid w:val="00802449"/>
    <w:rsid w:val="008024F3"/>
    <w:rsid w:val="008028DE"/>
    <w:rsid w:val="008029B7"/>
    <w:rsid w:val="00802A8E"/>
    <w:rsid w:val="00802DFD"/>
    <w:rsid w:val="00803179"/>
    <w:rsid w:val="0080321B"/>
    <w:rsid w:val="00803C2D"/>
    <w:rsid w:val="00803D94"/>
    <w:rsid w:val="00803E6C"/>
    <w:rsid w:val="00803E6F"/>
    <w:rsid w:val="00803ED1"/>
    <w:rsid w:val="00804050"/>
    <w:rsid w:val="0080407A"/>
    <w:rsid w:val="0080437C"/>
    <w:rsid w:val="00804426"/>
    <w:rsid w:val="0080450C"/>
    <w:rsid w:val="00804676"/>
    <w:rsid w:val="00804852"/>
    <w:rsid w:val="00804B66"/>
    <w:rsid w:val="008053E8"/>
    <w:rsid w:val="008054F9"/>
    <w:rsid w:val="00805886"/>
    <w:rsid w:val="008059A1"/>
    <w:rsid w:val="00805A6F"/>
    <w:rsid w:val="00805A77"/>
    <w:rsid w:val="00805E99"/>
    <w:rsid w:val="00806528"/>
    <w:rsid w:val="00806AE2"/>
    <w:rsid w:val="00807308"/>
    <w:rsid w:val="008074A1"/>
    <w:rsid w:val="0080775A"/>
    <w:rsid w:val="008077FD"/>
    <w:rsid w:val="008079A2"/>
    <w:rsid w:val="00807D5A"/>
    <w:rsid w:val="00807FEE"/>
    <w:rsid w:val="00810160"/>
    <w:rsid w:val="00810D78"/>
    <w:rsid w:val="00810E98"/>
    <w:rsid w:val="00810F29"/>
    <w:rsid w:val="00811207"/>
    <w:rsid w:val="008112F2"/>
    <w:rsid w:val="0081140B"/>
    <w:rsid w:val="008116D2"/>
    <w:rsid w:val="00811886"/>
    <w:rsid w:val="00811A7C"/>
    <w:rsid w:val="00811B9D"/>
    <w:rsid w:val="00811C16"/>
    <w:rsid w:val="00811CA8"/>
    <w:rsid w:val="00811ECA"/>
    <w:rsid w:val="0081229E"/>
    <w:rsid w:val="0081230D"/>
    <w:rsid w:val="008123DC"/>
    <w:rsid w:val="0081251D"/>
    <w:rsid w:val="00812EA5"/>
    <w:rsid w:val="00812EBD"/>
    <w:rsid w:val="00813058"/>
    <w:rsid w:val="008130E7"/>
    <w:rsid w:val="00813476"/>
    <w:rsid w:val="008135D7"/>
    <w:rsid w:val="0081370E"/>
    <w:rsid w:val="0081393E"/>
    <w:rsid w:val="00813AA4"/>
    <w:rsid w:val="00813BB9"/>
    <w:rsid w:val="00813C2A"/>
    <w:rsid w:val="00813D33"/>
    <w:rsid w:val="00813ED0"/>
    <w:rsid w:val="00813F3A"/>
    <w:rsid w:val="008142C4"/>
    <w:rsid w:val="00814383"/>
    <w:rsid w:val="00814592"/>
    <w:rsid w:val="008146D8"/>
    <w:rsid w:val="0081488A"/>
    <w:rsid w:val="008148D4"/>
    <w:rsid w:val="0081491F"/>
    <w:rsid w:val="00814A4C"/>
    <w:rsid w:val="00814C5B"/>
    <w:rsid w:val="008151D2"/>
    <w:rsid w:val="0081552A"/>
    <w:rsid w:val="00815758"/>
    <w:rsid w:val="0081584A"/>
    <w:rsid w:val="00815D35"/>
    <w:rsid w:val="008162D8"/>
    <w:rsid w:val="008165F9"/>
    <w:rsid w:val="008166F4"/>
    <w:rsid w:val="008169B2"/>
    <w:rsid w:val="00816C6D"/>
    <w:rsid w:val="00817072"/>
    <w:rsid w:val="0081712A"/>
    <w:rsid w:val="0081723F"/>
    <w:rsid w:val="0081736D"/>
    <w:rsid w:val="008174DF"/>
    <w:rsid w:val="0081794E"/>
    <w:rsid w:val="00817B82"/>
    <w:rsid w:val="00817C4F"/>
    <w:rsid w:val="00817FEC"/>
    <w:rsid w:val="008200F6"/>
    <w:rsid w:val="00820418"/>
    <w:rsid w:val="00820562"/>
    <w:rsid w:val="00820744"/>
    <w:rsid w:val="00820C75"/>
    <w:rsid w:val="008212A7"/>
    <w:rsid w:val="008215BC"/>
    <w:rsid w:val="00821C0B"/>
    <w:rsid w:val="00821DFB"/>
    <w:rsid w:val="00821EA2"/>
    <w:rsid w:val="008226AE"/>
    <w:rsid w:val="008226BA"/>
    <w:rsid w:val="008229BA"/>
    <w:rsid w:val="00822B03"/>
    <w:rsid w:val="00822C58"/>
    <w:rsid w:val="00822C98"/>
    <w:rsid w:val="00822EAF"/>
    <w:rsid w:val="00823137"/>
    <w:rsid w:val="0082318E"/>
    <w:rsid w:val="0082323C"/>
    <w:rsid w:val="00823294"/>
    <w:rsid w:val="00823296"/>
    <w:rsid w:val="00823426"/>
    <w:rsid w:val="008240D5"/>
    <w:rsid w:val="00824151"/>
    <w:rsid w:val="00824451"/>
    <w:rsid w:val="008244EC"/>
    <w:rsid w:val="00824AD4"/>
    <w:rsid w:val="00824BB5"/>
    <w:rsid w:val="00824D16"/>
    <w:rsid w:val="00824ED6"/>
    <w:rsid w:val="00825214"/>
    <w:rsid w:val="00825C61"/>
    <w:rsid w:val="00825E76"/>
    <w:rsid w:val="00825F0D"/>
    <w:rsid w:val="00826176"/>
    <w:rsid w:val="0082636C"/>
    <w:rsid w:val="00826629"/>
    <w:rsid w:val="008266CA"/>
    <w:rsid w:val="0082679A"/>
    <w:rsid w:val="00826AAD"/>
    <w:rsid w:val="00826C58"/>
    <w:rsid w:val="0082703B"/>
    <w:rsid w:val="008272DB"/>
    <w:rsid w:val="0082759E"/>
    <w:rsid w:val="00827779"/>
    <w:rsid w:val="00827944"/>
    <w:rsid w:val="00827F8B"/>
    <w:rsid w:val="00827FE7"/>
    <w:rsid w:val="008302F1"/>
    <w:rsid w:val="00830313"/>
    <w:rsid w:val="00830725"/>
    <w:rsid w:val="00830C83"/>
    <w:rsid w:val="00830D7A"/>
    <w:rsid w:val="00830F2F"/>
    <w:rsid w:val="00831212"/>
    <w:rsid w:val="0083129B"/>
    <w:rsid w:val="008312BE"/>
    <w:rsid w:val="0083149A"/>
    <w:rsid w:val="0083164A"/>
    <w:rsid w:val="008316F0"/>
    <w:rsid w:val="00831D58"/>
    <w:rsid w:val="00832488"/>
    <w:rsid w:val="00832982"/>
    <w:rsid w:val="00832D76"/>
    <w:rsid w:val="008336B9"/>
    <w:rsid w:val="00833D5D"/>
    <w:rsid w:val="00834229"/>
    <w:rsid w:val="0083424C"/>
    <w:rsid w:val="00834342"/>
    <w:rsid w:val="008343BB"/>
    <w:rsid w:val="00834936"/>
    <w:rsid w:val="00834EE8"/>
    <w:rsid w:val="00834F96"/>
    <w:rsid w:val="00834FE4"/>
    <w:rsid w:val="00834FF5"/>
    <w:rsid w:val="0083501E"/>
    <w:rsid w:val="008359BB"/>
    <w:rsid w:val="00835A0D"/>
    <w:rsid w:val="0083606A"/>
    <w:rsid w:val="008362BA"/>
    <w:rsid w:val="00836336"/>
    <w:rsid w:val="0083641F"/>
    <w:rsid w:val="008364F9"/>
    <w:rsid w:val="0083650A"/>
    <w:rsid w:val="0083654A"/>
    <w:rsid w:val="0083695B"/>
    <w:rsid w:val="00836A13"/>
    <w:rsid w:val="00836C68"/>
    <w:rsid w:val="00836C99"/>
    <w:rsid w:val="00836D3C"/>
    <w:rsid w:val="00836EF0"/>
    <w:rsid w:val="00836F61"/>
    <w:rsid w:val="008372C4"/>
    <w:rsid w:val="00837383"/>
    <w:rsid w:val="0083762A"/>
    <w:rsid w:val="00837BE2"/>
    <w:rsid w:val="00837F32"/>
    <w:rsid w:val="00837FD6"/>
    <w:rsid w:val="008402A8"/>
    <w:rsid w:val="00840394"/>
    <w:rsid w:val="0084086A"/>
    <w:rsid w:val="00840A97"/>
    <w:rsid w:val="00840C21"/>
    <w:rsid w:val="0084131B"/>
    <w:rsid w:val="0084189F"/>
    <w:rsid w:val="00841994"/>
    <w:rsid w:val="008419B2"/>
    <w:rsid w:val="00841B77"/>
    <w:rsid w:val="00841EDB"/>
    <w:rsid w:val="00842254"/>
    <w:rsid w:val="0084229D"/>
    <w:rsid w:val="00842711"/>
    <w:rsid w:val="008427D7"/>
    <w:rsid w:val="00842805"/>
    <w:rsid w:val="00842888"/>
    <w:rsid w:val="00842FE7"/>
    <w:rsid w:val="008433F1"/>
    <w:rsid w:val="0084341B"/>
    <w:rsid w:val="008434E2"/>
    <w:rsid w:val="0084368F"/>
    <w:rsid w:val="008438D4"/>
    <w:rsid w:val="008438DA"/>
    <w:rsid w:val="00843A74"/>
    <w:rsid w:val="00843A8F"/>
    <w:rsid w:val="00843B9B"/>
    <w:rsid w:val="00843BE2"/>
    <w:rsid w:val="00843DA3"/>
    <w:rsid w:val="00843F44"/>
    <w:rsid w:val="008441C7"/>
    <w:rsid w:val="00844324"/>
    <w:rsid w:val="00844497"/>
    <w:rsid w:val="00844501"/>
    <w:rsid w:val="008446A0"/>
    <w:rsid w:val="008448AD"/>
    <w:rsid w:val="00844C4A"/>
    <w:rsid w:val="00844CC0"/>
    <w:rsid w:val="00844F40"/>
    <w:rsid w:val="00844FE3"/>
    <w:rsid w:val="00844FEF"/>
    <w:rsid w:val="00845390"/>
    <w:rsid w:val="008453E0"/>
    <w:rsid w:val="00845824"/>
    <w:rsid w:val="00845B0F"/>
    <w:rsid w:val="00845C1E"/>
    <w:rsid w:val="00845D4C"/>
    <w:rsid w:val="00845EAC"/>
    <w:rsid w:val="00845F57"/>
    <w:rsid w:val="00845FA5"/>
    <w:rsid w:val="00845FC4"/>
    <w:rsid w:val="0084601B"/>
    <w:rsid w:val="008460AB"/>
    <w:rsid w:val="0084611E"/>
    <w:rsid w:val="0084672A"/>
    <w:rsid w:val="008467B9"/>
    <w:rsid w:val="008467D6"/>
    <w:rsid w:val="00846987"/>
    <w:rsid w:val="00846A36"/>
    <w:rsid w:val="008470C0"/>
    <w:rsid w:val="00847194"/>
    <w:rsid w:val="00847386"/>
    <w:rsid w:val="0084774E"/>
    <w:rsid w:val="00847B6A"/>
    <w:rsid w:val="00847DEB"/>
    <w:rsid w:val="00847F14"/>
    <w:rsid w:val="0085055C"/>
    <w:rsid w:val="008506FB"/>
    <w:rsid w:val="00850A4B"/>
    <w:rsid w:val="00850B4D"/>
    <w:rsid w:val="00850C6F"/>
    <w:rsid w:val="00850D0A"/>
    <w:rsid w:val="00851241"/>
    <w:rsid w:val="00851364"/>
    <w:rsid w:val="00851515"/>
    <w:rsid w:val="0085173A"/>
    <w:rsid w:val="00851A18"/>
    <w:rsid w:val="008524A5"/>
    <w:rsid w:val="00852509"/>
    <w:rsid w:val="008525C5"/>
    <w:rsid w:val="008527A6"/>
    <w:rsid w:val="008529C0"/>
    <w:rsid w:val="00852A95"/>
    <w:rsid w:val="00852CEF"/>
    <w:rsid w:val="0085314F"/>
    <w:rsid w:val="00853326"/>
    <w:rsid w:val="0085343D"/>
    <w:rsid w:val="00853B14"/>
    <w:rsid w:val="00853C59"/>
    <w:rsid w:val="00854133"/>
    <w:rsid w:val="00854143"/>
    <w:rsid w:val="00854619"/>
    <w:rsid w:val="008547EE"/>
    <w:rsid w:val="00854874"/>
    <w:rsid w:val="00854973"/>
    <w:rsid w:val="00854AD4"/>
    <w:rsid w:val="00854B12"/>
    <w:rsid w:val="00855098"/>
    <w:rsid w:val="008551E2"/>
    <w:rsid w:val="0085521C"/>
    <w:rsid w:val="00855412"/>
    <w:rsid w:val="00855845"/>
    <w:rsid w:val="00855AC5"/>
    <w:rsid w:val="00855ACA"/>
    <w:rsid w:val="00855D1E"/>
    <w:rsid w:val="00855D2B"/>
    <w:rsid w:val="00855F73"/>
    <w:rsid w:val="0085624D"/>
    <w:rsid w:val="00856362"/>
    <w:rsid w:val="0085641F"/>
    <w:rsid w:val="0085648A"/>
    <w:rsid w:val="008564B5"/>
    <w:rsid w:val="00856F39"/>
    <w:rsid w:val="00856F4B"/>
    <w:rsid w:val="0085708F"/>
    <w:rsid w:val="0085717A"/>
    <w:rsid w:val="00857860"/>
    <w:rsid w:val="00857A26"/>
    <w:rsid w:val="00857AA0"/>
    <w:rsid w:val="00857E2C"/>
    <w:rsid w:val="00857F8F"/>
    <w:rsid w:val="00860486"/>
    <w:rsid w:val="008606CB"/>
    <w:rsid w:val="008606CE"/>
    <w:rsid w:val="008606F0"/>
    <w:rsid w:val="00860771"/>
    <w:rsid w:val="008609CC"/>
    <w:rsid w:val="00860BB3"/>
    <w:rsid w:val="00860D74"/>
    <w:rsid w:val="00860F7A"/>
    <w:rsid w:val="00861075"/>
    <w:rsid w:val="0086120E"/>
    <w:rsid w:val="00861416"/>
    <w:rsid w:val="008617D0"/>
    <w:rsid w:val="008618FB"/>
    <w:rsid w:val="00861B45"/>
    <w:rsid w:val="00861C8E"/>
    <w:rsid w:val="00861D04"/>
    <w:rsid w:val="00861D43"/>
    <w:rsid w:val="00861FB5"/>
    <w:rsid w:val="00861FD6"/>
    <w:rsid w:val="0086204D"/>
    <w:rsid w:val="00862087"/>
    <w:rsid w:val="008621D8"/>
    <w:rsid w:val="0086238D"/>
    <w:rsid w:val="008627D5"/>
    <w:rsid w:val="00862875"/>
    <w:rsid w:val="00862B35"/>
    <w:rsid w:val="0086301A"/>
    <w:rsid w:val="008631CE"/>
    <w:rsid w:val="00863218"/>
    <w:rsid w:val="008632C4"/>
    <w:rsid w:val="008634F0"/>
    <w:rsid w:val="00863977"/>
    <w:rsid w:val="008639CE"/>
    <w:rsid w:val="00863A7A"/>
    <w:rsid w:val="00863AD0"/>
    <w:rsid w:val="00863D15"/>
    <w:rsid w:val="00863FDF"/>
    <w:rsid w:val="0086407E"/>
    <w:rsid w:val="00864275"/>
    <w:rsid w:val="00864452"/>
    <w:rsid w:val="008644B4"/>
    <w:rsid w:val="0086470B"/>
    <w:rsid w:val="00864746"/>
    <w:rsid w:val="00864986"/>
    <w:rsid w:val="00864A5B"/>
    <w:rsid w:val="00864C0A"/>
    <w:rsid w:val="00864EFD"/>
    <w:rsid w:val="00865489"/>
    <w:rsid w:val="0086553D"/>
    <w:rsid w:val="00865C03"/>
    <w:rsid w:val="00865DEA"/>
    <w:rsid w:val="00865E1B"/>
    <w:rsid w:val="00866045"/>
    <w:rsid w:val="00866065"/>
    <w:rsid w:val="008662DF"/>
    <w:rsid w:val="008666B0"/>
    <w:rsid w:val="0086675C"/>
    <w:rsid w:val="00867431"/>
    <w:rsid w:val="0086760F"/>
    <w:rsid w:val="00867650"/>
    <w:rsid w:val="00867985"/>
    <w:rsid w:val="00867A56"/>
    <w:rsid w:val="00867D3A"/>
    <w:rsid w:val="008705FD"/>
    <w:rsid w:val="00870655"/>
    <w:rsid w:val="008709AD"/>
    <w:rsid w:val="00870B65"/>
    <w:rsid w:val="00870DC6"/>
    <w:rsid w:val="00871140"/>
    <w:rsid w:val="00871294"/>
    <w:rsid w:val="0087140D"/>
    <w:rsid w:val="008715A5"/>
    <w:rsid w:val="008719AB"/>
    <w:rsid w:val="00871D7B"/>
    <w:rsid w:val="00871E5C"/>
    <w:rsid w:val="00871F21"/>
    <w:rsid w:val="00872007"/>
    <w:rsid w:val="0087232C"/>
    <w:rsid w:val="00872349"/>
    <w:rsid w:val="00872E94"/>
    <w:rsid w:val="00872F12"/>
    <w:rsid w:val="00873160"/>
    <w:rsid w:val="00873182"/>
    <w:rsid w:val="00873206"/>
    <w:rsid w:val="008735EC"/>
    <w:rsid w:val="008739AC"/>
    <w:rsid w:val="00873A4C"/>
    <w:rsid w:val="00873A79"/>
    <w:rsid w:val="00873DFA"/>
    <w:rsid w:val="00873E42"/>
    <w:rsid w:val="00874144"/>
    <w:rsid w:val="008742B3"/>
    <w:rsid w:val="008742E2"/>
    <w:rsid w:val="0087444A"/>
    <w:rsid w:val="00874588"/>
    <w:rsid w:val="008746B4"/>
    <w:rsid w:val="00874A5F"/>
    <w:rsid w:val="00874E57"/>
    <w:rsid w:val="00874FEB"/>
    <w:rsid w:val="008751A4"/>
    <w:rsid w:val="008751CB"/>
    <w:rsid w:val="00875576"/>
    <w:rsid w:val="008757FF"/>
    <w:rsid w:val="00875A5E"/>
    <w:rsid w:val="00875A74"/>
    <w:rsid w:val="00875BCE"/>
    <w:rsid w:val="00876509"/>
    <w:rsid w:val="00876524"/>
    <w:rsid w:val="0087691E"/>
    <w:rsid w:val="00876B0C"/>
    <w:rsid w:val="00876BD1"/>
    <w:rsid w:val="00876F19"/>
    <w:rsid w:val="008770BD"/>
    <w:rsid w:val="008771E6"/>
    <w:rsid w:val="00877340"/>
    <w:rsid w:val="00877558"/>
    <w:rsid w:val="008775E8"/>
    <w:rsid w:val="008778FA"/>
    <w:rsid w:val="008779A4"/>
    <w:rsid w:val="008779AC"/>
    <w:rsid w:val="00877AD3"/>
    <w:rsid w:val="00877C3A"/>
    <w:rsid w:val="00877ED6"/>
    <w:rsid w:val="0088015C"/>
    <w:rsid w:val="008803AA"/>
    <w:rsid w:val="008805D0"/>
    <w:rsid w:val="008806C4"/>
    <w:rsid w:val="00880988"/>
    <w:rsid w:val="00880E8C"/>
    <w:rsid w:val="0088106B"/>
    <w:rsid w:val="008811D6"/>
    <w:rsid w:val="008814CE"/>
    <w:rsid w:val="00881786"/>
    <w:rsid w:val="00881AA7"/>
    <w:rsid w:val="00881B6F"/>
    <w:rsid w:val="00882048"/>
    <w:rsid w:val="00882053"/>
    <w:rsid w:val="00882155"/>
    <w:rsid w:val="008822BA"/>
    <w:rsid w:val="0088270F"/>
    <w:rsid w:val="0088277E"/>
    <w:rsid w:val="00882958"/>
    <w:rsid w:val="00882AA4"/>
    <w:rsid w:val="00882D8B"/>
    <w:rsid w:val="0088301F"/>
    <w:rsid w:val="008831EA"/>
    <w:rsid w:val="0088336B"/>
    <w:rsid w:val="00883443"/>
    <w:rsid w:val="0088384C"/>
    <w:rsid w:val="008838FF"/>
    <w:rsid w:val="00883931"/>
    <w:rsid w:val="00883B75"/>
    <w:rsid w:val="00883E22"/>
    <w:rsid w:val="00883F6F"/>
    <w:rsid w:val="00884105"/>
    <w:rsid w:val="00884957"/>
    <w:rsid w:val="008849E5"/>
    <w:rsid w:val="00884AC6"/>
    <w:rsid w:val="00884DD4"/>
    <w:rsid w:val="00884E43"/>
    <w:rsid w:val="00884F64"/>
    <w:rsid w:val="00885A09"/>
    <w:rsid w:val="00885B17"/>
    <w:rsid w:val="00885EB2"/>
    <w:rsid w:val="00885EDA"/>
    <w:rsid w:val="00885EE3"/>
    <w:rsid w:val="00886219"/>
    <w:rsid w:val="008862DF"/>
    <w:rsid w:val="00886597"/>
    <w:rsid w:val="00886632"/>
    <w:rsid w:val="00886860"/>
    <w:rsid w:val="00886B4E"/>
    <w:rsid w:val="00886C9E"/>
    <w:rsid w:val="00886ECF"/>
    <w:rsid w:val="00886ED1"/>
    <w:rsid w:val="00887271"/>
    <w:rsid w:val="008872F7"/>
    <w:rsid w:val="00887898"/>
    <w:rsid w:val="00887C5B"/>
    <w:rsid w:val="00887D81"/>
    <w:rsid w:val="00887EC6"/>
    <w:rsid w:val="00887F8D"/>
    <w:rsid w:val="00890067"/>
    <w:rsid w:val="0089018A"/>
    <w:rsid w:val="008906E9"/>
    <w:rsid w:val="0089084C"/>
    <w:rsid w:val="00890E6F"/>
    <w:rsid w:val="00890F69"/>
    <w:rsid w:val="00891234"/>
    <w:rsid w:val="00891345"/>
    <w:rsid w:val="008917CA"/>
    <w:rsid w:val="00891955"/>
    <w:rsid w:val="008919C2"/>
    <w:rsid w:val="00891A67"/>
    <w:rsid w:val="00891EE4"/>
    <w:rsid w:val="008922E3"/>
    <w:rsid w:val="008924A3"/>
    <w:rsid w:val="008926F1"/>
    <w:rsid w:val="008929FC"/>
    <w:rsid w:val="00892E66"/>
    <w:rsid w:val="00892FE1"/>
    <w:rsid w:val="0089301F"/>
    <w:rsid w:val="00893105"/>
    <w:rsid w:val="008932DF"/>
    <w:rsid w:val="00893409"/>
    <w:rsid w:val="008936BD"/>
    <w:rsid w:val="00893879"/>
    <w:rsid w:val="00893C38"/>
    <w:rsid w:val="00893D9F"/>
    <w:rsid w:val="00893FF9"/>
    <w:rsid w:val="00894556"/>
    <w:rsid w:val="008946A2"/>
    <w:rsid w:val="008947DB"/>
    <w:rsid w:val="00894B9B"/>
    <w:rsid w:val="00894C19"/>
    <w:rsid w:val="00894EFE"/>
    <w:rsid w:val="00895089"/>
    <w:rsid w:val="00895303"/>
    <w:rsid w:val="008955D5"/>
    <w:rsid w:val="008959D5"/>
    <w:rsid w:val="00895F7E"/>
    <w:rsid w:val="00895FB0"/>
    <w:rsid w:val="0089608A"/>
    <w:rsid w:val="0089655E"/>
    <w:rsid w:val="00896A8A"/>
    <w:rsid w:val="00896E6F"/>
    <w:rsid w:val="00897006"/>
    <w:rsid w:val="008970E1"/>
    <w:rsid w:val="008973FE"/>
    <w:rsid w:val="008977EB"/>
    <w:rsid w:val="00897977"/>
    <w:rsid w:val="00897C99"/>
    <w:rsid w:val="008A02BB"/>
    <w:rsid w:val="008A0679"/>
    <w:rsid w:val="008A07E8"/>
    <w:rsid w:val="008A0A53"/>
    <w:rsid w:val="008A0B2C"/>
    <w:rsid w:val="008A1227"/>
    <w:rsid w:val="008A12B9"/>
    <w:rsid w:val="008A15BF"/>
    <w:rsid w:val="008A15CD"/>
    <w:rsid w:val="008A1737"/>
    <w:rsid w:val="008A1916"/>
    <w:rsid w:val="008A1A9F"/>
    <w:rsid w:val="008A1AA4"/>
    <w:rsid w:val="008A1B96"/>
    <w:rsid w:val="008A1FC4"/>
    <w:rsid w:val="008A20C8"/>
    <w:rsid w:val="008A2379"/>
    <w:rsid w:val="008A2869"/>
    <w:rsid w:val="008A2D58"/>
    <w:rsid w:val="008A3383"/>
    <w:rsid w:val="008A379A"/>
    <w:rsid w:val="008A37C0"/>
    <w:rsid w:val="008A39BD"/>
    <w:rsid w:val="008A3C22"/>
    <w:rsid w:val="008A3CC0"/>
    <w:rsid w:val="008A418D"/>
    <w:rsid w:val="008A4329"/>
    <w:rsid w:val="008A449F"/>
    <w:rsid w:val="008A44AF"/>
    <w:rsid w:val="008A468A"/>
    <w:rsid w:val="008A4767"/>
    <w:rsid w:val="008A4776"/>
    <w:rsid w:val="008A49B4"/>
    <w:rsid w:val="008A4C58"/>
    <w:rsid w:val="008A4E38"/>
    <w:rsid w:val="008A4F00"/>
    <w:rsid w:val="008A5318"/>
    <w:rsid w:val="008A578E"/>
    <w:rsid w:val="008A5BCA"/>
    <w:rsid w:val="008A5CE8"/>
    <w:rsid w:val="008A5DC6"/>
    <w:rsid w:val="008A6237"/>
    <w:rsid w:val="008A62E8"/>
    <w:rsid w:val="008A638E"/>
    <w:rsid w:val="008A63B0"/>
    <w:rsid w:val="008A679C"/>
    <w:rsid w:val="008A6931"/>
    <w:rsid w:val="008A6CFE"/>
    <w:rsid w:val="008A6DE2"/>
    <w:rsid w:val="008A6EFB"/>
    <w:rsid w:val="008A7052"/>
    <w:rsid w:val="008A7165"/>
    <w:rsid w:val="008A723B"/>
    <w:rsid w:val="008A746B"/>
    <w:rsid w:val="008A7CFE"/>
    <w:rsid w:val="008A7EE6"/>
    <w:rsid w:val="008B0055"/>
    <w:rsid w:val="008B014F"/>
    <w:rsid w:val="008B017A"/>
    <w:rsid w:val="008B0407"/>
    <w:rsid w:val="008B0AF4"/>
    <w:rsid w:val="008B0B9E"/>
    <w:rsid w:val="008B0EFF"/>
    <w:rsid w:val="008B104A"/>
    <w:rsid w:val="008B13D5"/>
    <w:rsid w:val="008B1519"/>
    <w:rsid w:val="008B1583"/>
    <w:rsid w:val="008B16D3"/>
    <w:rsid w:val="008B18D4"/>
    <w:rsid w:val="008B19FE"/>
    <w:rsid w:val="008B1A6A"/>
    <w:rsid w:val="008B1B8B"/>
    <w:rsid w:val="008B1BF2"/>
    <w:rsid w:val="008B1D4B"/>
    <w:rsid w:val="008B1DAE"/>
    <w:rsid w:val="008B1EA3"/>
    <w:rsid w:val="008B1FFC"/>
    <w:rsid w:val="008B2179"/>
    <w:rsid w:val="008B2636"/>
    <w:rsid w:val="008B281E"/>
    <w:rsid w:val="008B282E"/>
    <w:rsid w:val="008B28B8"/>
    <w:rsid w:val="008B2C2C"/>
    <w:rsid w:val="008B2DC3"/>
    <w:rsid w:val="008B2F9B"/>
    <w:rsid w:val="008B2FC1"/>
    <w:rsid w:val="008B346D"/>
    <w:rsid w:val="008B360A"/>
    <w:rsid w:val="008B3613"/>
    <w:rsid w:val="008B3713"/>
    <w:rsid w:val="008B37A8"/>
    <w:rsid w:val="008B397E"/>
    <w:rsid w:val="008B39EC"/>
    <w:rsid w:val="008B3C5E"/>
    <w:rsid w:val="008B3DD4"/>
    <w:rsid w:val="008B3E7B"/>
    <w:rsid w:val="008B3F72"/>
    <w:rsid w:val="008B4284"/>
    <w:rsid w:val="008B490E"/>
    <w:rsid w:val="008B49F8"/>
    <w:rsid w:val="008B4B41"/>
    <w:rsid w:val="008B4E26"/>
    <w:rsid w:val="008B5129"/>
    <w:rsid w:val="008B5BC6"/>
    <w:rsid w:val="008B5EC3"/>
    <w:rsid w:val="008B64AC"/>
    <w:rsid w:val="008B66CA"/>
    <w:rsid w:val="008B6869"/>
    <w:rsid w:val="008B68FC"/>
    <w:rsid w:val="008B7078"/>
    <w:rsid w:val="008B728D"/>
    <w:rsid w:val="008B72C5"/>
    <w:rsid w:val="008B72D6"/>
    <w:rsid w:val="008B7BB1"/>
    <w:rsid w:val="008B7BCC"/>
    <w:rsid w:val="008B7D4C"/>
    <w:rsid w:val="008B7FE4"/>
    <w:rsid w:val="008C0752"/>
    <w:rsid w:val="008C0A4C"/>
    <w:rsid w:val="008C0C12"/>
    <w:rsid w:val="008C1219"/>
    <w:rsid w:val="008C1596"/>
    <w:rsid w:val="008C1AFA"/>
    <w:rsid w:val="008C1F49"/>
    <w:rsid w:val="008C1F8A"/>
    <w:rsid w:val="008C2B38"/>
    <w:rsid w:val="008C2D2C"/>
    <w:rsid w:val="008C2E58"/>
    <w:rsid w:val="008C3596"/>
    <w:rsid w:val="008C39A3"/>
    <w:rsid w:val="008C3C51"/>
    <w:rsid w:val="008C3CEB"/>
    <w:rsid w:val="008C3F4D"/>
    <w:rsid w:val="008C40DC"/>
    <w:rsid w:val="008C463D"/>
    <w:rsid w:val="008C4851"/>
    <w:rsid w:val="008C4960"/>
    <w:rsid w:val="008C4CE5"/>
    <w:rsid w:val="008C4E24"/>
    <w:rsid w:val="008C50C3"/>
    <w:rsid w:val="008C58A7"/>
    <w:rsid w:val="008C5D2A"/>
    <w:rsid w:val="008C5F47"/>
    <w:rsid w:val="008C6011"/>
    <w:rsid w:val="008C6024"/>
    <w:rsid w:val="008C60C9"/>
    <w:rsid w:val="008C6218"/>
    <w:rsid w:val="008C6282"/>
    <w:rsid w:val="008C63D0"/>
    <w:rsid w:val="008C643C"/>
    <w:rsid w:val="008C6C7F"/>
    <w:rsid w:val="008C6D0A"/>
    <w:rsid w:val="008C6DBF"/>
    <w:rsid w:val="008C6DD5"/>
    <w:rsid w:val="008C6E2A"/>
    <w:rsid w:val="008C6E4C"/>
    <w:rsid w:val="008C6F28"/>
    <w:rsid w:val="008C7094"/>
    <w:rsid w:val="008C76BC"/>
    <w:rsid w:val="008C7899"/>
    <w:rsid w:val="008C7901"/>
    <w:rsid w:val="008C791E"/>
    <w:rsid w:val="008C7FEC"/>
    <w:rsid w:val="008D049B"/>
    <w:rsid w:val="008D05E8"/>
    <w:rsid w:val="008D0617"/>
    <w:rsid w:val="008D0AAD"/>
    <w:rsid w:val="008D0BA7"/>
    <w:rsid w:val="008D0C9B"/>
    <w:rsid w:val="008D0CF1"/>
    <w:rsid w:val="008D0D93"/>
    <w:rsid w:val="008D0DD9"/>
    <w:rsid w:val="008D103D"/>
    <w:rsid w:val="008D106F"/>
    <w:rsid w:val="008D15F2"/>
    <w:rsid w:val="008D17CE"/>
    <w:rsid w:val="008D1A38"/>
    <w:rsid w:val="008D1AF8"/>
    <w:rsid w:val="008D1B69"/>
    <w:rsid w:val="008D1DE4"/>
    <w:rsid w:val="008D1E07"/>
    <w:rsid w:val="008D2093"/>
    <w:rsid w:val="008D20C8"/>
    <w:rsid w:val="008D2233"/>
    <w:rsid w:val="008D2461"/>
    <w:rsid w:val="008D2B97"/>
    <w:rsid w:val="008D2FB4"/>
    <w:rsid w:val="008D3206"/>
    <w:rsid w:val="008D3263"/>
    <w:rsid w:val="008D3366"/>
    <w:rsid w:val="008D3570"/>
    <w:rsid w:val="008D3808"/>
    <w:rsid w:val="008D38FD"/>
    <w:rsid w:val="008D3F88"/>
    <w:rsid w:val="008D45EA"/>
    <w:rsid w:val="008D4824"/>
    <w:rsid w:val="008D4878"/>
    <w:rsid w:val="008D49A5"/>
    <w:rsid w:val="008D4C08"/>
    <w:rsid w:val="008D4C1A"/>
    <w:rsid w:val="008D4C7F"/>
    <w:rsid w:val="008D4D23"/>
    <w:rsid w:val="008D4D7E"/>
    <w:rsid w:val="008D4F70"/>
    <w:rsid w:val="008D4F89"/>
    <w:rsid w:val="008D5017"/>
    <w:rsid w:val="008D50E3"/>
    <w:rsid w:val="008D5996"/>
    <w:rsid w:val="008D5A99"/>
    <w:rsid w:val="008D5E58"/>
    <w:rsid w:val="008D61B9"/>
    <w:rsid w:val="008D6202"/>
    <w:rsid w:val="008D6231"/>
    <w:rsid w:val="008D663E"/>
    <w:rsid w:val="008D66BB"/>
    <w:rsid w:val="008D6896"/>
    <w:rsid w:val="008D6898"/>
    <w:rsid w:val="008D6BAB"/>
    <w:rsid w:val="008D6C81"/>
    <w:rsid w:val="008D7023"/>
    <w:rsid w:val="008D707F"/>
    <w:rsid w:val="008D7289"/>
    <w:rsid w:val="008D7A73"/>
    <w:rsid w:val="008D7F45"/>
    <w:rsid w:val="008D7F96"/>
    <w:rsid w:val="008E018D"/>
    <w:rsid w:val="008E0429"/>
    <w:rsid w:val="008E0430"/>
    <w:rsid w:val="008E0953"/>
    <w:rsid w:val="008E0CB8"/>
    <w:rsid w:val="008E0D0C"/>
    <w:rsid w:val="008E1557"/>
    <w:rsid w:val="008E1791"/>
    <w:rsid w:val="008E17A7"/>
    <w:rsid w:val="008E1B19"/>
    <w:rsid w:val="008E1B9B"/>
    <w:rsid w:val="008E1BBD"/>
    <w:rsid w:val="008E1C79"/>
    <w:rsid w:val="008E226D"/>
    <w:rsid w:val="008E22E3"/>
    <w:rsid w:val="008E2525"/>
    <w:rsid w:val="008E2D47"/>
    <w:rsid w:val="008E3196"/>
    <w:rsid w:val="008E326A"/>
    <w:rsid w:val="008E336C"/>
    <w:rsid w:val="008E33E4"/>
    <w:rsid w:val="008E3499"/>
    <w:rsid w:val="008E35A6"/>
    <w:rsid w:val="008E35BC"/>
    <w:rsid w:val="008E38B8"/>
    <w:rsid w:val="008E3B8B"/>
    <w:rsid w:val="008E3C03"/>
    <w:rsid w:val="008E443F"/>
    <w:rsid w:val="008E4482"/>
    <w:rsid w:val="008E46CD"/>
    <w:rsid w:val="008E4725"/>
    <w:rsid w:val="008E473A"/>
    <w:rsid w:val="008E4778"/>
    <w:rsid w:val="008E4843"/>
    <w:rsid w:val="008E4976"/>
    <w:rsid w:val="008E4B24"/>
    <w:rsid w:val="008E5097"/>
    <w:rsid w:val="008E530E"/>
    <w:rsid w:val="008E5595"/>
    <w:rsid w:val="008E5B8F"/>
    <w:rsid w:val="008E5E63"/>
    <w:rsid w:val="008E68C8"/>
    <w:rsid w:val="008E6CF0"/>
    <w:rsid w:val="008E6EA1"/>
    <w:rsid w:val="008E7095"/>
    <w:rsid w:val="008E7300"/>
    <w:rsid w:val="008E76CF"/>
    <w:rsid w:val="008E796E"/>
    <w:rsid w:val="008E7A77"/>
    <w:rsid w:val="008E7AC9"/>
    <w:rsid w:val="008E7E2C"/>
    <w:rsid w:val="008F016C"/>
    <w:rsid w:val="008F01B4"/>
    <w:rsid w:val="008F044B"/>
    <w:rsid w:val="008F0736"/>
    <w:rsid w:val="008F08A8"/>
    <w:rsid w:val="008F0C92"/>
    <w:rsid w:val="008F1011"/>
    <w:rsid w:val="008F12F6"/>
    <w:rsid w:val="008F1439"/>
    <w:rsid w:val="008F16F1"/>
    <w:rsid w:val="008F1C76"/>
    <w:rsid w:val="008F1E10"/>
    <w:rsid w:val="008F2201"/>
    <w:rsid w:val="008F230F"/>
    <w:rsid w:val="008F2314"/>
    <w:rsid w:val="008F234F"/>
    <w:rsid w:val="008F245B"/>
    <w:rsid w:val="008F24B8"/>
    <w:rsid w:val="008F2770"/>
    <w:rsid w:val="008F28BF"/>
    <w:rsid w:val="008F2B12"/>
    <w:rsid w:val="008F2B64"/>
    <w:rsid w:val="008F31D1"/>
    <w:rsid w:val="008F3227"/>
    <w:rsid w:val="008F366F"/>
    <w:rsid w:val="008F418D"/>
    <w:rsid w:val="008F48ED"/>
    <w:rsid w:val="008F50F3"/>
    <w:rsid w:val="008F52AC"/>
    <w:rsid w:val="008F535A"/>
    <w:rsid w:val="008F53A6"/>
    <w:rsid w:val="008F5602"/>
    <w:rsid w:val="008F5655"/>
    <w:rsid w:val="008F5958"/>
    <w:rsid w:val="008F5973"/>
    <w:rsid w:val="008F59D9"/>
    <w:rsid w:val="008F5A32"/>
    <w:rsid w:val="008F5B4E"/>
    <w:rsid w:val="008F6601"/>
    <w:rsid w:val="008F6767"/>
    <w:rsid w:val="008F6995"/>
    <w:rsid w:val="008F6E84"/>
    <w:rsid w:val="008F6FED"/>
    <w:rsid w:val="008F7051"/>
    <w:rsid w:val="008F705B"/>
    <w:rsid w:val="008F71B6"/>
    <w:rsid w:val="008F721C"/>
    <w:rsid w:val="008F737A"/>
    <w:rsid w:val="008F738C"/>
    <w:rsid w:val="008F77C1"/>
    <w:rsid w:val="008F7A18"/>
    <w:rsid w:val="008F7BF3"/>
    <w:rsid w:val="00900041"/>
    <w:rsid w:val="00900258"/>
    <w:rsid w:val="00900506"/>
    <w:rsid w:val="00900952"/>
    <w:rsid w:val="009009C4"/>
    <w:rsid w:val="00900A44"/>
    <w:rsid w:val="00900EB3"/>
    <w:rsid w:val="00900F64"/>
    <w:rsid w:val="00900FFC"/>
    <w:rsid w:val="009011FB"/>
    <w:rsid w:val="009012AD"/>
    <w:rsid w:val="00901602"/>
    <w:rsid w:val="00901E4A"/>
    <w:rsid w:val="00901F7B"/>
    <w:rsid w:val="0090209E"/>
    <w:rsid w:val="009026D3"/>
    <w:rsid w:val="00902A75"/>
    <w:rsid w:val="00902AF8"/>
    <w:rsid w:val="00902D40"/>
    <w:rsid w:val="00902F98"/>
    <w:rsid w:val="0090300B"/>
    <w:rsid w:val="009030A3"/>
    <w:rsid w:val="009033A0"/>
    <w:rsid w:val="009033A9"/>
    <w:rsid w:val="00903525"/>
    <w:rsid w:val="00903A7E"/>
    <w:rsid w:val="00903C43"/>
    <w:rsid w:val="00903D33"/>
    <w:rsid w:val="00903D8A"/>
    <w:rsid w:val="00903E3B"/>
    <w:rsid w:val="00904001"/>
    <w:rsid w:val="009041AD"/>
    <w:rsid w:val="00904958"/>
    <w:rsid w:val="00904CED"/>
    <w:rsid w:val="00905608"/>
    <w:rsid w:val="0090575D"/>
    <w:rsid w:val="0090581D"/>
    <w:rsid w:val="00906B38"/>
    <w:rsid w:val="00906F5D"/>
    <w:rsid w:val="0090703F"/>
    <w:rsid w:val="0090759A"/>
    <w:rsid w:val="00907788"/>
    <w:rsid w:val="00907CAB"/>
    <w:rsid w:val="00910137"/>
    <w:rsid w:val="00910721"/>
    <w:rsid w:val="00910737"/>
    <w:rsid w:val="00910992"/>
    <w:rsid w:val="00910B93"/>
    <w:rsid w:val="0091106C"/>
    <w:rsid w:val="009111DF"/>
    <w:rsid w:val="0091132D"/>
    <w:rsid w:val="00911600"/>
    <w:rsid w:val="0091161F"/>
    <w:rsid w:val="009116A4"/>
    <w:rsid w:val="00911876"/>
    <w:rsid w:val="009118AE"/>
    <w:rsid w:val="0091198A"/>
    <w:rsid w:val="009119B1"/>
    <w:rsid w:val="00911C9A"/>
    <w:rsid w:val="00911CB4"/>
    <w:rsid w:val="00911D45"/>
    <w:rsid w:val="00912170"/>
    <w:rsid w:val="00912784"/>
    <w:rsid w:val="009129FB"/>
    <w:rsid w:val="00912C1E"/>
    <w:rsid w:val="00912D29"/>
    <w:rsid w:val="0091338F"/>
    <w:rsid w:val="009133B2"/>
    <w:rsid w:val="00913966"/>
    <w:rsid w:val="00913D3F"/>
    <w:rsid w:val="00914000"/>
    <w:rsid w:val="009142F4"/>
    <w:rsid w:val="0091439C"/>
    <w:rsid w:val="009145A0"/>
    <w:rsid w:val="009148E6"/>
    <w:rsid w:val="00914D37"/>
    <w:rsid w:val="0091521B"/>
    <w:rsid w:val="00915240"/>
    <w:rsid w:val="009152D3"/>
    <w:rsid w:val="0091562C"/>
    <w:rsid w:val="00915855"/>
    <w:rsid w:val="00915861"/>
    <w:rsid w:val="00915918"/>
    <w:rsid w:val="00915981"/>
    <w:rsid w:val="009168E9"/>
    <w:rsid w:val="00916953"/>
    <w:rsid w:val="00916AB7"/>
    <w:rsid w:val="00916BB1"/>
    <w:rsid w:val="00916BEB"/>
    <w:rsid w:val="00916D73"/>
    <w:rsid w:val="00917041"/>
    <w:rsid w:val="00917469"/>
    <w:rsid w:val="0091766E"/>
    <w:rsid w:val="009176BA"/>
    <w:rsid w:val="00917915"/>
    <w:rsid w:val="00917966"/>
    <w:rsid w:val="00917B04"/>
    <w:rsid w:val="00917BCF"/>
    <w:rsid w:val="00917E5D"/>
    <w:rsid w:val="00920168"/>
    <w:rsid w:val="009203F2"/>
    <w:rsid w:val="00920572"/>
    <w:rsid w:val="00920878"/>
    <w:rsid w:val="0092092C"/>
    <w:rsid w:val="00920B35"/>
    <w:rsid w:val="00920BF2"/>
    <w:rsid w:val="00920F9E"/>
    <w:rsid w:val="009211C9"/>
    <w:rsid w:val="009211E8"/>
    <w:rsid w:val="00921280"/>
    <w:rsid w:val="009213EF"/>
    <w:rsid w:val="00921547"/>
    <w:rsid w:val="00921657"/>
    <w:rsid w:val="0092169A"/>
    <w:rsid w:val="009219CA"/>
    <w:rsid w:val="00921D91"/>
    <w:rsid w:val="00921DF5"/>
    <w:rsid w:val="00922074"/>
    <w:rsid w:val="0092207F"/>
    <w:rsid w:val="00922420"/>
    <w:rsid w:val="00922646"/>
    <w:rsid w:val="00922673"/>
    <w:rsid w:val="00922855"/>
    <w:rsid w:val="009228A0"/>
    <w:rsid w:val="00922937"/>
    <w:rsid w:val="00922BEF"/>
    <w:rsid w:val="00922CF5"/>
    <w:rsid w:val="00923278"/>
    <w:rsid w:val="009232DD"/>
    <w:rsid w:val="0092362B"/>
    <w:rsid w:val="009239B4"/>
    <w:rsid w:val="00923D1F"/>
    <w:rsid w:val="00924345"/>
    <w:rsid w:val="00924476"/>
    <w:rsid w:val="00924519"/>
    <w:rsid w:val="00924870"/>
    <w:rsid w:val="00924891"/>
    <w:rsid w:val="0092497A"/>
    <w:rsid w:val="009249E3"/>
    <w:rsid w:val="00924B1C"/>
    <w:rsid w:val="00925006"/>
    <w:rsid w:val="00925031"/>
    <w:rsid w:val="009250E0"/>
    <w:rsid w:val="00925157"/>
    <w:rsid w:val="00925460"/>
    <w:rsid w:val="0092549A"/>
    <w:rsid w:val="009254D9"/>
    <w:rsid w:val="00925A66"/>
    <w:rsid w:val="00925AC2"/>
    <w:rsid w:val="00925C02"/>
    <w:rsid w:val="00926284"/>
    <w:rsid w:val="00926AA5"/>
    <w:rsid w:val="00927274"/>
    <w:rsid w:val="009272EB"/>
    <w:rsid w:val="00927324"/>
    <w:rsid w:val="0092734D"/>
    <w:rsid w:val="00927777"/>
    <w:rsid w:val="009277FF"/>
    <w:rsid w:val="009278F4"/>
    <w:rsid w:val="00927CEA"/>
    <w:rsid w:val="00927FF0"/>
    <w:rsid w:val="00930118"/>
    <w:rsid w:val="009301B1"/>
    <w:rsid w:val="009307DF"/>
    <w:rsid w:val="00930A13"/>
    <w:rsid w:val="00930B79"/>
    <w:rsid w:val="0093131B"/>
    <w:rsid w:val="009314F5"/>
    <w:rsid w:val="009318EF"/>
    <w:rsid w:val="00931B10"/>
    <w:rsid w:val="00931EC6"/>
    <w:rsid w:val="00931FC3"/>
    <w:rsid w:val="009322F2"/>
    <w:rsid w:val="00932453"/>
    <w:rsid w:val="00932917"/>
    <w:rsid w:val="00932CF1"/>
    <w:rsid w:val="00932D4E"/>
    <w:rsid w:val="00932E9C"/>
    <w:rsid w:val="009330C0"/>
    <w:rsid w:val="009331B9"/>
    <w:rsid w:val="00933365"/>
    <w:rsid w:val="0093391B"/>
    <w:rsid w:val="00933930"/>
    <w:rsid w:val="00933E37"/>
    <w:rsid w:val="00933E60"/>
    <w:rsid w:val="009340FB"/>
    <w:rsid w:val="00934150"/>
    <w:rsid w:val="00934272"/>
    <w:rsid w:val="00934478"/>
    <w:rsid w:val="009348CE"/>
    <w:rsid w:val="009349A9"/>
    <w:rsid w:val="009350DF"/>
    <w:rsid w:val="00935503"/>
    <w:rsid w:val="0093553D"/>
    <w:rsid w:val="0093557A"/>
    <w:rsid w:val="00935585"/>
    <w:rsid w:val="009358FF"/>
    <w:rsid w:val="0093620F"/>
    <w:rsid w:val="009362FA"/>
    <w:rsid w:val="00936371"/>
    <w:rsid w:val="0093639B"/>
    <w:rsid w:val="00936554"/>
    <w:rsid w:val="009366E0"/>
    <w:rsid w:val="00936854"/>
    <w:rsid w:val="00936946"/>
    <w:rsid w:val="00936C52"/>
    <w:rsid w:val="00936CD6"/>
    <w:rsid w:val="00937040"/>
    <w:rsid w:val="009378C2"/>
    <w:rsid w:val="00937AD1"/>
    <w:rsid w:val="00937CC9"/>
    <w:rsid w:val="00937DAB"/>
    <w:rsid w:val="00937ECF"/>
    <w:rsid w:val="00940044"/>
    <w:rsid w:val="00940153"/>
    <w:rsid w:val="0094016E"/>
    <w:rsid w:val="009401CE"/>
    <w:rsid w:val="0094029F"/>
    <w:rsid w:val="00940332"/>
    <w:rsid w:val="0094068B"/>
    <w:rsid w:val="00940A2A"/>
    <w:rsid w:val="00940B7D"/>
    <w:rsid w:val="00940DD2"/>
    <w:rsid w:val="00940DE4"/>
    <w:rsid w:val="00940F09"/>
    <w:rsid w:val="00941082"/>
    <w:rsid w:val="00941280"/>
    <w:rsid w:val="009415C0"/>
    <w:rsid w:val="00941814"/>
    <w:rsid w:val="00941A93"/>
    <w:rsid w:val="00941C6F"/>
    <w:rsid w:val="0094204D"/>
    <w:rsid w:val="009420D8"/>
    <w:rsid w:val="0094235C"/>
    <w:rsid w:val="00942499"/>
    <w:rsid w:val="009425DB"/>
    <w:rsid w:val="0094284F"/>
    <w:rsid w:val="009428C0"/>
    <w:rsid w:val="00942BC9"/>
    <w:rsid w:val="0094307D"/>
    <w:rsid w:val="00943227"/>
    <w:rsid w:val="00943291"/>
    <w:rsid w:val="00943593"/>
    <w:rsid w:val="0094377B"/>
    <w:rsid w:val="00943808"/>
    <w:rsid w:val="00943AD3"/>
    <w:rsid w:val="009441A3"/>
    <w:rsid w:val="00944CA4"/>
    <w:rsid w:val="00944D4A"/>
    <w:rsid w:val="00944E10"/>
    <w:rsid w:val="00944FAB"/>
    <w:rsid w:val="009450D8"/>
    <w:rsid w:val="009450DF"/>
    <w:rsid w:val="009451DB"/>
    <w:rsid w:val="0094534D"/>
    <w:rsid w:val="00945553"/>
    <w:rsid w:val="009457DD"/>
    <w:rsid w:val="00945913"/>
    <w:rsid w:val="00945BC3"/>
    <w:rsid w:val="00945CA3"/>
    <w:rsid w:val="00945E10"/>
    <w:rsid w:val="00946555"/>
    <w:rsid w:val="00946556"/>
    <w:rsid w:val="00946B34"/>
    <w:rsid w:val="00946B48"/>
    <w:rsid w:val="00946F11"/>
    <w:rsid w:val="00947341"/>
    <w:rsid w:val="009476AD"/>
    <w:rsid w:val="0094780B"/>
    <w:rsid w:val="00947997"/>
    <w:rsid w:val="009479D2"/>
    <w:rsid w:val="00947BAB"/>
    <w:rsid w:val="009500C8"/>
    <w:rsid w:val="009502E0"/>
    <w:rsid w:val="00950898"/>
    <w:rsid w:val="00950AE9"/>
    <w:rsid w:val="00950CC9"/>
    <w:rsid w:val="00950E2E"/>
    <w:rsid w:val="00950F55"/>
    <w:rsid w:val="00951148"/>
    <w:rsid w:val="0095117D"/>
    <w:rsid w:val="009512F4"/>
    <w:rsid w:val="0095161D"/>
    <w:rsid w:val="00951863"/>
    <w:rsid w:val="00951907"/>
    <w:rsid w:val="009525AE"/>
    <w:rsid w:val="0095277A"/>
    <w:rsid w:val="009528FE"/>
    <w:rsid w:val="00952AA1"/>
    <w:rsid w:val="00952C94"/>
    <w:rsid w:val="00952E1A"/>
    <w:rsid w:val="009533A1"/>
    <w:rsid w:val="00953A87"/>
    <w:rsid w:val="00954049"/>
    <w:rsid w:val="00954298"/>
    <w:rsid w:val="009543E6"/>
    <w:rsid w:val="009545C1"/>
    <w:rsid w:val="00954718"/>
    <w:rsid w:val="00954749"/>
    <w:rsid w:val="00954844"/>
    <w:rsid w:val="0095489B"/>
    <w:rsid w:val="0095490C"/>
    <w:rsid w:val="00954945"/>
    <w:rsid w:val="00954959"/>
    <w:rsid w:val="00954BCD"/>
    <w:rsid w:val="00954E4F"/>
    <w:rsid w:val="00954E83"/>
    <w:rsid w:val="00954F57"/>
    <w:rsid w:val="00955704"/>
    <w:rsid w:val="00955733"/>
    <w:rsid w:val="00955799"/>
    <w:rsid w:val="0095579C"/>
    <w:rsid w:val="00955836"/>
    <w:rsid w:val="00955A68"/>
    <w:rsid w:val="00955B02"/>
    <w:rsid w:val="00955B9B"/>
    <w:rsid w:val="00955C6E"/>
    <w:rsid w:val="00955DB3"/>
    <w:rsid w:val="00955E60"/>
    <w:rsid w:val="009561BE"/>
    <w:rsid w:val="009567BF"/>
    <w:rsid w:val="00956877"/>
    <w:rsid w:val="00956951"/>
    <w:rsid w:val="00956954"/>
    <w:rsid w:val="00956A30"/>
    <w:rsid w:val="00956B7F"/>
    <w:rsid w:val="00956F26"/>
    <w:rsid w:val="00957052"/>
    <w:rsid w:val="00957622"/>
    <w:rsid w:val="00957696"/>
    <w:rsid w:val="00957975"/>
    <w:rsid w:val="00957F98"/>
    <w:rsid w:val="00960189"/>
    <w:rsid w:val="009603F1"/>
    <w:rsid w:val="00960780"/>
    <w:rsid w:val="00960800"/>
    <w:rsid w:val="00960816"/>
    <w:rsid w:val="00960837"/>
    <w:rsid w:val="009608E7"/>
    <w:rsid w:val="00960999"/>
    <w:rsid w:val="00960B3B"/>
    <w:rsid w:val="00960CD5"/>
    <w:rsid w:val="00960DF4"/>
    <w:rsid w:val="00960E60"/>
    <w:rsid w:val="00961407"/>
    <w:rsid w:val="009619DD"/>
    <w:rsid w:val="00961BDB"/>
    <w:rsid w:val="00961F43"/>
    <w:rsid w:val="00961F69"/>
    <w:rsid w:val="0096204B"/>
    <w:rsid w:val="009622EB"/>
    <w:rsid w:val="00962521"/>
    <w:rsid w:val="00962685"/>
    <w:rsid w:val="00962700"/>
    <w:rsid w:val="00962993"/>
    <w:rsid w:val="00962A63"/>
    <w:rsid w:val="00962EC1"/>
    <w:rsid w:val="0096322F"/>
    <w:rsid w:val="00963582"/>
    <w:rsid w:val="009636F1"/>
    <w:rsid w:val="00963834"/>
    <w:rsid w:val="00963BE6"/>
    <w:rsid w:val="00963E95"/>
    <w:rsid w:val="00964494"/>
    <w:rsid w:val="00964625"/>
    <w:rsid w:val="00964A0E"/>
    <w:rsid w:val="00964E70"/>
    <w:rsid w:val="0096511C"/>
    <w:rsid w:val="00965125"/>
    <w:rsid w:val="0096562F"/>
    <w:rsid w:val="009657D9"/>
    <w:rsid w:val="00965E73"/>
    <w:rsid w:val="00965F88"/>
    <w:rsid w:val="0096606A"/>
    <w:rsid w:val="009663D0"/>
    <w:rsid w:val="00966578"/>
    <w:rsid w:val="00966DFC"/>
    <w:rsid w:val="00966E21"/>
    <w:rsid w:val="00966FB9"/>
    <w:rsid w:val="00967100"/>
    <w:rsid w:val="009671CD"/>
    <w:rsid w:val="009672A5"/>
    <w:rsid w:val="00967302"/>
    <w:rsid w:val="009674A9"/>
    <w:rsid w:val="00967613"/>
    <w:rsid w:val="009677B4"/>
    <w:rsid w:val="00967CA2"/>
    <w:rsid w:val="00967D8F"/>
    <w:rsid w:val="00970073"/>
    <w:rsid w:val="00970592"/>
    <w:rsid w:val="009705E7"/>
    <w:rsid w:val="00970628"/>
    <w:rsid w:val="00970BA1"/>
    <w:rsid w:val="00970EB8"/>
    <w:rsid w:val="00971BE3"/>
    <w:rsid w:val="00971D55"/>
    <w:rsid w:val="009721E2"/>
    <w:rsid w:val="00972417"/>
    <w:rsid w:val="0097249D"/>
    <w:rsid w:val="009724AC"/>
    <w:rsid w:val="00972582"/>
    <w:rsid w:val="0097263E"/>
    <w:rsid w:val="009726E5"/>
    <w:rsid w:val="00972DA7"/>
    <w:rsid w:val="00972FC4"/>
    <w:rsid w:val="00972FDF"/>
    <w:rsid w:val="009735BF"/>
    <w:rsid w:val="00973A04"/>
    <w:rsid w:val="00973A9A"/>
    <w:rsid w:val="00973F5A"/>
    <w:rsid w:val="009740B5"/>
    <w:rsid w:val="009741C7"/>
    <w:rsid w:val="00974273"/>
    <w:rsid w:val="00974379"/>
    <w:rsid w:val="0097466C"/>
    <w:rsid w:val="00974759"/>
    <w:rsid w:val="0097495E"/>
    <w:rsid w:val="00974AD1"/>
    <w:rsid w:val="00974B6E"/>
    <w:rsid w:val="00974CF1"/>
    <w:rsid w:val="00974D1F"/>
    <w:rsid w:val="009751A9"/>
    <w:rsid w:val="009753AD"/>
    <w:rsid w:val="00975534"/>
    <w:rsid w:val="00975847"/>
    <w:rsid w:val="00975911"/>
    <w:rsid w:val="00975E62"/>
    <w:rsid w:val="00975E7C"/>
    <w:rsid w:val="00975FD7"/>
    <w:rsid w:val="00976210"/>
    <w:rsid w:val="00976232"/>
    <w:rsid w:val="00976407"/>
    <w:rsid w:val="00976427"/>
    <w:rsid w:val="00976531"/>
    <w:rsid w:val="009765AA"/>
    <w:rsid w:val="00976799"/>
    <w:rsid w:val="00976C1B"/>
    <w:rsid w:val="0097727B"/>
    <w:rsid w:val="00977CCB"/>
    <w:rsid w:val="00977D28"/>
    <w:rsid w:val="00977FD8"/>
    <w:rsid w:val="0098020B"/>
    <w:rsid w:val="0098032F"/>
    <w:rsid w:val="00980388"/>
    <w:rsid w:val="00980473"/>
    <w:rsid w:val="009805BB"/>
    <w:rsid w:val="0098082B"/>
    <w:rsid w:val="00980AD6"/>
    <w:rsid w:val="00980B6C"/>
    <w:rsid w:val="00980F9C"/>
    <w:rsid w:val="009810DA"/>
    <w:rsid w:val="009811AD"/>
    <w:rsid w:val="009812B6"/>
    <w:rsid w:val="009813B9"/>
    <w:rsid w:val="00981439"/>
    <w:rsid w:val="0098225C"/>
    <w:rsid w:val="00982A78"/>
    <w:rsid w:val="00982BC1"/>
    <w:rsid w:val="00982C76"/>
    <w:rsid w:val="00982D9B"/>
    <w:rsid w:val="00983009"/>
    <w:rsid w:val="0098395C"/>
    <w:rsid w:val="0098399B"/>
    <w:rsid w:val="00983B05"/>
    <w:rsid w:val="00983F9E"/>
    <w:rsid w:val="00984481"/>
    <w:rsid w:val="009845A5"/>
    <w:rsid w:val="009847A0"/>
    <w:rsid w:val="009848CF"/>
    <w:rsid w:val="00984A0F"/>
    <w:rsid w:val="00984AD1"/>
    <w:rsid w:val="00984C80"/>
    <w:rsid w:val="00985494"/>
    <w:rsid w:val="0098552E"/>
    <w:rsid w:val="00985830"/>
    <w:rsid w:val="00985A3A"/>
    <w:rsid w:val="00985AAA"/>
    <w:rsid w:val="0098632B"/>
    <w:rsid w:val="00986345"/>
    <w:rsid w:val="0098634A"/>
    <w:rsid w:val="009865D2"/>
    <w:rsid w:val="00986787"/>
    <w:rsid w:val="0098681F"/>
    <w:rsid w:val="00986CD1"/>
    <w:rsid w:val="009870ED"/>
    <w:rsid w:val="0098714A"/>
    <w:rsid w:val="009874DA"/>
    <w:rsid w:val="00987516"/>
    <w:rsid w:val="00987611"/>
    <w:rsid w:val="00987796"/>
    <w:rsid w:val="0098795E"/>
    <w:rsid w:val="00987CA9"/>
    <w:rsid w:val="009903B9"/>
    <w:rsid w:val="009904B8"/>
    <w:rsid w:val="00990692"/>
    <w:rsid w:val="009909A9"/>
    <w:rsid w:val="00990AA3"/>
    <w:rsid w:val="00990AC9"/>
    <w:rsid w:val="009911BD"/>
    <w:rsid w:val="009912BD"/>
    <w:rsid w:val="0099139D"/>
    <w:rsid w:val="0099147D"/>
    <w:rsid w:val="00991503"/>
    <w:rsid w:val="00991636"/>
    <w:rsid w:val="0099163A"/>
    <w:rsid w:val="009919DA"/>
    <w:rsid w:val="00991B98"/>
    <w:rsid w:val="00992030"/>
    <w:rsid w:val="009920AE"/>
    <w:rsid w:val="009920E8"/>
    <w:rsid w:val="009922F8"/>
    <w:rsid w:val="009925D2"/>
    <w:rsid w:val="00992B43"/>
    <w:rsid w:val="00992B73"/>
    <w:rsid w:val="00992CC1"/>
    <w:rsid w:val="00993234"/>
    <w:rsid w:val="0099342F"/>
    <w:rsid w:val="00993791"/>
    <w:rsid w:val="00993C3C"/>
    <w:rsid w:val="00993CE5"/>
    <w:rsid w:val="00993E26"/>
    <w:rsid w:val="00993F69"/>
    <w:rsid w:val="00994054"/>
    <w:rsid w:val="00994300"/>
    <w:rsid w:val="0099442C"/>
    <w:rsid w:val="00994457"/>
    <w:rsid w:val="009945B6"/>
    <w:rsid w:val="00994DE1"/>
    <w:rsid w:val="00994FA0"/>
    <w:rsid w:val="00994FFA"/>
    <w:rsid w:val="00995940"/>
    <w:rsid w:val="00995979"/>
    <w:rsid w:val="009959FF"/>
    <w:rsid w:val="00995A89"/>
    <w:rsid w:val="00995C5E"/>
    <w:rsid w:val="00995D30"/>
    <w:rsid w:val="00995D7F"/>
    <w:rsid w:val="0099614B"/>
    <w:rsid w:val="0099637B"/>
    <w:rsid w:val="00996855"/>
    <w:rsid w:val="009968C0"/>
    <w:rsid w:val="00996A47"/>
    <w:rsid w:val="009972E6"/>
    <w:rsid w:val="0099730E"/>
    <w:rsid w:val="00997371"/>
    <w:rsid w:val="009975B4"/>
    <w:rsid w:val="00997853"/>
    <w:rsid w:val="00997BFB"/>
    <w:rsid w:val="00997C44"/>
    <w:rsid w:val="00997CEA"/>
    <w:rsid w:val="00997E23"/>
    <w:rsid w:val="00997EED"/>
    <w:rsid w:val="00997F69"/>
    <w:rsid w:val="009A0408"/>
    <w:rsid w:val="009A056C"/>
    <w:rsid w:val="009A05A4"/>
    <w:rsid w:val="009A08A3"/>
    <w:rsid w:val="009A0A17"/>
    <w:rsid w:val="009A0E07"/>
    <w:rsid w:val="009A10AF"/>
    <w:rsid w:val="009A1157"/>
    <w:rsid w:val="009A1178"/>
    <w:rsid w:val="009A15E0"/>
    <w:rsid w:val="009A1950"/>
    <w:rsid w:val="009A1DE4"/>
    <w:rsid w:val="009A1F7A"/>
    <w:rsid w:val="009A206D"/>
    <w:rsid w:val="009A22A3"/>
    <w:rsid w:val="009A2394"/>
    <w:rsid w:val="009A23FA"/>
    <w:rsid w:val="009A256B"/>
    <w:rsid w:val="009A261E"/>
    <w:rsid w:val="009A27AB"/>
    <w:rsid w:val="009A2919"/>
    <w:rsid w:val="009A2BE9"/>
    <w:rsid w:val="009A2C91"/>
    <w:rsid w:val="009A2D81"/>
    <w:rsid w:val="009A2EC2"/>
    <w:rsid w:val="009A347E"/>
    <w:rsid w:val="009A3483"/>
    <w:rsid w:val="009A3497"/>
    <w:rsid w:val="009A3667"/>
    <w:rsid w:val="009A395E"/>
    <w:rsid w:val="009A399A"/>
    <w:rsid w:val="009A40BF"/>
    <w:rsid w:val="009A4147"/>
    <w:rsid w:val="009A475E"/>
    <w:rsid w:val="009A4929"/>
    <w:rsid w:val="009A4A56"/>
    <w:rsid w:val="009A4B56"/>
    <w:rsid w:val="009A4D50"/>
    <w:rsid w:val="009A4D93"/>
    <w:rsid w:val="009A4EE0"/>
    <w:rsid w:val="009A50D7"/>
    <w:rsid w:val="009A539E"/>
    <w:rsid w:val="009A58F6"/>
    <w:rsid w:val="009A5946"/>
    <w:rsid w:val="009A5E8F"/>
    <w:rsid w:val="009A5F80"/>
    <w:rsid w:val="009A64E2"/>
    <w:rsid w:val="009A6538"/>
    <w:rsid w:val="009A6745"/>
    <w:rsid w:val="009A6BFC"/>
    <w:rsid w:val="009A6C01"/>
    <w:rsid w:val="009A6CE4"/>
    <w:rsid w:val="009A7348"/>
    <w:rsid w:val="009A76EF"/>
    <w:rsid w:val="009A787D"/>
    <w:rsid w:val="009A78E8"/>
    <w:rsid w:val="009A79E7"/>
    <w:rsid w:val="009A7BD8"/>
    <w:rsid w:val="009B001F"/>
    <w:rsid w:val="009B02BF"/>
    <w:rsid w:val="009B0365"/>
    <w:rsid w:val="009B03D0"/>
    <w:rsid w:val="009B05FA"/>
    <w:rsid w:val="009B1050"/>
    <w:rsid w:val="009B1533"/>
    <w:rsid w:val="009B166B"/>
    <w:rsid w:val="009B1694"/>
    <w:rsid w:val="009B1B26"/>
    <w:rsid w:val="009B1E2D"/>
    <w:rsid w:val="009B2204"/>
    <w:rsid w:val="009B2459"/>
    <w:rsid w:val="009B26A0"/>
    <w:rsid w:val="009B2AB8"/>
    <w:rsid w:val="009B2E15"/>
    <w:rsid w:val="009B2E30"/>
    <w:rsid w:val="009B2F3F"/>
    <w:rsid w:val="009B32D3"/>
    <w:rsid w:val="009B3422"/>
    <w:rsid w:val="009B3A3B"/>
    <w:rsid w:val="009B434A"/>
    <w:rsid w:val="009B4453"/>
    <w:rsid w:val="009B44A3"/>
    <w:rsid w:val="009B462C"/>
    <w:rsid w:val="009B4868"/>
    <w:rsid w:val="009B4CA1"/>
    <w:rsid w:val="009B4D39"/>
    <w:rsid w:val="009B4DD0"/>
    <w:rsid w:val="009B4F0C"/>
    <w:rsid w:val="009B5001"/>
    <w:rsid w:val="009B5105"/>
    <w:rsid w:val="009B5633"/>
    <w:rsid w:val="009B58A1"/>
    <w:rsid w:val="009B5B15"/>
    <w:rsid w:val="009B5C8C"/>
    <w:rsid w:val="009B5CCE"/>
    <w:rsid w:val="009B5DCC"/>
    <w:rsid w:val="009B5E51"/>
    <w:rsid w:val="009B6124"/>
    <w:rsid w:val="009B6625"/>
    <w:rsid w:val="009B6740"/>
    <w:rsid w:val="009B684B"/>
    <w:rsid w:val="009B69E3"/>
    <w:rsid w:val="009B6C71"/>
    <w:rsid w:val="009B6D99"/>
    <w:rsid w:val="009B6EB6"/>
    <w:rsid w:val="009B70EF"/>
    <w:rsid w:val="009B7126"/>
    <w:rsid w:val="009B72B8"/>
    <w:rsid w:val="009B73A4"/>
    <w:rsid w:val="009B74E9"/>
    <w:rsid w:val="009B78A1"/>
    <w:rsid w:val="009B7B4C"/>
    <w:rsid w:val="009B7D05"/>
    <w:rsid w:val="009B7EBF"/>
    <w:rsid w:val="009C00D2"/>
    <w:rsid w:val="009C0313"/>
    <w:rsid w:val="009C0508"/>
    <w:rsid w:val="009C05D3"/>
    <w:rsid w:val="009C0D87"/>
    <w:rsid w:val="009C120C"/>
    <w:rsid w:val="009C131A"/>
    <w:rsid w:val="009C15F3"/>
    <w:rsid w:val="009C17FD"/>
    <w:rsid w:val="009C196F"/>
    <w:rsid w:val="009C19F0"/>
    <w:rsid w:val="009C1A01"/>
    <w:rsid w:val="009C1AEB"/>
    <w:rsid w:val="009C1F3F"/>
    <w:rsid w:val="009C2C88"/>
    <w:rsid w:val="009C2D10"/>
    <w:rsid w:val="009C2D61"/>
    <w:rsid w:val="009C2E7E"/>
    <w:rsid w:val="009C2E9E"/>
    <w:rsid w:val="009C3429"/>
    <w:rsid w:val="009C356F"/>
    <w:rsid w:val="009C35B1"/>
    <w:rsid w:val="009C3689"/>
    <w:rsid w:val="009C4195"/>
    <w:rsid w:val="009C44CC"/>
    <w:rsid w:val="009C44D8"/>
    <w:rsid w:val="009C4542"/>
    <w:rsid w:val="009C46FC"/>
    <w:rsid w:val="009C4EF1"/>
    <w:rsid w:val="009C4F9E"/>
    <w:rsid w:val="009C5073"/>
    <w:rsid w:val="009C51F1"/>
    <w:rsid w:val="009C54E6"/>
    <w:rsid w:val="009C579E"/>
    <w:rsid w:val="009C5857"/>
    <w:rsid w:val="009C587C"/>
    <w:rsid w:val="009C59A5"/>
    <w:rsid w:val="009C6006"/>
    <w:rsid w:val="009C60CE"/>
    <w:rsid w:val="009C60ED"/>
    <w:rsid w:val="009C64C1"/>
    <w:rsid w:val="009C6BAA"/>
    <w:rsid w:val="009C6D09"/>
    <w:rsid w:val="009C7ACF"/>
    <w:rsid w:val="009C7D96"/>
    <w:rsid w:val="009D0038"/>
    <w:rsid w:val="009D0153"/>
    <w:rsid w:val="009D0179"/>
    <w:rsid w:val="009D029E"/>
    <w:rsid w:val="009D04B8"/>
    <w:rsid w:val="009D0583"/>
    <w:rsid w:val="009D0875"/>
    <w:rsid w:val="009D0A38"/>
    <w:rsid w:val="009D0A49"/>
    <w:rsid w:val="009D0E70"/>
    <w:rsid w:val="009D0EE1"/>
    <w:rsid w:val="009D15D3"/>
    <w:rsid w:val="009D1646"/>
    <w:rsid w:val="009D1684"/>
    <w:rsid w:val="009D16A6"/>
    <w:rsid w:val="009D1958"/>
    <w:rsid w:val="009D1C9A"/>
    <w:rsid w:val="009D20E1"/>
    <w:rsid w:val="009D22B4"/>
    <w:rsid w:val="009D22D8"/>
    <w:rsid w:val="009D236D"/>
    <w:rsid w:val="009D239A"/>
    <w:rsid w:val="009D24ED"/>
    <w:rsid w:val="009D2D6F"/>
    <w:rsid w:val="009D2ECA"/>
    <w:rsid w:val="009D2F59"/>
    <w:rsid w:val="009D3197"/>
    <w:rsid w:val="009D3380"/>
    <w:rsid w:val="009D3396"/>
    <w:rsid w:val="009D33F9"/>
    <w:rsid w:val="009D3459"/>
    <w:rsid w:val="009D35FC"/>
    <w:rsid w:val="009D3697"/>
    <w:rsid w:val="009D3AE8"/>
    <w:rsid w:val="009D3B20"/>
    <w:rsid w:val="009D3B2F"/>
    <w:rsid w:val="009D3D21"/>
    <w:rsid w:val="009D3D4F"/>
    <w:rsid w:val="009D3E53"/>
    <w:rsid w:val="009D44E5"/>
    <w:rsid w:val="009D49B2"/>
    <w:rsid w:val="009D50C4"/>
    <w:rsid w:val="009D5408"/>
    <w:rsid w:val="009D5853"/>
    <w:rsid w:val="009D5856"/>
    <w:rsid w:val="009D5F70"/>
    <w:rsid w:val="009D6180"/>
    <w:rsid w:val="009D6219"/>
    <w:rsid w:val="009D6320"/>
    <w:rsid w:val="009D657E"/>
    <w:rsid w:val="009D660F"/>
    <w:rsid w:val="009D6699"/>
    <w:rsid w:val="009D66C0"/>
    <w:rsid w:val="009D6950"/>
    <w:rsid w:val="009D6964"/>
    <w:rsid w:val="009D696E"/>
    <w:rsid w:val="009D6D20"/>
    <w:rsid w:val="009D6FD2"/>
    <w:rsid w:val="009D7006"/>
    <w:rsid w:val="009D74B6"/>
    <w:rsid w:val="009D7700"/>
    <w:rsid w:val="009D792E"/>
    <w:rsid w:val="009D7A25"/>
    <w:rsid w:val="009D7A3B"/>
    <w:rsid w:val="009D7A4E"/>
    <w:rsid w:val="009D7FEF"/>
    <w:rsid w:val="009E0000"/>
    <w:rsid w:val="009E0015"/>
    <w:rsid w:val="009E00F3"/>
    <w:rsid w:val="009E04F0"/>
    <w:rsid w:val="009E0743"/>
    <w:rsid w:val="009E07C2"/>
    <w:rsid w:val="009E0BDB"/>
    <w:rsid w:val="009E0C5B"/>
    <w:rsid w:val="009E0DF1"/>
    <w:rsid w:val="009E0E52"/>
    <w:rsid w:val="009E14B9"/>
    <w:rsid w:val="009E158F"/>
    <w:rsid w:val="009E171D"/>
    <w:rsid w:val="009E174A"/>
    <w:rsid w:val="009E19B6"/>
    <w:rsid w:val="009E1AB3"/>
    <w:rsid w:val="009E1ED5"/>
    <w:rsid w:val="009E20A9"/>
    <w:rsid w:val="009E23E2"/>
    <w:rsid w:val="009E24BB"/>
    <w:rsid w:val="009E2571"/>
    <w:rsid w:val="009E25C0"/>
    <w:rsid w:val="009E2A43"/>
    <w:rsid w:val="009E2BC9"/>
    <w:rsid w:val="009E2C6E"/>
    <w:rsid w:val="009E324C"/>
    <w:rsid w:val="009E3684"/>
    <w:rsid w:val="009E4048"/>
    <w:rsid w:val="009E41DA"/>
    <w:rsid w:val="009E4598"/>
    <w:rsid w:val="009E45C0"/>
    <w:rsid w:val="009E4754"/>
    <w:rsid w:val="009E4E0B"/>
    <w:rsid w:val="009E4F71"/>
    <w:rsid w:val="009E50EB"/>
    <w:rsid w:val="009E5189"/>
    <w:rsid w:val="009E52A4"/>
    <w:rsid w:val="009E5720"/>
    <w:rsid w:val="009E58FC"/>
    <w:rsid w:val="009E6085"/>
    <w:rsid w:val="009E60F5"/>
    <w:rsid w:val="009E6435"/>
    <w:rsid w:val="009E6B5F"/>
    <w:rsid w:val="009E6C30"/>
    <w:rsid w:val="009E7048"/>
    <w:rsid w:val="009E707A"/>
    <w:rsid w:val="009E72BE"/>
    <w:rsid w:val="009E75A1"/>
    <w:rsid w:val="009E765F"/>
    <w:rsid w:val="009E7714"/>
    <w:rsid w:val="009F0044"/>
    <w:rsid w:val="009F08A5"/>
    <w:rsid w:val="009F0BFD"/>
    <w:rsid w:val="009F0E9E"/>
    <w:rsid w:val="009F0EE7"/>
    <w:rsid w:val="009F0F6C"/>
    <w:rsid w:val="009F10A6"/>
    <w:rsid w:val="009F1309"/>
    <w:rsid w:val="009F163D"/>
    <w:rsid w:val="009F1ECA"/>
    <w:rsid w:val="009F1FE1"/>
    <w:rsid w:val="009F218E"/>
    <w:rsid w:val="009F24EC"/>
    <w:rsid w:val="009F25C6"/>
    <w:rsid w:val="009F2B2A"/>
    <w:rsid w:val="009F2C42"/>
    <w:rsid w:val="009F2C54"/>
    <w:rsid w:val="009F2E6F"/>
    <w:rsid w:val="009F303B"/>
    <w:rsid w:val="009F3048"/>
    <w:rsid w:val="009F305F"/>
    <w:rsid w:val="009F3372"/>
    <w:rsid w:val="009F35C9"/>
    <w:rsid w:val="009F35F2"/>
    <w:rsid w:val="009F3702"/>
    <w:rsid w:val="009F377C"/>
    <w:rsid w:val="009F37C8"/>
    <w:rsid w:val="009F3820"/>
    <w:rsid w:val="009F4524"/>
    <w:rsid w:val="009F4719"/>
    <w:rsid w:val="009F47D2"/>
    <w:rsid w:val="009F4F0F"/>
    <w:rsid w:val="009F53E6"/>
    <w:rsid w:val="009F5FBA"/>
    <w:rsid w:val="009F6037"/>
    <w:rsid w:val="009F6648"/>
    <w:rsid w:val="009F6712"/>
    <w:rsid w:val="009F67DE"/>
    <w:rsid w:val="009F6927"/>
    <w:rsid w:val="009F6A95"/>
    <w:rsid w:val="009F6B20"/>
    <w:rsid w:val="009F6D1E"/>
    <w:rsid w:val="009F6E04"/>
    <w:rsid w:val="009F6E52"/>
    <w:rsid w:val="009F6FC4"/>
    <w:rsid w:val="009F704E"/>
    <w:rsid w:val="009F7252"/>
    <w:rsid w:val="009F72F9"/>
    <w:rsid w:val="009F7319"/>
    <w:rsid w:val="009F7649"/>
    <w:rsid w:val="009F76F5"/>
    <w:rsid w:val="009F7D9E"/>
    <w:rsid w:val="009F7DCF"/>
    <w:rsid w:val="009F7F80"/>
    <w:rsid w:val="009F7F99"/>
    <w:rsid w:val="00A00198"/>
    <w:rsid w:val="00A00205"/>
    <w:rsid w:val="00A00217"/>
    <w:rsid w:val="00A0035D"/>
    <w:rsid w:val="00A0048F"/>
    <w:rsid w:val="00A00876"/>
    <w:rsid w:val="00A00945"/>
    <w:rsid w:val="00A00A7A"/>
    <w:rsid w:val="00A00AF0"/>
    <w:rsid w:val="00A00B9A"/>
    <w:rsid w:val="00A00D9F"/>
    <w:rsid w:val="00A00E17"/>
    <w:rsid w:val="00A00FB3"/>
    <w:rsid w:val="00A0107C"/>
    <w:rsid w:val="00A0125B"/>
    <w:rsid w:val="00A012EF"/>
    <w:rsid w:val="00A015E2"/>
    <w:rsid w:val="00A0171F"/>
    <w:rsid w:val="00A018F2"/>
    <w:rsid w:val="00A01A42"/>
    <w:rsid w:val="00A01B8B"/>
    <w:rsid w:val="00A01BDB"/>
    <w:rsid w:val="00A01CAD"/>
    <w:rsid w:val="00A0227A"/>
    <w:rsid w:val="00A02885"/>
    <w:rsid w:val="00A02888"/>
    <w:rsid w:val="00A028B6"/>
    <w:rsid w:val="00A02A14"/>
    <w:rsid w:val="00A02BCA"/>
    <w:rsid w:val="00A02C71"/>
    <w:rsid w:val="00A02C7F"/>
    <w:rsid w:val="00A030A8"/>
    <w:rsid w:val="00A03720"/>
    <w:rsid w:val="00A03729"/>
    <w:rsid w:val="00A0372F"/>
    <w:rsid w:val="00A03803"/>
    <w:rsid w:val="00A03D8E"/>
    <w:rsid w:val="00A03EB5"/>
    <w:rsid w:val="00A0415A"/>
    <w:rsid w:val="00A04226"/>
    <w:rsid w:val="00A04256"/>
    <w:rsid w:val="00A044A1"/>
    <w:rsid w:val="00A045B5"/>
    <w:rsid w:val="00A052EE"/>
    <w:rsid w:val="00A05484"/>
    <w:rsid w:val="00A0560B"/>
    <w:rsid w:val="00A059A1"/>
    <w:rsid w:val="00A059EE"/>
    <w:rsid w:val="00A05D10"/>
    <w:rsid w:val="00A05D53"/>
    <w:rsid w:val="00A0606E"/>
    <w:rsid w:val="00A063D8"/>
    <w:rsid w:val="00A065A1"/>
    <w:rsid w:val="00A06729"/>
    <w:rsid w:val="00A06A7D"/>
    <w:rsid w:val="00A06CC2"/>
    <w:rsid w:val="00A06E26"/>
    <w:rsid w:val="00A0708B"/>
    <w:rsid w:val="00A0710E"/>
    <w:rsid w:val="00A0719C"/>
    <w:rsid w:val="00A07268"/>
    <w:rsid w:val="00A07AC4"/>
    <w:rsid w:val="00A07B2F"/>
    <w:rsid w:val="00A10035"/>
    <w:rsid w:val="00A10062"/>
    <w:rsid w:val="00A1073F"/>
    <w:rsid w:val="00A109B9"/>
    <w:rsid w:val="00A109E0"/>
    <w:rsid w:val="00A10C0B"/>
    <w:rsid w:val="00A10D8D"/>
    <w:rsid w:val="00A10F2E"/>
    <w:rsid w:val="00A10FCB"/>
    <w:rsid w:val="00A111C7"/>
    <w:rsid w:val="00A115D8"/>
    <w:rsid w:val="00A11697"/>
    <w:rsid w:val="00A116CA"/>
    <w:rsid w:val="00A116E3"/>
    <w:rsid w:val="00A116EB"/>
    <w:rsid w:val="00A118E9"/>
    <w:rsid w:val="00A118F8"/>
    <w:rsid w:val="00A1192A"/>
    <w:rsid w:val="00A11A62"/>
    <w:rsid w:val="00A11EB1"/>
    <w:rsid w:val="00A12076"/>
    <w:rsid w:val="00A12471"/>
    <w:rsid w:val="00A12732"/>
    <w:rsid w:val="00A127C6"/>
    <w:rsid w:val="00A12860"/>
    <w:rsid w:val="00A12946"/>
    <w:rsid w:val="00A12C04"/>
    <w:rsid w:val="00A12D5C"/>
    <w:rsid w:val="00A131E4"/>
    <w:rsid w:val="00A132C0"/>
    <w:rsid w:val="00A133FA"/>
    <w:rsid w:val="00A1364E"/>
    <w:rsid w:val="00A13B00"/>
    <w:rsid w:val="00A13D26"/>
    <w:rsid w:val="00A13E35"/>
    <w:rsid w:val="00A13E39"/>
    <w:rsid w:val="00A142B8"/>
    <w:rsid w:val="00A14393"/>
    <w:rsid w:val="00A144EA"/>
    <w:rsid w:val="00A14542"/>
    <w:rsid w:val="00A145CF"/>
    <w:rsid w:val="00A145FD"/>
    <w:rsid w:val="00A14771"/>
    <w:rsid w:val="00A14785"/>
    <w:rsid w:val="00A14A12"/>
    <w:rsid w:val="00A14B5A"/>
    <w:rsid w:val="00A14CB6"/>
    <w:rsid w:val="00A14D96"/>
    <w:rsid w:val="00A14E3F"/>
    <w:rsid w:val="00A15598"/>
    <w:rsid w:val="00A15B06"/>
    <w:rsid w:val="00A15D58"/>
    <w:rsid w:val="00A15FC6"/>
    <w:rsid w:val="00A16753"/>
    <w:rsid w:val="00A169D6"/>
    <w:rsid w:val="00A16E1F"/>
    <w:rsid w:val="00A16E6C"/>
    <w:rsid w:val="00A16F58"/>
    <w:rsid w:val="00A172AD"/>
    <w:rsid w:val="00A17384"/>
    <w:rsid w:val="00A173BA"/>
    <w:rsid w:val="00A1755C"/>
    <w:rsid w:val="00A175C0"/>
    <w:rsid w:val="00A1783B"/>
    <w:rsid w:val="00A17BA4"/>
    <w:rsid w:val="00A17C9A"/>
    <w:rsid w:val="00A17FA2"/>
    <w:rsid w:val="00A2034E"/>
    <w:rsid w:val="00A205B1"/>
    <w:rsid w:val="00A20B7C"/>
    <w:rsid w:val="00A211E0"/>
    <w:rsid w:val="00A213ED"/>
    <w:rsid w:val="00A214C1"/>
    <w:rsid w:val="00A21565"/>
    <w:rsid w:val="00A21778"/>
    <w:rsid w:val="00A21F0B"/>
    <w:rsid w:val="00A22332"/>
    <w:rsid w:val="00A22344"/>
    <w:rsid w:val="00A22847"/>
    <w:rsid w:val="00A2284D"/>
    <w:rsid w:val="00A2288C"/>
    <w:rsid w:val="00A2298D"/>
    <w:rsid w:val="00A229AB"/>
    <w:rsid w:val="00A22A31"/>
    <w:rsid w:val="00A22ADD"/>
    <w:rsid w:val="00A22ADF"/>
    <w:rsid w:val="00A22B55"/>
    <w:rsid w:val="00A22B61"/>
    <w:rsid w:val="00A22BC6"/>
    <w:rsid w:val="00A230C1"/>
    <w:rsid w:val="00A2313E"/>
    <w:rsid w:val="00A234E0"/>
    <w:rsid w:val="00A23543"/>
    <w:rsid w:val="00A236BB"/>
    <w:rsid w:val="00A23F29"/>
    <w:rsid w:val="00A24099"/>
    <w:rsid w:val="00A24289"/>
    <w:rsid w:val="00A244EA"/>
    <w:rsid w:val="00A2450A"/>
    <w:rsid w:val="00A2474D"/>
    <w:rsid w:val="00A248A1"/>
    <w:rsid w:val="00A248F3"/>
    <w:rsid w:val="00A24B2D"/>
    <w:rsid w:val="00A24B35"/>
    <w:rsid w:val="00A24CA6"/>
    <w:rsid w:val="00A24CC1"/>
    <w:rsid w:val="00A24DA9"/>
    <w:rsid w:val="00A255FB"/>
    <w:rsid w:val="00A256A3"/>
    <w:rsid w:val="00A25757"/>
    <w:rsid w:val="00A25A31"/>
    <w:rsid w:val="00A25B8F"/>
    <w:rsid w:val="00A25C62"/>
    <w:rsid w:val="00A25FDA"/>
    <w:rsid w:val="00A26559"/>
    <w:rsid w:val="00A266A1"/>
    <w:rsid w:val="00A268FE"/>
    <w:rsid w:val="00A26A75"/>
    <w:rsid w:val="00A26C78"/>
    <w:rsid w:val="00A2726B"/>
    <w:rsid w:val="00A27381"/>
    <w:rsid w:val="00A274F4"/>
    <w:rsid w:val="00A27872"/>
    <w:rsid w:val="00A27A46"/>
    <w:rsid w:val="00A30136"/>
    <w:rsid w:val="00A3019B"/>
    <w:rsid w:val="00A3020D"/>
    <w:rsid w:val="00A303C5"/>
    <w:rsid w:val="00A308AD"/>
    <w:rsid w:val="00A30E29"/>
    <w:rsid w:val="00A310AE"/>
    <w:rsid w:val="00A31147"/>
    <w:rsid w:val="00A3124D"/>
    <w:rsid w:val="00A3143F"/>
    <w:rsid w:val="00A31696"/>
    <w:rsid w:val="00A317F6"/>
    <w:rsid w:val="00A31B0A"/>
    <w:rsid w:val="00A320CD"/>
    <w:rsid w:val="00A321EC"/>
    <w:rsid w:val="00A32553"/>
    <w:rsid w:val="00A326B1"/>
    <w:rsid w:val="00A326B7"/>
    <w:rsid w:val="00A3270F"/>
    <w:rsid w:val="00A3277D"/>
    <w:rsid w:val="00A32D64"/>
    <w:rsid w:val="00A334C5"/>
    <w:rsid w:val="00A3376D"/>
    <w:rsid w:val="00A3383A"/>
    <w:rsid w:val="00A33E67"/>
    <w:rsid w:val="00A340FA"/>
    <w:rsid w:val="00A34910"/>
    <w:rsid w:val="00A34CD1"/>
    <w:rsid w:val="00A34D06"/>
    <w:rsid w:val="00A34F76"/>
    <w:rsid w:val="00A3519C"/>
    <w:rsid w:val="00A3519F"/>
    <w:rsid w:val="00A35201"/>
    <w:rsid w:val="00A35591"/>
    <w:rsid w:val="00A3567F"/>
    <w:rsid w:val="00A35E25"/>
    <w:rsid w:val="00A35FF3"/>
    <w:rsid w:val="00A3606C"/>
    <w:rsid w:val="00A36471"/>
    <w:rsid w:val="00A364D2"/>
    <w:rsid w:val="00A367B9"/>
    <w:rsid w:val="00A36940"/>
    <w:rsid w:val="00A36B3A"/>
    <w:rsid w:val="00A36E1F"/>
    <w:rsid w:val="00A36F48"/>
    <w:rsid w:val="00A37358"/>
    <w:rsid w:val="00A37698"/>
    <w:rsid w:val="00A37914"/>
    <w:rsid w:val="00A37E96"/>
    <w:rsid w:val="00A37ED5"/>
    <w:rsid w:val="00A37F54"/>
    <w:rsid w:val="00A4007D"/>
    <w:rsid w:val="00A40269"/>
    <w:rsid w:val="00A40323"/>
    <w:rsid w:val="00A405A4"/>
    <w:rsid w:val="00A405E2"/>
    <w:rsid w:val="00A409D1"/>
    <w:rsid w:val="00A40BCD"/>
    <w:rsid w:val="00A40C5A"/>
    <w:rsid w:val="00A40D51"/>
    <w:rsid w:val="00A40F45"/>
    <w:rsid w:val="00A417C0"/>
    <w:rsid w:val="00A4185A"/>
    <w:rsid w:val="00A41874"/>
    <w:rsid w:val="00A41ED3"/>
    <w:rsid w:val="00A42274"/>
    <w:rsid w:val="00A422B1"/>
    <w:rsid w:val="00A425F8"/>
    <w:rsid w:val="00A42649"/>
    <w:rsid w:val="00A427ED"/>
    <w:rsid w:val="00A42984"/>
    <w:rsid w:val="00A42A34"/>
    <w:rsid w:val="00A42A35"/>
    <w:rsid w:val="00A42CC4"/>
    <w:rsid w:val="00A42D4C"/>
    <w:rsid w:val="00A42DDD"/>
    <w:rsid w:val="00A43323"/>
    <w:rsid w:val="00A434D0"/>
    <w:rsid w:val="00A436E8"/>
    <w:rsid w:val="00A437CA"/>
    <w:rsid w:val="00A43AAC"/>
    <w:rsid w:val="00A43B84"/>
    <w:rsid w:val="00A43F47"/>
    <w:rsid w:val="00A44110"/>
    <w:rsid w:val="00A44431"/>
    <w:rsid w:val="00A445B3"/>
    <w:rsid w:val="00A44720"/>
    <w:rsid w:val="00A44A17"/>
    <w:rsid w:val="00A453B5"/>
    <w:rsid w:val="00A45682"/>
    <w:rsid w:val="00A456BC"/>
    <w:rsid w:val="00A4581C"/>
    <w:rsid w:val="00A459A3"/>
    <w:rsid w:val="00A45AD6"/>
    <w:rsid w:val="00A45D9E"/>
    <w:rsid w:val="00A461FE"/>
    <w:rsid w:val="00A46200"/>
    <w:rsid w:val="00A46683"/>
    <w:rsid w:val="00A46868"/>
    <w:rsid w:val="00A4692B"/>
    <w:rsid w:val="00A4699B"/>
    <w:rsid w:val="00A469C2"/>
    <w:rsid w:val="00A46A25"/>
    <w:rsid w:val="00A46A52"/>
    <w:rsid w:val="00A46DF2"/>
    <w:rsid w:val="00A47071"/>
    <w:rsid w:val="00A47391"/>
    <w:rsid w:val="00A47602"/>
    <w:rsid w:val="00A47668"/>
    <w:rsid w:val="00A47692"/>
    <w:rsid w:val="00A4787A"/>
    <w:rsid w:val="00A47D6E"/>
    <w:rsid w:val="00A50001"/>
    <w:rsid w:val="00A50524"/>
    <w:rsid w:val="00A50B13"/>
    <w:rsid w:val="00A50DE3"/>
    <w:rsid w:val="00A50E09"/>
    <w:rsid w:val="00A50E34"/>
    <w:rsid w:val="00A50E3B"/>
    <w:rsid w:val="00A5107F"/>
    <w:rsid w:val="00A5115C"/>
    <w:rsid w:val="00A511D0"/>
    <w:rsid w:val="00A5158A"/>
    <w:rsid w:val="00A51C44"/>
    <w:rsid w:val="00A51DA3"/>
    <w:rsid w:val="00A5219A"/>
    <w:rsid w:val="00A5231F"/>
    <w:rsid w:val="00A526F0"/>
    <w:rsid w:val="00A5286C"/>
    <w:rsid w:val="00A52A47"/>
    <w:rsid w:val="00A52D9E"/>
    <w:rsid w:val="00A5325A"/>
    <w:rsid w:val="00A53E7D"/>
    <w:rsid w:val="00A53E81"/>
    <w:rsid w:val="00A53F18"/>
    <w:rsid w:val="00A5419D"/>
    <w:rsid w:val="00A5445B"/>
    <w:rsid w:val="00A544E7"/>
    <w:rsid w:val="00A54A43"/>
    <w:rsid w:val="00A54BF5"/>
    <w:rsid w:val="00A54DB7"/>
    <w:rsid w:val="00A54FB2"/>
    <w:rsid w:val="00A54FB6"/>
    <w:rsid w:val="00A551C5"/>
    <w:rsid w:val="00A55E05"/>
    <w:rsid w:val="00A55E3C"/>
    <w:rsid w:val="00A55F47"/>
    <w:rsid w:val="00A55F89"/>
    <w:rsid w:val="00A561F3"/>
    <w:rsid w:val="00A562C8"/>
    <w:rsid w:val="00A564E1"/>
    <w:rsid w:val="00A56572"/>
    <w:rsid w:val="00A565F9"/>
    <w:rsid w:val="00A5667A"/>
    <w:rsid w:val="00A566AB"/>
    <w:rsid w:val="00A568C7"/>
    <w:rsid w:val="00A56C96"/>
    <w:rsid w:val="00A56CAF"/>
    <w:rsid w:val="00A56E66"/>
    <w:rsid w:val="00A56E68"/>
    <w:rsid w:val="00A57184"/>
    <w:rsid w:val="00A572A4"/>
    <w:rsid w:val="00A57538"/>
    <w:rsid w:val="00A57B62"/>
    <w:rsid w:val="00A57D41"/>
    <w:rsid w:val="00A57DCF"/>
    <w:rsid w:val="00A57E45"/>
    <w:rsid w:val="00A60061"/>
    <w:rsid w:val="00A600DA"/>
    <w:rsid w:val="00A60113"/>
    <w:rsid w:val="00A60488"/>
    <w:rsid w:val="00A606C4"/>
    <w:rsid w:val="00A6071C"/>
    <w:rsid w:val="00A607BB"/>
    <w:rsid w:val="00A60C0D"/>
    <w:rsid w:val="00A60EC3"/>
    <w:rsid w:val="00A60F1C"/>
    <w:rsid w:val="00A60FD9"/>
    <w:rsid w:val="00A61111"/>
    <w:rsid w:val="00A6125E"/>
    <w:rsid w:val="00A61374"/>
    <w:rsid w:val="00A613C8"/>
    <w:rsid w:val="00A6178B"/>
    <w:rsid w:val="00A618DE"/>
    <w:rsid w:val="00A61925"/>
    <w:rsid w:val="00A61C35"/>
    <w:rsid w:val="00A61C80"/>
    <w:rsid w:val="00A6206E"/>
    <w:rsid w:val="00A62300"/>
    <w:rsid w:val="00A62810"/>
    <w:rsid w:val="00A62A92"/>
    <w:rsid w:val="00A62B26"/>
    <w:rsid w:val="00A62D2C"/>
    <w:rsid w:val="00A62D96"/>
    <w:rsid w:val="00A62DCF"/>
    <w:rsid w:val="00A63895"/>
    <w:rsid w:val="00A63905"/>
    <w:rsid w:val="00A63F10"/>
    <w:rsid w:val="00A643D0"/>
    <w:rsid w:val="00A64464"/>
    <w:rsid w:val="00A645FD"/>
    <w:rsid w:val="00A64685"/>
    <w:rsid w:val="00A6498C"/>
    <w:rsid w:val="00A64ECD"/>
    <w:rsid w:val="00A64FC7"/>
    <w:rsid w:val="00A65030"/>
    <w:rsid w:val="00A65489"/>
    <w:rsid w:val="00A6566A"/>
    <w:rsid w:val="00A6587E"/>
    <w:rsid w:val="00A658D1"/>
    <w:rsid w:val="00A6590E"/>
    <w:rsid w:val="00A659DF"/>
    <w:rsid w:val="00A65C58"/>
    <w:rsid w:val="00A65C78"/>
    <w:rsid w:val="00A65DCF"/>
    <w:rsid w:val="00A66147"/>
    <w:rsid w:val="00A66187"/>
    <w:rsid w:val="00A661D3"/>
    <w:rsid w:val="00A6695F"/>
    <w:rsid w:val="00A6703B"/>
    <w:rsid w:val="00A67272"/>
    <w:rsid w:val="00A672B5"/>
    <w:rsid w:val="00A67302"/>
    <w:rsid w:val="00A67483"/>
    <w:rsid w:val="00A67A94"/>
    <w:rsid w:val="00A67AD8"/>
    <w:rsid w:val="00A67D89"/>
    <w:rsid w:val="00A67F34"/>
    <w:rsid w:val="00A70371"/>
    <w:rsid w:val="00A70638"/>
    <w:rsid w:val="00A70BB5"/>
    <w:rsid w:val="00A70D89"/>
    <w:rsid w:val="00A70DD8"/>
    <w:rsid w:val="00A70EDC"/>
    <w:rsid w:val="00A70EEF"/>
    <w:rsid w:val="00A71661"/>
    <w:rsid w:val="00A719B1"/>
    <w:rsid w:val="00A71FE7"/>
    <w:rsid w:val="00A71FF8"/>
    <w:rsid w:val="00A722FF"/>
    <w:rsid w:val="00A72754"/>
    <w:rsid w:val="00A72BEE"/>
    <w:rsid w:val="00A72D30"/>
    <w:rsid w:val="00A72E8C"/>
    <w:rsid w:val="00A72E9A"/>
    <w:rsid w:val="00A730F1"/>
    <w:rsid w:val="00A731E3"/>
    <w:rsid w:val="00A73441"/>
    <w:rsid w:val="00A73466"/>
    <w:rsid w:val="00A739D6"/>
    <w:rsid w:val="00A73AA2"/>
    <w:rsid w:val="00A73D7E"/>
    <w:rsid w:val="00A74463"/>
    <w:rsid w:val="00A7470A"/>
    <w:rsid w:val="00A7497F"/>
    <w:rsid w:val="00A749A7"/>
    <w:rsid w:val="00A749C0"/>
    <w:rsid w:val="00A74A33"/>
    <w:rsid w:val="00A74BBE"/>
    <w:rsid w:val="00A74F86"/>
    <w:rsid w:val="00A7500D"/>
    <w:rsid w:val="00A75135"/>
    <w:rsid w:val="00A754C8"/>
    <w:rsid w:val="00A754F7"/>
    <w:rsid w:val="00A7588F"/>
    <w:rsid w:val="00A75A63"/>
    <w:rsid w:val="00A75A86"/>
    <w:rsid w:val="00A75AAF"/>
    <w:rsid w:val="00A76443"/>
    <w:rsid w:val="00A7654C"/>
    <w:rsid w:val="00A766CD"/>
    <w:rsid w:val="00A766DD"/>
    <w:rsid w:val="00A76804"/>
    <w:rsid w:val="00A768A9"/>
    <w:rsid w:val="00A76B67"/>
    <w:rsid w:val="00A76D92"/>
    <w:rsid w:val="00A77096"/>
    <w:rsid w:val="00A7713A"/>
    <w:rsid w:val="00A77212"/>
    <w:rsid w:val="00A772A6"/>
    <w:rsid w:val="00A77765"/>
    <w:rsid w:val="00A7779C"/>
    <w:rsid w:val="00A77AD2"/>
    <w:rsid w:val="00A77AE9"/>
    <w:rsid w:val="00A77C7F"/>
    <w:rsid w:val="00A8024C"/>
    <w:rsid w:val="00A80305"/>
    <w:rsid w:val="00A8051F"/>
    <w:rsid w:val="00A8052D"/>
    <w:rsid w:val="00A80613"/>
    <w:rsid w:val="00A806F8"/>
    <w:rsid w:val="00A8088C"/>
    <w:rsid w:val="00A80907"/>
    <w:rsid w:val="00A80A9F"/>
    <w:rsid w:val="00A80AE6"/>
    <w:rsid w:val="00A80C5C"/>
    <w:rsid w:val="00A80EE6"/>
    <w:rsid w:val="00A80F65"/>
    <w:rsid w:val="00A80F81"/>
    <w:rsid w:val="00A80F82"/>
    <w:rsid w:val="00A80FF4"/>
    <w:rsid w:val="00A8119A"/>
    <w:rsid w:val="00A81797"/>
    <w:rsid w:val="00A8179F"/>
    <w:rsid w:val="00A81857"/>
    <w:rsid w:val="00A81D82"/>
    <w:rsid w:val="00A81E2B"/>
    <w:rsid w:val="00A81FB7"/>
    <w:rsid w:val="00A82259"/>
    <w:rsid w:val="00A8244F"/>
    <w:rsid w:val="00A82615"/>
    <w:rsid w:val="00A8281F"/>
    <w:rsid w:val="00A82944"/>
    <w:rsid w:val="00A82BD4"/>
    <w:rsid w:val="00A82CBC"/>
    <w:rsid w:val="00A82EEA"/>
    <w:rsid w:val="00A83598"/>
    <w:rsid w:val="00A83D5E"/>
    <w:rsid w:val="00A83D79"/>
    <w:rsid w:val="00A83E47"/>
    <w:rsid w:val="00A83E5A"/>
    <w:rsid w:val="00A83FCB"/>
    <w:rsid w:val="00A8467B"/>
    <w:rsid w:val="00A849C8"/>
    <w:rsid w:val="00A84AA8"/>
    <w:rsid w:val="00A84D61"/>
    <w:rsid w:val="00A84F9D"/>
    <w:rsid w:val="00A85037"/>
    <w:rsid w:val="00A85477"/>
    <w:rsid w:val="00A855A7"/>
    <w:rsid w:val="00A86128"/>
    <w:rsid w:val="00A861DC"/>
    <w:rsid w:val="00A86445"/>
    <w:rsid w:val="00A86A35"/>
    <w:rsid w:val="00A86AEF"/>
    <w:rsid w:val="00A86E5F"/>
    <w:rsid w:val="00A86F87"/>
    <w:rsid w:val="00A87135"/>
    <w:rsid w:val="00A874B7"/>
    <w:rsid w:val="00A8756A"/>
    <w:rsid w:val="00A875FB"/>
    <w:rsid w:val="00A87705"/>
    <w:rsid w:val="00A8778F"/>
    <w:rsid w:val="00A877D6"/>
    <w:rsid w:val="00A878CA"/>
    <w:rsid w:val="00A87A2E"/>
    <w:rsid w:val="00A87B25"/>
    <w:rsid w:val="00A900B3"/>
    <w:rsid w:val="00A9013E"/>
    <w:rsid w:val="00A902B8"/>
    <w:rsid w:val="00A90576"/>
    <w:rsid w:val="00A90CA4"/>
    <w:rsid w:val="00A90CF9"/>
    <w:rsid w:val="00A90DCC"/>
    <w:rsid w:val="00A9108E"/>
    <w:rsid w:val="00A913E8"/>
    <w:rsid w:val="00A91765"/>
    <w:rsid w:val="00A918CF"/>
    <w:rsid w:val="00A919B4"/>
    <w:rsid w:val="00A919C6"/>
    <w:rsid w:val="00A919EE"/>
    <w:rsid w:val="00A920C5"/>
    <w:rsid w:val="00A92198"/>
    <w:rsid w:val="00A92C99"/>
    <w:rsid w:val="00A93059"/>
    <w:rsid w:val="00A93153"/>
    <w:rsid w:val="00A931F2"/>
    <w:rsid w:val="00A9324B"/>
    <w:rsid w:val="00A932C8"/>
    <w:rsid w:val="00A9331F"/>
    <w:rsid w:val="00A933E2"/>
    <w:rsid w:val="00A9377B"/>
    <w:rsid w:val="00A93905"/>
    <w:rsid w:val="00A93A0B"/>
    <w:rsid w:val="00A93E33"/>
    <w:rsid w:val="00A9404C"/>
    <w:rsid w:val="00A942AA"/>
    <w:rsid w:val="00A946A3"/>
    <w:rsid w:val="00A94768"/>
    <w:rsid w:val="00A94D03"/>
    <w:rsid w:val="00A94E8A"/>
    <w:rsid w:val="00A953BF"/>
    <w:rsid w:val="00A9555E"/>
    <w:rsid w:val="00A958F4"/>
    <w:rsid w:val="00A959ED"/>
    <w:rsid w:val="00A95A01"/>
    <w:rsid w:val="00A95A29"/>
    <w:rsid w:val="00A95A5B"/>
    <w:rsid w:val="00A95C58"/>
    <w:rsid w:val="00A95ECB"/>
    <w:rsid w:val="00A961C2"/>
    <w:rsid w:val="00A96307"/>
    <w:rsid w:val="00A9649D"/>
    <w:rsid w:val="00A9657E"/>
    <w:rsid w:val="00A967F5"/>
    <w:rsid w:val="00A96CD5"/>
    <w:rsid w:val="00A974FE"/>
    <w:rsid w:val="00A97928"/>
    <w:rsid w:val="00A97A97"/>
    <w:rsid w:val="00A97DCE"/>
    <w:rsid w:val="00A97DDE"/>
    <w:rsid w:val="00AA0010"/>
    <w:rsid w:val="00AA0145"/>
    <w:rsid w:val="00AA0462"/>
    <w:rsid w:val="00AA04D1"/>
    <w:rsid w:val="00AA0686"/>
    <w:rsid w:val="00AA0E4C"/>
    <w:rsid w:val="00AA0F85"/>
    <w:rsid w:val="00AA159A"/>
    <w:rsid w:val="00AA1847"/>
    <w:rsid w:val="00AA1B21"/>
    <w:rsid w:val="00AA1EDA"/>
    <w:rsid w:val="00AA1EED"/>
    <w:rsid w:val="00AA2362"/>
    <w:rsid w:val="00AA2B57"/>
    <w:rsid w:val="00AA2B96"/>
    <w:rsid w:val="00AA2D2E"/>
    <w:rsid w:val="00AA2D55"/>
    <w:rsid w:val="00AA3A8A"/>
    <w:rsid w:val="00AA3CBB"/>
    <w:rsid w:val="00AA422B"/>
    <w:rsid w:val="00AA4342"/>
    <w:rsid w:val="00AA47C5"/>
    <w:rsid w:val="00AA4D5A"/>
    <w:rsid w:val="00AA4D65"/>
    <w:rsid w:val="00AA4F4A"/>
    <w:rsid w:val="00AA514F"/>
    <w:rsid w:val="00AA5445"/>
    <w:rsid w:val="00AA55CD"/>
    <w:rsid w:val="00AA59A1"/>
    <w:rsid w:val="00AA5A68"/>
    <w:rsid w:val="00AA5B59"/>
    <w:rsid w:val="00AA5E5D"/>
    <w:rsid w:val="00AA61E4"/>
    <w:rsid w:val="00AA625D"/>
    <w:rsid w:val="00AA6424"/>
    <w:rsid w:val="00AA644C"/>
    <w:rsid w:val="00AA6490"/>
    <w:rsid w:val="00AA69E2"/>
    <w:rsid w:val="00AA6A17"/>
    <w:rsid w:val="00AA6A5C"/>
    <w:rsid w:val="00AA703B"/>
    <w:rsid w:val="00AA70D9"/>
    <w:rsid w:val="00AA714D"/>
    <w:rsid w:val="00AA727D"/>
    <w:rsid w:val="00AA73FC"/>
    <w:rsid w:val="00AA787E"/>
    <w:rsid w:val="00AA79E0"/>
    <w:rsid w:val="00AA7B17"/>
    <w:rsid w:val="00AA7DDB"/>
    <w:rsid w:val="00AB0155"/>
    <w:rsid w:val="00AB0248"/>
    <w:rsid w:val="00AB0518"/>
    <w:rsid w:val="00AB0622"/>
    <w:rsid w:val="00AB0919"/>
    <w:rsid w:val="00AB0AAA"/>
    <w:rsid w:val="00AB0AEE"/>
    <w:rsid w:val="00AB0BFD"/>
    <w:rsid w:val="00AB0C7B"/>
    <w:rsid w:val="00AB0E6F"/>
    <w:rsid w:val="00AB0ECB"/>
    <w:rsid w:val="00AB1238"/>
    <w:rsid w:val="00AB132B"/>
    <w:rsid w:val="00AB136D"/>
    <w:rsid w:val="00AB1423"/>
    <w:rsid w:val="00AB172D"/>
    <w:rsid w:val="00AB17BA"/>
    <w:rsid w:val="00AB236A"/>
    <w:rsid w:val="00AB26BA"/>
    <w:rsid w:val="00AB328D"/>
    <w:rsid w:val="00AB3507"/>
    <w:rsid w:val="00AB35D9"/>
    <w:rsid w:val="00AB365E"/>
    <w:rsid w:val="00AB39F7"/>
    <w:rsid w:val="00AB3A9E"/>
    <w:rsid w:val="00AB3AC6"/>
    <w:rsid w:val="00AB3BCA"/>
    <w:rsid w:val="00AB3C4E"/>
    <w:rsid w:val="00AB4404"/>
    <w:rsid w:val="00AB454B"/>
    <w:rsid w:val="00AB4562"/>
    <w:rsid w:val="00AB460E"/>
    <w:rsid w:val="00AB4616"/>
    <w:rsid w:val="00AB463E"/>
    <w:rsid w:val="00AB46C1"/>
    <w:rsid w:val="00AB478B"/>
    <w:rsid w:val="00AB50EA"/>
    <w:rsid w:val="00AB520C"/>
    <w:rsid w:val="00AB5387"/>
    <w:rsid w:val="00AB5434"/>
    <w:rsid w:val="00AB5502"/>
    <w:rsid w:val="00AB5678"/>
    <w:rsid w:val="00AB593B"/>
    <w:rsid w:val="00AB5AD9"/>
    <w:rsid w:val="00AB5F07"/>
    <w:rsid w:val="00AB60BA"/>
    <w:rsid w:val="00AB615F"/>
    <w:rsid w:val="00AB63DF"/>
    <w:rsid w:val="00AB6404"/>
    <w:rsid w:val="00AB669C"/>
    <w:rsid w:val="00AB672A"/>
    <w:rsid w:val="00AB6970"/>
    <w:rsid w:val="00AB6987"/>
    <w:rsid w:val="00AB6B17"/>
    <w:rsid w:val="00AB6BAD"/>
    <w:rsid w:val="00AB6CC6"/>
    <w:rsid w:val="00AB7089"/>
    <w:rsid w:val="00AB724D"/>
    <w:rsid w:val="00AB7763"/>
    <w:rsid w:val="00AB783C"/>
    <w:rsid w:val="00AB7A10"/>
    <w:rsid w:val="00AB7A55"/>
    <w:rsid w:val="00AC04C9"/>
    <w:rsid w:val="00AC07DF"/>
    <w:rsid w:val="00AC0CA3"/>
    <w:rsid w:val="00AC0F3C"/>
    <w:rsid w:val="00AC1939"/>
    <w:rsid w:val="00AC1FE0"/>
    <w:rsid w:val="00AC2056"/>
    <w:rsid w:val="00AC224D"/>
    <w:rsid w:val="00AC231D"/>
    <w:rsid w:val="00AC2438"/>
    <w:rsid w:val="00AC25C3"/>
    <w:rsid w:val="00AC2930"/>
    <w:rsid w:val="00AC2C4A"/>
    <w:rsid w:val="00AC2EE4"/>
    <w:rsid w:val="00AC333C"/>
    <w:rsid w:val="00AC3754"/>
    <w:rsid w:val="00AC376C"/>
    <w:rsid w:val="00AC3786"/>
    <w:rsid w:val="00AC3892"/>
    <w:rsid w:val="00AC38A6"/>
    <w:rsid w:val="00AC3D12"/>
    <w:rsid w:val="00AC3F48"/>
    <w:rsid w:val="00AC40EA"/>
    <w:rsid w:val="00AC421C"/>
    <w:rsid w:val="00AC4220"/>
    <w:rsid w:val="00AC4638"/>
    <w:rsid w:val="00AC4A00"/>
    <w:rsid w:val="00AC4DA1"/>
    <w:rsid w:val="00AC4E45"/>
    <w:rsid w:val="00AC4F39"/>
    <w:rsid w:val="00AC5174"/>
    <w:rsid w:val="00AC51A6"/>
    <w:rsid w:val="00AC5211"/>
    <w:rsid w:val="00AC5418"/>
    <w:rsid w:val="00AC5843"/>
    <w:rsid w:val="00AC5886"/>
    <w:rsid w:val="00AC5AAA"/>
    <w:rsid w:val="00AC5C37"/>
    <w:rsid w:val="00AC5D89"/>
    <w:rsid w:val="00AC5F26"/>
    <w:rsid w:val="00AC5FB2"/>
    <w:rsid w:val="00AC6185"/>
    <w:rsid w:val="00AC6F6B"/>
    <w:rsid w:val="00AC6FA4"/>
    <w:rsid w:val="00AC7371"/>
    <w:rsid w:val="00AC73FB"/>
    <w:rsid w:val="00AC75CD"/>
    <w:rsid w:val="00AC7659"/>
    <w:rsid w:val="00AC7704"/>
    <w:rsid w:val="00AC7957"/>
    <w:rsid w:val="00AC7C05"/>
    <w:rsid w:val="00AD068D"/>
    <w:rsid w:val="00AD0960"/>
    <w:rsid w:val="00AD0A57"/>
    <w:rsid w:val="00AD0DC1"/>
    <w:rsid w:val="00AD0E36"/>
    <w:rsid w:val="00AD104E"/>
    <w:rsid w:val="00AD142C"/>
    <w:rsid w:val="00AD14C1"/>
    <w:rsid w:val="00AD157A"/>
    <w:rsid w:val="00AD15DB"/>
    <w:rsid w:val="00AD167C"/>
    <w:rsid w:val="00AD1742"/>
    <w:rsid w:val="00AD17C7"/>
    <w:rsid w:val="00AD1A04"/>
    <w:rsid w:val="00AD1C0A"/>
    <w:rsid w:val="00AD1E0C"/>
    <w:rsid w:val="00AD23CA"/>
    <w:rsid w:val="00AD2604"/>
    <w:rsid w:val="00AD2AA5"/>
    <w:rsid w:val="00AD2D25"/>
    <w:rsid w:val="00AD2D86"/>
    <w:rsid w:val="00AD2E7A"/>
    <w:rsid w:val="00AD2F71"/>
    <w:rsid w:val="00AD310D"/>
    <w:rsid w:val="00AD32FA"/>
    <w:rsid w:val="00AD336F"/>
    <w:rsid w:val="00AD3702"/>
    <w:rsid w:val="00AD3735"/>
    <w:rsid w:val="00AD3B9E"/>
    <w:rsid w:val="00AD3BB2"/>
    <w:rsid w:val="00AD3E35"/>
    <w:rsid w:val="00AD4012"/>
    <w:rsid w:val="00AD4041"/>
    <w:rsid w:val="00AD4130"/>
    <w:rsid w:val="00AD415F"/>
    <w:rsid w:val="00AD45F5"/>
    <w:rsid w:val="00AD4C36"/>
    <w:rsid w:val="00AD52D6"/>
    <w:rsid w:val="00AD539E"/>
    <w:rsid w:val="00AD56DE"/>
    <w:rsid w:val="00AD5EA4"/>
    <w:rsid w:val="00AD5F1F"/>
    <w:rsid w:val="00AD605C"/>
    <w:rsid w:val="00AD608D"/>
    <w:rsid w:val="00AD60F1"/>
    <w:rsid w:val="00AD61FD"/>
    <w:rsid w:val="00AD63BA"/>
    <w:rsid w:val="00AD6452"/>
    <w:rsid w:val="00AD65B0"/>
    <w:rsid w:val="00AD6F79"/>
    <w:rsid w:val="00AD6FE6"/>
    <w:rsid w:val="00AD748B"/>
    <w:rsid w:val="00AD7F9B"/>
    <w:rsid w:val="00AD7FC6"/>
    <w:rsid w:val="00AE009F"/>
    <w:rsid w:val="00AE019B"/>
    <w:rsid w:val="00AE08C9"/>
    <w:rsid w:val="00AE0B18"/>
    <w:rsid w:val="00AE1177"/>
    <w:rsid w:val="00AE15C0"/>
    <w:rsid w:val="00AE16C4"/>
    <w:rsid w:val="00AE1769"/>
    <w:rsid w:val="00AE17DF"/>
    <w:rsid w:val="00AE1A9D"/>
    <w:rsid w:val="00AE1AE5"/>
    <w:rsid w:val="00AE1D55"/>
    <w:rsid w:val="00AE20D4"/>
    <w:rsid w:val="00AE211F"/>
    <w:rsid w:val="00AE2289"/>
    <w:rsid w:val="00AE2356"/>
    <w:rsid w:val="00AE2750"/>
    <w:rsid w:val="00AE2D3F"/>
    <w:rsid w:val="00AE2E5E"/>
    <w:rsid w:val="00AE302B"/>
    <w:rsid w:val="00AE318B"/>
    <w:rsid w:val="00AE3321"/>
    <w:rsid w:val="00AE3368"/>
    <w:rsid w:val="00AE350F"/>
    <w:rsid w:val="00AE36B4"/>
    <w:rsid w:val="00AE3BCE"/>
    <w:rsid w:val="00AE3C7F"/>
    <w:rsid w:val="00AE3D30"/>
    <w:rsid w:val="00AE3F49"/>
    <w:rsid w:val="00AE4629"/>
    <w:rsid w:val="00AE4875"/>
    <w:rsid w:val="00AE4A52"/>
    <w:rsid w:val="00AE4F7F"/>
    <w:rsid w:val="00AE543F"/>
    <w:rsid w:val="00AE562E"/>
    <w:rsid w:val="00AE574A"/>
    <w:rsid w:val="00AE5803"/>
    <w:rsid w:val="00AE5BBA"/>
    <w:rsid w:val="00AE5D3C"/>
    <w:rsid w:val="00AE5D48"/>
    <w:rsid w:val="00AE5F91"/>
    <w:rsid w:val="00AE6015"/>
    <w:rsid w:val="00AE6160"/>
    <w:rsid w:val="00AE6310"/>
    <w:rsid w:val="00AE6418"/>
    <w:rsid w:val="00AE6A61"/>
    <w:rsid w:val="00AE6A9C"/>
    <w:rsid w:val="00AE6CC6"/>
    <w:rsid w:val="00AE6D40"/>
    <w:rsid w:val="00AE6D5A"/>
    <w:rsid w:val="00AE782F"/>
    <w:rsid w:val="00AE7B3C"/>
    <w:rsid w:val="00AF0554"/>
    <w:rsid w:val="00AF0635"/>
    <w:rsid w:val="00AF0985"/>
    <w:rsid w:val="00AF0A70"/>
    <w:rsid w:val="00AF142C"/>
    <w:rsid w:val="00AF14E3"/>
    <w:rsid w:val="00AF1509"/>
    <w:rsid w:val="00AF16F4"/>
    <w:rsid w:val="00AF1F6E"/>
    <w:rsid w:val="00AF1FF7"/>
    <w:rsid w:val="00AF24F2"/>
    <w:rsid w:val="00AF24F6"/>
    <w:rsid w:val="00AF25A9"/>
    <w:rsid w:val="00AF28E4"/>
    <w:rsid w:val="00AF29B4"/>
    <w:rsid w:val="00AF2ADF"/>
    <w:rsid w:val="00AF2C62"/>
    <w:rsid w:val="00AF2D6C"/>
    <w:rsid w:val="00AF2FA6"/>
    <w:rsid w:val="00AF3744"/>
    <w:rsid w:val="00AF3A56"/>
    <w:rsid w:val="00AF3B1B"/>
    <w:rsid w:val="00AF3CBB"/>
    <w:rsid w:val="00AF3DFA"/>
    <w:rsid w:val="00AF41A0"/>
    <w:rsid w:val="00AF492D"/>
    <w:rsid w:val="00AF4D3A"/>
    <w:rsid w:val="00AF4DFD"/>
    <w:rsid w:val="00AF4E24"/>
    <w:rsid w:val="00AF4FC4"/>
    <w:rsid w:val="00AF51A3"/>
    <w:rsid w:val="00AF5337"/>
    <w:rsid w:val="00AF5448"/>
    <w:rsid w:val="00AF585B"/>
    <w:rsid w:val="00AF5871"/>
    <w:rsid w:val="00AF58C0"/>
    <w:rsid w:val="00AF5A3C"/>
    <w:rsid w:val="00AF5AB9"/>
    <w:rsid w:val="00AF5D69"/>
    <w:rsid w:val="00AF5E4A"/>
    <w:rsid w:val="00AF5E6E"/>
    <w:rsid w:val="00AF60E5"/>
    <w:rsid w:val="00AF67CA"/>
    <w:rsid w:val="00AF6980"/>
    <w:rsid w:val="00AF6CCD"/>
    <w:rsid w:val="00AF6CDA"/>
    <w:rsid w:val="00AF6D9E"/>
    <w:rsid w:val="00AF6F33"/>
    <w:rsid w:val="00AF7095"/>
    <w:rsid w:val="00AF7191"/>
    <w:rsid w:val="00AF7210"/>
    <w:rsid w:val="00AF7218"/>
    <w:rsid w:val="00AF7371"/>
    <w:rsid w:val="00AF741D"/>
    <w:rsid w:val="00AF7558"/>
    <w:rsid w:val="00AF797A"/>
    <w:rsid w:val="00AF7B65"/>
    <w:rsid w:val="00B00041"/>
    <w:rsid w:val="00B0061F"/>
    <w:rsid w:val="00B007AB"/>
    <w:rsid w:val="00B00893"/>
    <w:rsid w:val="00B0094C"/>
    <w:rsid w:val="00B00B3C"/>
    <w:rsid w:val="00B00C2F"/>
    <w:rsid w:val="00B010A3"/>
    <w:rsid w:val="00B01989"/>
    <w:rsid w:val="00B01CF6"/>
    <w:rsid w:val="00B01DBA"/>
    <w:rsid w:val="00B022CE"/>
    <w:rsid w:val="00B024A1"/>
    <w:rsid w:val="00B02658"/>
    <w:rsid w:val="00B027C2"/>
    <w:rsid w:val="00B0280F"/>
    <w:rsid w:val="00B0336B"/>
    <w:rsid w:val="00B03B66"/>
    <w:rsid w:val="00B043E3"/>
    <w:rsid w:val="00B04823"/>
    <w:rsid w:val="00B0483D"/>
    <w:rsid w:val="00B04AB3"/>
    <w:rsid w:val="00B04C8A"/>
    <w:rsid w:val="00B04CDF"/>
    <w:rsid w:val="00B052B9"/>
    <w:rsid w:val="00B0549E"/>
    <w:rsid w:val="00B05617"/>
    <w:rsid w:val="00B057CB"/>
    <w:rsid w:val="00B05DE7"/>
    <w:rsid w:val="00B063B9"/>
    <w:rsid w:val="00B065AC"/>
    <w:rsid w:val="00B0666A"/>
    <w:rsid w:val="00B06E66"/>
    <w:rsid w:val="00B06F0C"/>
    <w:rsid w:val="00B075F6"/>
    <w:rsid w:val="00B07AB8"/>
    <w:rsid w:val="00B07B3F"/>
    <w:rsid w:val="00B07C6B"/>
    <w:rsid w:val="00B10001"/>
    <w:rsid w:val="00B100EC"/>
    <w:rsid w:val="00B102A2"/>
    <w:rsid w:val="00B1042B"/>
    <w:rsid w:val="00B1066B"/>
    <w:rsid w:val="00B1069A"/>
    <w:rsid w:val="00B108DD"/>
    <w:rsid w:val="00B10A4D"/>
    <w:rsid w:val="00B10A54"/>
    <w:rsid w:val="00B10B9C"/>
    <w:rsid w:val="00B10CC4"/>
    <w:rsid w:val="00B1109D"/>
    <w:rsid w:val="00B11724"/>
    <w:rsid w:val="00B1177F"/>
    <w:rsid w:val="00B11B09"/>
    <w:rsid w:val="00B11BAF"/>
    <w:rsid w:val="00B11D7A"/>
    <w:rsid w:val="00B122F9"/>
    <w:rsid w:val="00B12A03"/>
    <w:rsid w:val="00B12ABB"/>
    <w:rsid w:val="00B12BAB"/>
    <w:rsid w:val="00B130CD"/>
    <w:rsid w:val="00B13963"/>
    <w:rsid w:val="00B13C75"/>
    <w:rsid w:val="00B13C81"/>
    <w:rsid w:val="00B1447A"/>
    <w:rsid w:val="00B148CC"/>
    <w:rsid w:val="00B14CB6"/>
    <w:rsid w:val="00B14E35"/>
    <w:rsid w:val="00B15036"/>
    <w:rsid w:val="00B150F8"/>
    <w:rsid w:val="00B151F1"/>
    <w:rsid w:val="00B157AE"/>
    <w:rsid w:val="00B15CEF"/>
    <w:rsid w:val="00B1655A"/>
    <w:rsid w:val="00B165FD"/>
    <w:rsid w:val="00B16693"/>
    <w:rsid w:val="00B16775"/>
    <w:rsid w:val="00B167ED"/>
    <w:rsid w:val="00B16CDC"/>
    <w:rsid w:val="00B16D9C"/>
    <w:rsid w:val="00B172B6"/>
    <w:rsid w:val="00B1753E"/>
    <w:rsid w:val="00B17724"/>
    <w:rsid w:val="00B178F7"/>
    <w:rsid w:val="00B17A81"/>
    <w:rsid w:val="00B17B69"/>
    <w:rsid w:val="00B202F6"/>
    <w:rsid w:val="00B20664"/>
    <w:rsid w:val="00B208C1"/>
    <w:rsid w:val="00B20998"/>
    <w:rsid w:val="00B20A60"/>
    <w:rsid w:val="00B21059"/>
    <w:rsid w:val="00B213F7"/>
    <w:rsid w:val="00B216C2"/>
    <w:rsid w:val="00B217BC"/>
    <w:rsid w:val="00B21891"/>
    <w:rsid w:val="00B218EA"/>
    <w:rsid w:val="00B21C0C"/>
    <w:rsid w:val="00B21EAA"/>
    <w:rsid w:val="00B21FD5"/>
    <w:rsid w:val="00B222EC"/>
    <w:rsid w:val="00B22439"/>
    <w:rsid w:val="00B22487"/>
    <w:rsid w:val="00B22902"/>
    <w:rsid w:val="00B23029"/>
    <w:rsid w:val="00B2348F"/>
    <w:rsid w:val="00B23517"/>
    <w:rsid w:val="00B235B7"/>
    <w:rsid w:val="00B23602"/>
    <w:rsid w:val="00B237E2"/>
    <w:rsid w:val="00B23B04"/>
    <w:rsid w:val="00B23D31"/>
    <w:rsid w:val="00B2423F"/>
    <w:rsid w:val="00B242FE"/>
    <w:rsid w:val="00B24652"/>
    <w:rsid w:val="00B247B4"/>
    <w:rsid w:val="00B2489E"/>
    <w:rsid w:val="00B249F5"/>
    <w:rsid w:val="00B24F5E"/>
    <w:rsid w:val="00B24F8C"/>
    <w:rsid w:val="00B25399"/>
    <w:rsid w:val="00B253F6"/>
    <w:rsid w:val="00B25420"/>
    <w:rsid w:val="00B255AC"/>
    <w:rsid w:val="00B25785"/>
    <w:rsid w:val="00B259DF"/>
    <w:rsid w:val="00B2622F"/>
    <w:rsid w:val="00B263D6"/>
    <w:rsid w:val="00B267F2"/>
    <w:rsid w:val="00B269EF"/>
    <w:rsid w:val="00B26A5A"/>
    <w:rsid w:val="00B26C0E"/>
    <w:rsid w:val="00B26EF8"/>
    <w:rsid w:val="00B271EA"/>
    <w:rsid w:val="00B273AA"/>
    <w:rsid w:val="00B275B9"/>
    <w:rsid w:val="00B27677"/>
    <w:rsid w:val="00B27735"/>
    <w:rsid w:val="00B2798C"/>
    <w:rsid w:val="00B27A41"/>
    <w:rsid w:val="00B27B4F"/>
    <w:rsid w:val="00B27B5D"/>
    <w:rsid w:val="00B30459"/>
    <w:rsid w:val="00B30B79"/>
    <w:rsid w:val="00B30C4E"/>
    <w:rsid w:val="00B30D98"/>
    <w:rsid w:val="00B30E70"/>
    <w:rsid w:val="00B30EF0"/>
    <w:rsid w:val="00B31085"/>
    <w:rsid w:val="00B3147C"/>
    <w:rsid w:val="00B317C9"/>
    <w:rsid w:val="00B31B17"/>
    <w:rsid w:val="00B31DA9"/>
    <w:rsid w:val="00B31E8F"/>
    <w:rsid w:val="00B31F8C"/>
    <w:rsid w:val="00B32316"/>
    <w:rsid w:val="00B3272D"/>
    <w:rsid w:val="00B32751"/>
    <w:rsid w:val="00B3279A"/>
    <w:rsid w:val="00B32B6C"/>
    <w:rsid w:val="00B333E6"/>
    <w:rsid w:val="00B33522"/>
    <w:rsid w:val="00B3376D"/>
    <w:rsid w:val="00B33D72"/>
    <w:rsid w:val="00B33E40"/>
    <w:rsid w:val="00B33F33"/>
    <w:rsid w:val="00B34418"/>
    <w:rsid w:val="00B344F3"/>
    <w:rsid w:val="00B345D5"/>
    <w:rsid w:val="00B346DA"/>
    <w:rsid w:val="00B347A7"/>
    <w:rsid w:val="00B3497E"/>
    <w:rsid w:val="00B34B46"/>
    <w:rsid w:val="00B34C12"/>
    <w:rsid w:val="00B34C1D"/>
    <w:rsid w:val="00B35038"/>
    <w:rsid w:val="00B35152"/>
    <w:rsid w:val="00B354E8"/>
    <w:rsid w:val="00B35598"/>
    <w:rsid w:val="00B356DF"/>
    <w:rsid w:val="00B35848"/>
    <w:rsid w:val="00B3588D"/>
    <w:rsid w:val="00B35B6C"/>
    <w:rsid w:val="00B35CC6"/>
    <w:rsid w:val="00B35F8C"/>
    <w:rsid w:val="00B3625E"/>
    <w:rsid w:val="00B3673A"/>
    <w:rsid w:val="00B36882"/>
    <w:rsid w:val="00B36AC3"/>
    <w:rsid w:val="00B36CA7"/>
    <w:rsid w:val="00B36E75"/>
    <w:rsid w:val="00B36E97"/>
    <w:rsid w:val="00B36F8C"/>
    <w:rsid w:val="00B37885"/>
    <w:rsid w:val="00B378A6"/>
    <w:rsid w:val="00B3793C"/>
    <w:rsid w:val="00B37E71"/>
    <w:rsid w:val="00B4006C"/>
    <w:rsid w:val="00B400B2"/>
    <w:rsid w:val="00B408E7"/>
    <w:rsid w:val="00B40A08"/>
    <w:rsid w:val="00B40C0F"/>
    <w:rsid w:val="00B40C19"/>
    <w:rsid w:val="00B40F05"/>
    <w:rsid w:val="00B41325"/>
    <w:rsid w:val="00B4177B"/>
    <w:rsid w:val="00B418F8"/>
    <w:rsid w:val="00B41A0D"/>
    <w:rsid w:val="00B41ABB"/>
    <w:rsid w:val="00B41C7F"/>
    <w:rsid w:val="00B41CDE"/>
    <w:rsid w:val="00B421DF"/>
    <w:rsid w:val="00B4225F"/>
    <w:rsid w:val="00B42478"/>
    <w:rsid w:val="00B42513"/>
    <w:rsid w:val="00B4254B"/>
    <w:rsid w:val="00B427B2"/>
    <w:rsid w:val="00B427ED"/>
    <w:rsid w:val="00B429FC"/>
    <w:rsid w:val="00B42A20"/>
    <w:rsid w:val="00B42BF7"/>
    <w:rsid w:val="00B42DE9"/>
    <w:rsid w:val="00B43225"/>
    <w:rsid w:val="00B433E5"/>
    <w:rsid w:val="00B434C1"/>
    <w:rsid w:val="00B43528"/>
    <w:rsid w:val="00B43918"/>
    <w:rsid w:val="00B43A60"/>
    <w:rsid w:val="00B43B61"/>
    <w:rsid w:val="00B43BD9"/>
    <w:rsid w:val="00B43C4C"/>
    <w:rsid w:val="00B44189"/>
    <w:rsid w:val="00B44307"/>
    <w:rsid w:val="00B44371"/>
    <w:rsid w:val="00B4449F"/>
    <w:rsid w:val="00B44721"/>
    <w:rsid w:val="00B448F1"/>
    <w:rsid w:val="00B44AC3"/>
    <w:rsid w:val="00B44B1F"/>
    <w:rsid w:val="00B44CE7"/>
    <w:rsid w:val="00B44E7E"/>
    <w:rsid w:val="00B451FA"/>
    <w:rsid w:val="00B4540B"/>
    <w:rsid w:val="00B45C7F"/>
    <w:rsid w:val="00B45FDD"/>
    <w:rsid w:val="00B46209"/>
    <w:rsid w:val="00B4649B"/>
    <w:rsid w:val="00B465FA"/>
    <w:rsid w:val="00B4675C"/>
    <w:rsid w:val="00B4681B"/>
    <w:rsid w:val="00B46847"/>
    <w:rsid w:val="00B46B94"/>
    <w:rsid w:val="00B46B9F"/>
    <w:rsid w:val="00B47039"/>
    <w:rsid w:val="00B47119"/>
    <w:rsid w:val="00B47286"/>
    <w:rsid w:val="00B4756D"/>
    <w:rsid w:val="00B4779E"/>
    <w:rsid w:val="00B47890"/>
    <w:rsid w:val="00B47A96"/>
    <w:rsid w:val="00B47EFC"/>
    <w:rsid w:val="00B502A6"/>
    <w:rsid w:val="00B506F0"/>
    <w:rsid w:val="00B5087B"/>
    <w:rsid w:val="00B509B0"/>
    <w:rsid w:val="00B50A62"/>
    <w:rsid w:val="00B50D92"/>
    <w:rsid w:val="00B51126"/>
    <w:rsid w:val="00B51331"/>
    <w:rsid w:val="00B52898"/>
    <w:rsid w:val="00B52C55"/>
    <w:rsid w:val="00B5305F"/>
    <w:rsid w:val="00B532BD"/>
    <w:rsid w:val="00B532C1"/>
    <w:rsid w:val="00B534AC"/>
    <w:rsid w:val="00B53598"/>
    <w:rsid w:val="00B5371B"/>
    <w:rsid w:val="00B53B73"/>
    <w:rsid w:val="00B53E45"/>
    <w:rsid w:val="00B53E8A"/>
    <w:rsid w:val="00B53EF3"/>
    <w:rsid w:val="00B54584"/>
    <w:rsid w:val="00B54658"/>
    <w:rsid w:val="00B5491D"/>
    <w:rsid w:val="00B5491F"/>
    <w:rsid w:val="00B5499E"/>
    <w:rsid w:val="00B55910"/>
    <w:rsid w:val="00B55A3A"/>
    <w:rsid w:val="00B55B76"/>
    <w:rsid w:val="00B55CB1"/>
    <w:rsid w:val="00B56019"/>
    <w:rsid w:val="00B5608F"/>
    <w:rsid w:val="00B56315"/>
    <w:rsid w:val="00B56B55"/>
    <w:rsid w:val="00B56C3D"/>
    <w:rsid w:val="00B56D71"/>
    <w:rsid w:val="00B57493"/>
    <w:rsid w:val="00B57762"/>
    <w:rsid w:val="00B57834"/>
    <w:rsid w:val="00B57A91"/>
    <w:rsid w:val="00B57ABE"/>
    <w:rsid w:val="00B57D4F"/>
    <w:rsid w:val="00B57F04"/>
    <w:rsid w:val="00B600A3"/>
    <w:rsid w:val="00B6029A"/>
    <w:rsid w:val="00B602EB"/>
    <w:rsid w:val="00B60AA8"/>
    <w:rsid w:val="00B60AFC"/>
    <w:rsid w:val="00B60C13"/>
    <w:rsid w:val="00B60F25"/>
    <w:rsid w:val="00B61091"/>
    <w:rsid w:val="00B61145"/>
    <w:rsid w:val="00B611FF"/>
    <w:rsid w:val="00B6133A"/>
    <w:rsid w:val="00B61427"/>
    <w:rsid w:val="00B61497"/>
    <w:rsid w:val="00B61628"/>
    <w:rsid w:val="00B61BC8"/>
    <w:rsid w:val="00B62108"/>
    <w:rsid w:val="00B6233F"/>
    <w:rsid w:val="00B623A0"/>
    <w:rsid w:val="00B62439"/>
    <w:rsid w:val="00B630FA"/>
    <w:rsid w:val="00B63480"/>
    <w:rsid w:val="00B6360D"/>
    <w:rsid w:val="00B6367E"/>
    <w:rsid w:val="00B63A1B"/>
    <w:rsid w:val="00B63C06"/>
    <w:rsid w:val="00B63CEB"/>
    <w:rsid w:val="00B63DF8"/>
    <w:rsid w:val="00B64050"/>
    <w:rsid w:val="00B64141"/>
    <w:rsid w:val="00B642CD"/>
    <w:rsid w:val="00B64457"/>
    <w:rsid w:val="00B645FD"/>
    <w:rsid w:val="00B6460F"/>
    <w:rsid w:val="00B6472A"/>
    <w:rsid w:val="00B6473D"/>
    <w:rsid w:val="00B64D6B"/>
    <w:rsid w:val="00B64E72"/>
    <w:rsid w:val="00B64ECB"/>
    <w:rsid w:val="00B64F1B"/>
    <w:rsid w:val="00B6548F"/>
    <w:rsid w:val="00B65555"/>
    <w:rsid w:val="00B655DC"/>
    <w:rsid w:val="00B6587E"/>
    <w:rsid w:val="00B65A2E"/>
    <w:rsid w:val="00B65D5D"/>
    <w:rsid w:val="00B66279"/>
    <w:rsid w:val="00B6692A"/>
    <w:rsid w:val="00B66A47"/>
    <w:rsid w:val="00B66A8C"/>
    <w:rsid w:val="00B66B8D"/>
    <w:rsid w:val="00B66D1D"/>
    <w:rsid w:val="00B66E7B"/>
    <w:rsid w:val="00B66E7C"/>
    <w:rsid w:val="00B66FD0"/>
    <w:rsid w:val="00B6710E"/>
    <w:rsid w:val="00B6715D"/>
    <w:rsid w:val="00B677D8"/>
    <w:rsid w:val="00B678B0"/>
    <w:rsid w:val="00B67FFC"/>
    <w:rsid w:val="00B70BDB"/>
    <w:rsid w:val="00B70DA9"/>
    <w:rsid w:val="00B7135E"/>
    <w:rsid w:val="00B715AF"/>
    <w:rsid w:val="00B71670"/>
    <w:rsid w:val="00B716BD"/>
    <w:rsid w:val="00B7180B"/>
    <w:rsid w:val="00B71A48"/>
    <w:rsid w:val="00B7204D"/>
    <w:rsid w:val="00B720E6"/>
    <w:rsid w:val="00B722D3"/>
    <w:rsid w:val="00B7241A"/>
    <w:rsid w:val="00B729CD"/>
    <w:rsid w:val="00B72B4F"/>
    <w:rsid w:val="00B72D36"/>
    <w:rsid w:val="00B72E9D"/>
    <w:rsid w:val="00B72F60"/>
    <w:rsid w:val="00B730C7"/>
    <w:rsid w:val="00B73120"/>
    <w:rsid w:val="00B73184"/>
    <w:rsid w:val="00B735D8"/>
    <w:rsid w:val="00B73751"/>
    <w:rsid w:val="00B737A8"/>
    <w:rsid w:val="00B7386D"/>
    <w:rsid w:val="00B73A64"/>
    <w:rsid w:val="00B73B37"/>
    <w:rsid w:val="00B73C9B"/>
    <w:rsid w:val="00B73D31"/>
    <w:rsid w:val="00B73FF5"/>
    <w:rsid w:val="00B740C1"/>
    <w:rsid w:val="00B742E5"/>
    <w:rsid w:val="00B744AC"/>
    <w:rsid w:val="00B74521"/>
    <w:rsid w:val="00B74522"/>
    <w:rsid w:val="00B74B19"/>
    <w:rsid w:val="00B74C88"/>
    <w:rsid w:val="00B74DCC"/>
    <w:rsid w:val="00B74E62"/>
    <w:rsid w:val="00B754DD"/>
    <w:rsid w:val="00B754FD"/>
    <w:rsid w:val="00B75868"/>
    <w:rsid w:val="00B75BCD"/>
    <w:rsid w:val="00B75FF5"/>
    <w:rsid w:val="00B761A8"/>
    <w:rsid w:val="00B761F1"/>
    <w:rsid w:val="00B7632F"/>
    <w:rsid w:val="00B76586"/>
    <w:rsid w:val="00B76943"/>
    <w:rsid w:val="00B769E9"/>
    <w:rsid w:val="00B76A5B"/>
    <w:rsid w:val="00B76A6E"/>
    <w:rsid w:val="00B770F4"/>
    <w:rsid w:val="00B77254"/>
    <w:rsid w:val="00B77390"/>
    <w:rsid w:val="00B773F8"/>
    <w:rsid w:val="00B7756C"/>
    <w:rsid w:val="00B7779C"/>
    <w:rsid w:val="00B77913"/>
    <w:rsid w:val="00B77A42"/>
    <w:rsid w:val="00B77A5D"/>
    <w:rsid w:val="00B77CB5"/>
    <w:rsid w:val="00B77D0B"/>
    <w:rsid w:val="00B77F32"/>
    <w:rsid w:val="00B800CD"/>
    <w:rsid w:val="00B8023F"/>
    <w:rsid w:val="00B802B4"/>
    <w:rsid w:val="00B802DF"/>
    <w:rsid w:val="00B80351"/>
    <w:rsid w:val="00B80497"/>
    <w:rsid w:val="00B808D5"/>
    <w:rsid w:val="00B80AA0"/>
    <w:rsid w:val="00B80DF2"/>
    <w:rsid w:val="00B80E4F"/>
    <w:rsid w:val="00B80F37"/>
    <w:rsid w:val="00B8106C"/>
    <w:rsid w:val="00B81214"/>
    <w:rsid w:val="00B813C3"/>
    <w:rsid w:val="00B816BC"/>
    <w:rsid w:val="00B816D6"/>
    <w:rsid w:val="00B8183C"/>
    <w:rsid w:val="00B81AC2"/>
    <w:rsid w:val="00B821D2"/>
    <w:rsid w:val="00B82477"/>
    <w:rsid w:val="00B824E7"/>
    <w:rsid w:val="00B824FB"/>
    <w:rsid w:val="00B82571"/>
    <w:rsid w:val="00B825FD"/>
    <w:rsid w:val="00B82618"/>
    <w:rsid w:val="00B82646"/>
    <w:rsid w:val="00B82B44"/>
    <w:rsid w:val="00B82FFD"/>
    <w:rsid w:val="00B8331E"/>
    <w:rsid w:val="00B835F1"/>
    <w:rsid w:val="00B83851"/>
    <w:rsid w:val="00B839AA"/>
    <w:rsid w:val="00B83F23"/>
    <w:rsid w:val="00B83FF3"/>
    <w:rsid w:val="00B841C6"/>
    <w:rsid w:val="00B8446C"/>
    <w:rsid w:val="00B84757"/>
    <w:rsid w:val="00B84886"/>
    <w:rsid w:val="00B8495B"/>
    <w:rsid w:val="00B84A00"/>
    <w:rsid w:val="00B84A63"/>
    <w:rsid w:val="00B84AE1"/>
    <w:rsid w:val="00B85094"/>
    <w:rsid w:val="00B8536F"/>
    <w:rsid w:val="00B853DC"/>
    <w:rsid w:val="00B853E4"/>
    <w:rsid w:val="00B85595"/>
    <w:rsid w:val="00B857B1"/>
    <w:rsid w:val="00B859DB"/>
    <w:rsid w:val="00B85A28"/>
    <w:rsid w:val="00B85CCC"/>
    <w:rsid w:val="00B85DA7"/>
    <w:rsid w:val="00B85FE9"/>
    <w:rsid w:val="00B86195"/>
    <w:rsid w:val="00B86442"/>
    <w:rsid w:val="00B86536"/>
    <w:rsid w:val="00B86563"/>
    <w:rsid w:val="00B86569"/>
    <w:rsid w:val="00B8669B"/>
    <w:rsid w:val="00B86BC1"/>
    <w:rsid w:val="00B86BCD"/>
    <w:rsid w:val="00B86BFA"/>
    <w:rsid w:val="00B86C24"/>
    <w:rsid w:val="00B86F5D"/>
    <w:rsid w:val="00B87041"/>
    <w:rsid w:val="00B87071"/>
    <w:rsid w:val="00B8781B"/>
    <w:rsid w:val="00B87D2D"/>
    <w:rsid w:val="00B87FAF"/>
    <w:rsid w:val="00B90128"/>
    <w:rsid w:val="00B901B6"/>
    <w:rsid w:val="00B901C2"/>
    <w:rsid w:val="00B90302"/>
    <w:rsid w:val="00B90373"/>
    <w:rsid w:val="00B904FC"/>
    <w:rsid w:val="00B906E7"/>
    <w:rsid w:val="00B907C3"/>
    <w:rsid w:val="00B90809"/>
    <w:rsid w:val="00B90B9E"/>
    <w:rsid w:val="00B90E8D"/>
    <w:rsid w:val="00B91075"/>
    <w:rsid w:val="00B9125D"/>
    <w:rsid w:val="00B912A4"/>
    <w:rsid w:val="00B914B5"/>
    <w:rsid w:val="00B918CE"/>
    <w:rsid w:val="00B918D6"/>
    <w:rsid w:val="00B919F1"/>
    <w:rsid w:val="00B91AD1"/>
    <w:rsid w:val="00B91E66"/>
    <w:rsid w:val="00B91FD4"/>
    <w:rsid w:val="00B92067"/>
    <w:rsid w:val="00B92104"/>
    <w:rsid w:val="00B921CB"/>
    <w:rsid w:val="00B92370"/>
    <w:rsid w:val="00B92401"/>
    <w:rsid w:val="00B925D9"/>
    <w:rsid w:val="00B92643"/>
    <w:rsid w:val="00B92793"/>
    <w:rsid w:val="00B928E9"/>
    <w:rsid w:val="00B92930"/>
    <w:rsid w:val="00B929A6"/>
    <w:rsid w:val="00B9317A"/>
    <w:rsid w:val="00B93290"/>
    <w:rsid w:val="00B9329D"/>
    <w:rsid w:val="00B9334F"/>
    <w:rsid w:val="00B93364"/>
    <w:rsid w:val="00B93666"/>
    <w:rsid w:val="00B93763"/>
    <w:rsid w:val="00B9383E"/>
    <w:rsid w:val="00B9386F"/>
    <w:rsid w:val="00B938AB"/>
    <w:rsid w:val="00B93B92"/>
    <w:rsid w:val="00B93D49"/>
    <w:rsid w:val="00B93E5D"/>
    <w:rsid w:val="00B9439E"/>
    <w:rsid w:val="00B9455D"/>
    <w:rsid w:val="00B94B8A"/>
    <w:rsid w:val="00B94DCE"/>
    <w:rsid w:val="00B955BE"/>
    <w:rsid w:val="00B95775"/>
    <w:rsid w:val="00B95F46"/>
    <w:rsid w:val="00B95F48"/>
    <w:rsid w:val="00B961EF"/>
    <w:rsid w:val="00B9666E"/>
    <w:rsid w:val="00B96700"/>
    <w:rsid w:val="00B96810"/>
    <w:rsid w:val="00B969F2"/>
    <w:rsid w:val="00B96B54"/>
    <w:rsid w:val="00B96FA8"/>
    <w:rsid w:val="00B9702E"/>
    <w:rsid w:val="00B97359"/>
    <w:rsid w:val="00B9736D"/>
    <w:rsid w:val="00B974BB"/>
    <w:rsid w:val="00B978EE"/>
    <w:rsid w:val="00B97A8F"/>
    <w:rsid w:val="00B97A9B"/>
    <w:rsid w:val="00B97D93"/>
    <w:rsid w:val="00B97DD4"/>
    <w:rsid w:val="00BA0330"/>
    <w:rsid w:val="00BA03CC"/>
    <w:rsid w:val="00BA050A"/>
    <w:rsid w:val="00BA08E7"/>
    <w:rsid w:val="00BA0989"/>
    <w:rsid w:val="00BA0C6D"/>
    <w:rsid w:val="00BA0CC0"/>
    <w:rsid w:val="00BA0D32"/>
    <w:rsid w:val="00BA1039"/>
    <w:rsid w:val="00BA173D"/>
    <w:rsid w:val="00BA17B0"/>
    <w:rsid w:val="00BA18FE"/>
    <w:rsid w:val="00BA1B16"/>
    <w:rsid w:val="00BA1B5F"/>
    <w:rsid w:val="00BA218B"/>
    <w:rsid w:val="00BA222A"/>
    <w:rsid w:val="00BA244E"/>
    <w:rsid w:val="00BA27FD"/>
    <w:rsid w:val="00BA2A3A"/>
    <w:rsid w:val="00BA31AF"/>
    <w:rsid w:val="00BA3361"/>
    <w:rsid w:val="00BA3800"/>
    <w:rsid w:val="00BA3809"/>
    <w:rsid w:val="00BA3D3E"/>
    <w:rsid w:val="00BA3ED9"/>
    <w:rsid w:val="00BA4028"/>
    <w:rsid w:val="00BA405C"/>
    <w:rsid w:val="00BA41D0"/>
    <w:rsid w:val="00BA442D"/>
    <w:rsid w:val="00BA4556"/>
    <w:rsid w:val="00BA46D3"/>
    <w:rsid w:val="00BA4962"/>
    <w:rsid w:val="00BA4CAF"/>
    <w:rsid w:val="00BA4D53"/>
    <w:rsid w:val="00BA4E58"/>
    <w:rsid w:val="00BA5614"/>
    <w:rsid w:val="00BA5B48"/>
    <w:rsid w:val="00BA5C27"/>
    <w:rsid w:val="00BA5DA6"/>
    <w:rsid w:val="00BA6299"/>
    <w:rsid w:val="00BA657B"/>
    <w:rsid w:val="00BA6A1E"/>
    <w:rsid w:val="00BA6CD6"/>
    <w:rsid w:val="00BA6D05"/>
    <w:rsid w:val="00BA6EF1"/>
    <w:rsid w:val="00BA6F57"/>
    <w:rsid w:val="00BA7074"/>
    <w:rsid w:val="00BA7460"/>
    <w:rsid w:val="00BA77AF"/>
    <w:rsid w:val="00BA7B46"/>
    <w:rsid w:val="00BA7BDC"/>
    <w:rsid w:val="00BA7D0F"/>
    <w:rsid w:val="00BA7E17"/>
    <w:rsid w:val="00BA7F7A"/>
    <w:rsid w:val="00BB004E"/>
    <w:rsid w:val="00BB014B"/>
    <w:rsid w:val="00BB02BB"/>
    <w:rsid w:val="00BB032C"/>
    <w:rsid w:val="00BB0356"/>
    <w:rsid w:val="00BB05F5"/>
    <w:rsid w:val="00BB0D94"/>
    <w:rsid w:val="00BB1016"/>
    <w:rsid w:val="00BB1293"/>
    <w:rsid w:val="00BB1942"/>
    <w:rsid w:val="00BB1946"/>
    <w:rsid w:val="00BB19A1"/>
    <w:rsid w:val="00BB24FA"/>
    <w:rsid w:val="00BB25D1"/>
    <w:rsid w:val="00BB2A1D"/>
    <w:rsid w:val="00BB2B8A"/>
    <w:rsid w:val="00BB2C2E"/>
    <w:rsid w:val="00BB2D96"/>
    <w:rsid w:val="00BB32FA"/>
    <w:rsid w:val="00BB3448"/>
    <w:rsid w:val="00BB3C9C"/>
    <w:rsid w:val="00BB42DA"/>
    <w:rsid w:val="00BB47CB"/>
    <w:rsid w:val="00BB4BA5"/>
    <w:rsid w:val="00BB4E9F"/>
    <w:rsid w:val="00BB5418"/>
    <w:rsid w:val="00BB55D8"/>
    <w:rsid w:val="00BB59DE"/>
    <w:rsid w:val="00BB5B34"/>
    <w:rsid w:val="00BB5C6E"/>
    <w:rsid w:val="00BB5FB6"/>
    <w:rsid w:val="00BB61F7"/>
    <w:rsid w:val="00BB6970"/>
    <w:rsid w:val="00BB6A45"/>
    <w:rsid w:val="00BB6B46"/>
    <w:rsid w:val="00BB6BB3"/>
    <w:rsid w:val="00BB6CB0"/>
    <w:rsid w:val="00BB6D42"/>
    <w:rsid w:val="00BB74B2"/>
    <w:rsid w:val="00BB76EE"/>
    <w:rsid w:val="00BB7829"/>
    <w:rsid w:val="00BB78A5"/>
    <w:rsid w:val="00BC02E1"/>
    <w:rsid w:val="00BC0547"/>
    <w:rsid w:val="00BC061B"/>
    <w:rsid w:val="00BC0B8C"/>
    <w:rsid w:val="00BC1134"/>
    <w:rsid w:val="00BC1150"/>
    <w:rsid w:val="00BC136C"/>
    <w:rsid w:val="00BC1685"/>
    <w:rsid w:val="00BC16A4"/>
    <w:rsid w:val="00BC1C58"/>
    <w:rsid w:val="00BC1F75"/>
    <w:rsid w:val="00BC21AA"/>
    <w:rsid w:val="00BC221C"/>
    <w:rsid w:val="00BC24EA"/>
    <w:rsid w:val="00BC2866"/>
    <w:rsid w:val="00BC288A"/>
    <w:rsid w:val="00BC2922"/>
    <w:rsid w:val="00BC2BF6"/>
    <w:rsid w:val="00BC2E9F"/>
    <w:rsid w:val="00BC2FB4"/>
    <w:rsid w:val="00BC302C"/>
    <w:rsid w:val="00BC32DA"/>
    <w:rsid w:val="00BC348C"/>
    <w:rsid w:val="00BC363B"/>
    <w:rsid w:val="00BC3775"/>
    <w:rsid w:val="00BC3798"/>
    <w:rsid w:val="00BC38F0"/>
    <w:rsid w:val="00BC3C8C"/>
    <w:rsid w:val="00BC44C0"/>
    <w:rsid w:val="00BC4597"/>
    <w:rsid w:val="00BC4668"/>
    <w:rsid w:val="00BC4698"/>
    <w:rsid w:val="00BC479C"/>
    <w:rsid w:val="00BC495F"/>
    <w:rsid w:val="00BC4A1F"/>
    <w:rsid w:val="00BC4C36"/>
    <w:rsid w:val="00BC5032"/>
    <w:rsid w:val="00BC51FD"/>
    <w:rsid w:val="00BC526B"/>
    <w:rsid w:val="00BC54FC"/>
    <w:rsid w:val="00BC559A"/>
    <w:rsid w:val="00BC55E6"/>
    <w:rsid w:val="00BC573F"/>
    <w:rsid w:val="00BC58A6"/>
    <w:rsid w:val="00BC596B"/>
    <w:rsid w:val="00BC5AF3"/>
    <w:rsid w:val="00BC6415"/>
    <w:rsid w:val="00BC6887"/>
    <w:rsid w:val="00BC6CF5"/>
    <w:rsid w:val="00BC6F7A"/>
    <w:rsid w:val="00BC70BD"/>
    <w:rsid w:val="00BC74D2"/>
    <w:rsid w:val="00BC7531"/>
    <w:rsid w:val="00BC756A"/>
    <w:rsid w:val="00BC76F3"/>
    <w:rsid w:val="00BC7832"/>
    <w:rsid w:val="00BC7AD3"/>
    <w:rsid w:val="00BC7BCE"/>
    <w:rsid w:val="00BC7C23"/>
    <w:rsid w:val="00BC7F2F"/>
    <w:rsid w:val="00BD09FB"/>
    <w:rsid w:val="00BD0D87"/>
    <w:rsid w:val="00BD0FB1"/>
    <w:rsid w:val="00BD0FF6"/>
    <w:rsid w:val="00BD1457"/>
    <w:rsid w:val="00BD18A4"/>
    <w:rsid w:val="00BD19E2"/>
    <w:rsid w:val="00BD1A15"/>
    <w:rsid w:val="00BD1A5C"/>
    <w:rsid w:val="00BD1CE6"/>
    <w:rsid w:val="00BD1F51"/>
    <w:rsid w:val="00BD2119"/>
    <w:rsid w:val="00BD27D4"/>
    <w:rsid w:val="00BD29CD"/>
    <w:rsid w:val="00BD2AAF"/>
    <w:rsid w:val="00BD2CCB"/>
    <w:rsid w:val="00BD31CD"/>
    <w:rsid w:val="00BD3292"/>
    <w:rsid w:val="00BD33CA"/>
    <w:rsid w:val="00BD33FD"/>
    <w:rsid w:val="00BD3644"/>
    <w:rsid w:val="00BD3B22"/>
    <w:rsid w:val="00BD3B81"/>
    <w:rsid w:val="00BD3E9A"/>
    <w:rsid w:val="00BD3FBB"/>
    <w:rsid w:val="00BD3FDD"/>
    <w:rsid w:val="00BD4110"/>
    <w:rsid w:val="00BD41B5"/>
    <w:rsid w:val="00BD4353"/>
    <w:rsid w:val="00BD4631"/>
    <w:rsid w:val="00BD4676"/>
    <w:rsid w:val="00BD483B"/>
    <w:rsid w:val="00BD4B34"/>
    <w:rsid w:val="00BD4BF2"/>
    <w:rsid w:val="00BD4D03"/>
    <w:rsid w:val="00BD4E69"/>
    <w:rsid w:val="00BD4F8F"/>
    <w:rsid w:val="00BD4FF1"/>
    <w:rsid w:val="00BD5172"/>
    <w:rsid w:val="00BD55F7"/>
    <w:rsid w:val="00BD5623"/>
    <w:rsid w:val="00BD58B1"/>
    <w:rsid w:val="00BD5CFC"/>
    <w:rsid w:val="00BD5D62"/>
    <w:rsid w:val="00BD61AA"/>
    <w:rsid w:val="00BD620F"/>
    <w:rsid w:val="00BD6277"/>
    <w:rsid w:val="00BD67BC"/>
    <w:rsid w:val="00BD6819"/>
    <w:rsid w:val="00BD6A45"/>
    <w:rsid w:val="00BD6D0A"/>
    <w:rsid w:val="00BD757C"/>
    <w:rsid w:val="00BD7867"/>
    <w:rsid w:val="00BE00D1"/>
    <w:rsid w:val="00BE0162"/>
    <w:rsid w:val="00BE040F"/>
    <w:rsid w:val="00BE04C0"/>
    <w:rsid w:val="00BE07FD"/>
    <w:rsid w:val="00BE08B6"/>
    <w:rsid w:val="00BE0936"/>
    <w:rsid w:val="00BE094E"/>
    <w:rsid w:val="00BE096A"/>
    <w:rsid w:val="00BE0B8E"/>
    <w:rsid w:val="00BE0C9D"/>
    <w:rsid w:val="00BE0D91"/>
    <w:rsid w:val="00BE0FBB"/>
    <w:rsid w:val="00BE171F"/>
    <w:rsid w:val="00BE1769"/>
    <w:rsid w:val="00BE1AE3"/>
    <w:rsid w:val="00BE2076"/>
    <w:rsid w:val="00BE20FC"/>
    <w:rsid w:val="00BE2342"/>
    <w:rsid w:val="00BE24DD"/>
    <w:rsid w:val="00BE28FF"/>
    <w:rsid w:val="00BE292D"/>
    <w:rsid w:val="00BE2AD9"/>
    <w:rsid w:val="00BE2BF8"/>
    <w:rsid w:val="00BE3038"/>
    <w:rsid w:val="00BE356C"/>
    <w:rsid w:val="00BE3756"/>
    <w:rsid w:val="00BE3F2F"/>
    <w:rsid w:val="00BE3F86"/>
    <w:rsid w:val="00BE4076"/>
    <w:rsid w:val="00BE4347"/>
    <w:rsid w:val="00BE43EB"/>
    <w:rsid w:val="00BE444E"/>
    <w:rsid w:val="00BE455A"/>
    <w:rsid w:val="00BE461B"/>
    <w:rsid w:val="00BE46F9"/>
    <w:rsid w:val="00BE4AF0"/>
    <w:rsid w:val="00BE4B2D"/>
    <w:rsid w:val="00BE4C05"/>
    <w:rsid w:val="00BE4F4E"/>
    <w:rsid w:val="00BE5224"/>
    <w:rsid w:val="00BE5505"/>
    <w:rsid w:val="00BE55E4"/>
    <w:rsid w:val="00BE5601"/>
    <w:rsid w:val="00BE5A3B"/>
    <w:rsid w:val="00BE5B1A"/>
    <w:rsid w:val="00BE5BFF"/>
    <w:rsid w:val="00BE5E91"/>
    <w:rsid w:val="00BE6048"/>
    <w:rsid w:val="00BE6122"/>
    <w:rsid w:val="00BE61F9"/>
    <w:rsid w:val="00BE630A"/>
    <w:rsid w:val="00BE63AE"/>
    <w:rsid w:val="00BE6494"/>
    <w:rsid w:val="00BE65F1"/>
    <w:rsid w:val="00BE693B"/>
    <w:rsid w:val="00BE6960"/>
    <w:rsid w:val="00BE6ABE"/>
    <w:rsid w:val="00BE6FD4"/>
    <w:rsid w:val="00BE705A"/>
    <w:rsid w:val="00BE71D8"/>
    <w:rsid w:val="00BE7821"/>
    <w:rsid w:val="00BE7941"/>
    <w:rsid w:val="00BE79C3"/>
    <w:rsid w:val="00BE7A6C"/>
    <w:rsid w:val="00BE7B73"/>
    <w:rsid w:val="00BE7B77"/>
    <w:rsid w:val="00BE7B7F"/>
    <w:rsid w:val="00BE7D7D"/>
    <w:rsid w:val="00BE7E2A"/>
    <w:rsid w:val="00BF01D8"/>
    <w:rsid w:val="00BF048C"/>
    <w:rsid w:val="00BF08F7"/>
    <w:rsid w:val="00BF0B9B"/>
    <w:rsid w:val="00BF14C8"/>
    <w:rsid w:val="00BF1C7E"/>
    <w:rsid w:val="00BF1F0F"/>
    <w:rsid w:val="00BF243C"/>
    <w:rsid w:val="00BF255B"/>
    <w:rsid w:val="00BF26E0"/>
    <w:rsid w:val="00BF27C4"/>
    <w:rsid w:val="00BF27FE"/>
    <w:rsid w:val="00BF2896"/>
    <w:rsid w:val="00BF29A5"/>
    <w:rsid w:val="00BF2CAE"/>
    <w:rsid w:val="00BF324D"/>
    <w:rsid w:val="00BF3650"/>
    <w:rsid w:val="00BF3761"/>
    <w:rsid w:val="00BF3865"/>
    <w:rsid w:val="00BF39B9"/>
    <w:rsid w:val="00BF3E70"/>
    <w:rsid w:val="00BF44A2"/>
    <w:rsid w:val="00BF44EB"/>
    <w:rsid w:val="00BF450D"/>
    <w:rsid w:val="00BF4598"/>
    <w:rsid w:val="00BF46BD"/>
    <w:rsid w:val="00BF4933"/>
    <w:rsid w:val="00BF5514"/>
    <w:rsid w:val="00BF5BC1"/>
    <w:rsid w:val="00BF5C1E"/>
    <w:rsid w:val="00BF5E32"/>
    <w:rsid w:val="00BF608E"/>
    <w:rsid w:val="00BF6173"/>
    <w:rsid w:val="00BF6509"/>
    <w:rsid w:val="00BF661A"/>
    <w:rsid w:val="00BF688A"/>
    <w:rsid w:val="00BF69B5"/>
    <w:rsid w:val="00BF6EAA"/>
    <w:rsid w:val="00BF7323"/>
    <w:rsid w:val="00BF740A"/>
    <w:rsid w:val="00BF757D"/>
    <w:rsid w:val="00BF75A0"/>
    <w:rsid w:val="00BF77AC"/>
    <w:rsid w:val="00BF7826"/>
    <w:rsid w:val="00BF7B34"/>
    <w:rsid w:val="00BF7B5D"/>
    <w:rsid w:val="00BF7BE8"/>
    <w:rsid w:val="00BF7F36"/>
    <w:rsid w:val="00BF7FA0"/>
    <w:rsid w:val="00BF7FA2"/>
    <w:rsid w:val="00C00070"/>
    <w:rsid w:val="00C0009D"/>
    <w:rsid w:val="00C0028C"/>
    <w:rsid w:val="00C004BE"/>
    <w:rsid w:val="00C00576"/>
    <w:rsid w:val="00C0094D"/>
    <w:rsid w:val="00C00A2B"/>
    <w:rsid w:val="00C00AB8"/>
    <w:rsid w:val="00C00C47"/>
    <w:rsid w:val="00C00DB7"/>
    <w:rsid w:val="00C00FED"/>
    <w:rsid w:val="00C01005"/>
    <w:rsid w:val="00C01091"/>
    <w:rsid w:val="00C01127"/>
    <w:rsid w:val="00C011F2"/>
    <w:rsid w:val="00C01289"/>
    <w:rsid w:val="00C0145C"/>
    <w:rsid w:val="00C014D3"/>
    <w:rsid w:val="00C0157A"/>
    <w:rsid w:val="00C01631"/>
    <w:rsid w:val="00C01750"/>
    <w:rsid w:val="00C01A1E"/>
    <w:rsid w:val="00C01E9A"/>
    <w:rsid w:val="00C01F1B"/>
    <w:rsid w:val="00C01F46"/>
    <w:rsid w:val="00C01F4B"/>
    <w:rsid w:val="00C022FD"/>
    <w:rsid w:val="00C02304"/>
    <w:rsid w:val="00C02345"/>
    <w:rsid w:val="00C02379"/>
    <w:rsid w:val="00C029BE"/>
    <w:rsid w:val="00C029E8"/>
    <w:rsid w:val="00C03102"/>
    <w:rsid w:val="00C03667"/>
    <w:rsid w:val="00C0384B"/>
    <w:rsid w:val="00C03A76"/>
    <w:rsid w:val="00C03FB6"/>
    <w:rsid w:val="00C043B3"/>
    <w:rsid w:val="00C0450D"/>
    <w:rsid w:val="00C04714"/>
    <w:rsid w:val="00C04738"/>
    <w:rsid w:val="00C04A4D"/>
    <w:rsid w:val="00C04A80"/>
    <w:rsid w:val="00C04CAC"/>
    <w:rsid w:val="00C0557B"/>
    <w:rsid w:val="00C0595D"/>
    <w:rsid w:val="00C05BC3"/>
    <w:rsid w:val="00C05CB0"/>
    <w:rsid w:val="00C05D68"/>
    <w:rsid w:val="00C061EB"/>
    <w:rsid w:val="00C066C4"/>
    <w:rsid w:val="00C0684C"/>
    <w:rsid w:val="00C069A8"/>
    <w:rsid w:val="00C06B32"/>
    <w:rsid w:val="00C06EB0"/>
    <w:rsid w:val="00C06FB6"/>
    <w:rsid w:val="00C072E6"/>
    <w:rsid w:val="00C07311"/>
    <w:rsid w:val="00C079AB"/>
    <w:rsid w:val="00C07EC0"/>
    <w:rsid w:val="00C101CA"/>
    <w:rsid w:val="00C102B1"/>
    <w:rsid w:val="00C103E7"/>
    <w:rsid w:val="00C10423"/>
    <w:rsid w:val="00C10471"/>
    <w:rsid w:val="00C104ED"/>
    <w:rsid w:val="00C10522"/>
    <w:rsid w:val="00C1069B"/>
    <w:rsid w:val="00C10BDD"/>
    <w:rsid w:val="00C10E61"/>
    <w:rsid w:val="00C10E7A"/>
    <w:rsid w:val="00C111A0"/>
    <w:rsid w:val="00C11387"/>
    <w:rsid w:val="00C1185E"/>
    <w:rsid w:val="00C1198C"/>
    <w:rsid w:val="00C11DDE"/>
    <w:rsid w:val="00C11F20"/>
    <w:rsid w:val="00C11FA8"/>
    <w:rsid w:val="00C12072"/>
    <w:rsid w:val="00C12101"/>
    <w:rsid w:val="00C12204"/>
    <w:rsid w:val="00C122F0"/>
    <w:rsid w:val="00C1284C"/>
    <w:rsid w:val="00C129F1"/>
    <w:rsid w:val="00C12B11"/>
    <w:rsid w:val="00C12B99"/>
    <w:rsid w:val="00C13083"/>
    <w:rsid w:val="00C1309E"/>
    <w:rsid w:val="00C132AB"/>
    <w:rsid w:val="00C134A5"/>
    <w:rsid w:val="00C135C0"/>
    <w:rsid w:val="00C136B0"/>
    <w:rsid w:val="00C13AF0"/>
    <w:rsid w:val="00C13C75"/>
    <w:rsid w:val="00C13CCE"/>
    <w:rsid w:val="00C13D8A"/>
    <w:rsid w:val="00C13DD1"/>
    <w:rsid w:val="00C1400C"/>
    <w:rsid w:val="00C140F4"/>
    <w:rsid w:val="00C1426D"/>
    <w:rsid w:val="00C1438E"/>
    <w:rsid w:val="00C1451F"/>
    <w:rsid w:val="00C14745"/>
    <w:rsid w:val="00C14787"/>
    <w:rsid w:val="00C14934"/>
    <w:rsid w:val="00C14AE0"/>
    <w:rsid w:val="00C14C80"/>
    <w:rsid w:val="00C155F0"/>
    <w:rsid w:val="00C156E3"/>
    <w:rsid w:val="00C15861"/>
    <w:rsid w:val="00C1596D"/>
    <w:rsid w:val="00C15B8D"/>
    <w:rsid w:val="00C15F8B"/>
    <w:rsid w:val="00C15FF8"/>
    <w:rsid w:val="00C1669E"/>
    <w:rsid w:val="00C16BB5"/>
    <w:rsid w:val="00C16F4F"/>
    <w:rsid w:val="00C17010"/>
    <w:rsid w:val="00C174FE"/>
    <w:rsid w:val="00C1755E"/>
    <w:rsid w:val="00C176B7"/>
    <w:rsid w:val="00C20021"/>
    <w:rsid w:val="00C20215"/>
    <w:rsid w:val="00C20282"/>
    <w:rsid w:val="00C20342"/>
    <w:rsid w:val="00C204A1"/>
    <w:rsid w:val="00C20562"/>
    <w:rsid w:val="00C20853"/>
    <w:rsid w:val="00C20AC2"/>
    <w:rsid w:val="00C20C00"/>
    <w:rsid w:val="00C20D88"/>
    <w:rsid w:val="00C21200"/>
    <w:rsid w:val="00C2134E"/>
    <w:rsid w:val="00C215C3"/>
    <w:rsid w:val="00C21737"/>
    <w:rsid w:val="00C21AF7"/>
    <w:rsid w:val="00C21E97"/>
    <w:rsid w:val="00C21EDD"/>
    <w:rsid w:val="00C22234"/>
    <w:rsid w:val="00C222F9"/>
    <w:rsid w:val="00C228B0"/>
    <w:rsid w:val="00C22947"/>
    <w:rsid w:val="00C229B9"/>
    <w:rsid w:val="00C22D34"/>
    <w:rsid w:val="00C231BA"/>
    <w:rsid w:val="00C2322E"/>
    <w:rsid w:val="00C234FB"/>
    <w:rsid w:val="00C23608"/>
    <w:rsid w:val="00C23670"/>
    <w:rsid w:val="00C2375D"/>
    <w:rsid w:val="00C2388B"/>
    <w:rsid w:val="00C23900"/>
    <w:rsid w:val="00C239B2"/>
    <w:rsid w:val="00C23A96"/>
    <w:rsid w:val="00C23CB1"/>
    <w:rsid w:val="00C23CBB"/>
    <w:rsid w:val="00C23F31"/>
    <w:rsid w:val="00C24092"/>
    <w:rsid w:val="00C241B8"/>
    <w:rsid w:val="00C243C6"/>
    <w:rsid w:val="00C24475"/>
    <w:rsid w:val="00C244BF"/>
    <w:rsid w:val="00C2467C"/>
    <w:rsid w:val="00C247D0"/>
    <w:rsid w:val="00C249C6"/>
    <w:rsid w:val="00C24C24"/>
    <w:rsid w:val="00C24DD6"/>
    <w:rsid w:val="00C252F9"/>
    <w:rsid w:val="00C2533B"/>
    <w:rsid w:val="00C25392"/>
    <w:rsid w:val="00C25413"/>
    <w:rsid w:val="00C25996"/>
    <w:rsid w:val="00C25AED"/>
    <w:rsid w:val="00C25B17"/>
    <w:rsid w:val="00C2636D"/>
    <w:rsid w:val="00C26724"/>
    <w:rsid w:val="00C26A5A"/>
    <w:rsid w:val="00C26B77"/>
    <w:rsid w:val="00C270BA"/>
    <w:rsid w:val="00C274CF"/>
    <w:rsid w:val="00C2763D"/>
    <w:rsid w:val="00C278CE"/>
    <w:rsid w:val="00C27A4D"/>
    <w:rsid w:val="00C27C1F"/>
    <w:rsid w:val="00C27F77"/>
    <w:rsid w:val="00C30173"/>
    <w:rsid w:val="00C305AE"/>
    <w:rsid w:val="00C3074F"/>
    <w:rsid w:val="00C308A8"/>
    <w:rsid w:val="00C30985"/>
    <w:rsid w:val="00C30A00"/>
    <w:rsid w:val="00C30DA3"/>
    <w:rsid w:val="00C3105F"/>
    <w:rsid w:val="00C31253"/>
    <w:rsid w:val="00C31379"/>
    <w:rsid w:val="00C3188F"/>
    <w:rsid w:val="00C31C72"/>
    <w:rsid w:val="00C31E45"/>
    <w:rsid w:val="00C31EB6"/>
    <w:rsid w:val="00C324EA"/>
    <w:rsid w:val="00C324F8"/>
    <w:rsid w:val="00C32511"/>
    <w:rsid w:val="00C32633"/>
    <w:rsid w:val="00C327B9"/>
    <w:rsid w:val="00C32A19"/>
    <w:rsid w:val="00C32CC1"/>
    <w:rsid w:val="00C32E39"/>
    <w:rsid w:val="00C32ED0"/>
    <w:rsid w:val="00C33131"/>
    <w:rsid w:val="00C3349D"/>
    <w:rsid w:val="00C338C5"/>
    <w:rsid w:val="00C33927"/>
    <w:rsid w:val="00C33957"/>
    <w:rsid w:val="00C33A0F"/>
    <w:rsid w:val="00C33CF0"/>
    <w:rsid w:val="00C33D29"/>
    <w:rsid w:val="00C33E04"/>
    <w:rsid w:val="00C34106"/>
    <w:rsid w:val="00C3428E"/>
    <w:rsid w:val="00C345B1"/>
    <w:rsid w:val="00C34623"/>
    <w:rsid w:val="00C34C0A"/>
    <w:rsid w:val="00C34C1C"/>
    <w:rsid w:val="00C34CD8"/>
    <w:rsid w:val="00C34D72"/>
    <w:rsid w:val="00C3504E"/>
    <w:rsid w:val="00C35296"/>
    <w:rsid w:val="00C352A0"/>
    <w:rsid w:val="00C35316"/>
    <w:rsid w:val="00C354CC"/>
    <w:rsid w:val="00C35652"/>
    <w:rsid w:val="00C356CA"/>
    <w:rsid w:val="00C358A4"/>
    <w:rsid w:val="00C35992"/>
    <w:rsid w:val="00C35A35"/>
    <w:rsid w:val="00C35BB6"/>
    <w:rsid w:val="00C36027"/>
    <w:rsid w:val="00C361F3"/>
    <w:rsid w:val="00C366E4"/>
    <w:rsid w:val="00C36862"/>
    <w:rsid w:val="00C36884"/>
    <w:rsid w:val="00C368D9"/>
    <w:rsid w:val="00C36952"/>
    <w:rsid w:val="00C36C12"/>
    <w:rsid w:val="00C36C85"/>
    <w:rsid w:val="00C36CE3"/>
    <w:rsid w:val="00C36D25"/>
    <w:rsid w:val="00C36DEF"/>
    <w:rsid w:val="00C36EB9"/>
    <w:rsid w:val="00C36EC7"/>
    <w:rsid w:val="00C371F5"/>
    <w:rsid w:val="00C37237"/>
    <w:rsid w:val="00C373B6"/>
    <w:rsid w:val="00C37760"/>
    <w:rsid w:val="00C378B9"/>
    <w:rsid w:val="00C37916"/>
    <w:rsid w:val="00C37A7B"/>
    <w:rsid w:val="00C37E0C"/>
    <w:rsid w:val="00C37FBF"/>
    <w:rsid w:val="00C401D0"/>
    <w:rsid w:val="00C40422"/>
    <w:rsid w:val="00C405C2"/>
    <w:rsid w:val="00C40927"/>
    <w:rsid w:val="00C40965"/>
    <w:rsid w:val="00C40CA1"/>
    <w:rsid w:val="00C40F0D"/>
    <w:rsid w:val="00C4133A"/>
    <w:rsid w:val="00C414A6"/>
    <w:rsid w:val="00C418F4"/>
    <w:rsid w:val="00C41963"/>
    <w:rsid w:val="00C41DDA"/>
    <w:rsid w:val="00C41EBA"/>
    <w:rsid w:val="00C41F4C"/>
    <w:rsid w:val="00C422E1"/>
    <w:rsid w:val="00C42363"/>
    <w:rsid w:val="00C423DC"/>
    <w:rsid w:val="00C4241D"/>
    <w:rsid w:val="00C426EC"/>
    <w:rsid w:val="00C428A5"/>
    <w:rsid w:val="00C42C04"/>
    <w:rsid w:val="00C42CD8"/>
    <w:rsid w:val="00C42D7A"/>
    <w:rsid w:val="00C42DEC"/>
    <w:rsid w:val="00C42EF4"/>
    <w:rsid w:val="00C433C8"/>
    <w:rsid w:val="00C43B3E"/>
    <w:rsid w:val="00C43DEF"/>
    <w:rsid w:val="00C43F73"/>
    <w:rsid w:val="00C4419D"/>
    <w:rsid w:val="00C444A1"/>
    <w:rsid w:val="00C44539"/>
    <w:rsid w:val="00C44578"/>
    <w:rsid w:val="00C4472F"/>
    <w:rsid w:val="00C44DD4"/>
    <w:rsid w:val="00C45274"/>
    <w:rsid w:val="00C4529D"/>
    <w:rsid w:val="00C452DF"/>
    <w:rsid w:val="00C4538F"/>
    <w:rsid w:val="00C456E7"/>
    <w:rsid w:val="00C45772"/>
    <w:rsid w:val="00C45F9D"/>
    <w:rsid w:val="00C46110"/>
    <w:rsid w:val="00C46195"/>
    <w:rsid w:val="00C46226"/>
    <w:rsid w:val="00C463D9"/>
    <w:rsid w:val="00C466A2"/>
    <w:rsid w:val="00C46A82"/>
    <w:rsid w:val="00C46B5A"/>
    <w:rsid w:val="00C46D11"/>
    <w:rsid w:val="00C46DE6"/>
    <w:rsid w:val="00C46F8B"/>
    <w:rsid w:val="00C47176"/>
    <w:rsid w:val="00C471FF"/>
    <w:rsid w:val="00C4780D"/>
    <w:rsid w:val="00C47871"/>
    <w:rsid w:val="00C47958"/>
    <w:rsid w:val="00C479FA"/>
    <w:rsid w:val="00C47ABC"/>
    <w:rsid w:val="00C47E8D"/>
    <w:rsid w:val="00C47F8D"/>
    <w:rsid w:val="00C5008F"/>
    <w:rsid w:val="00C503C8"/>
    <w:rsid w:val="00C5080D"/>
    <w:rsid w:val="00C50A9E"/>
    <w:rsid w:val="00C50AAA"/>
    <w:rsid w:val="00C50DEC"/>
    <w:rsid w:val="00C51095"/>
    <w:rsid w:val="00C5113E"/>
    <w:rsid w:val="00C51459"/>
    <w:rsid w:val="00C51483"/>
    <w:rsid w:val="00C5161B"/>
    <w:rsid w:val="00C518FF"/>
    <w:rsid w:val="00C51E11"/>
    <w:rsid w:val="00C51F09"/>
    <w:rsid w:val="00C51FAA"/>
    <w:rsid w:val="00C52296"/>
    <w:rsid w:val="00C52487"/>
    <w:rsid w:val="00C526B2"/>
    <w:rsid w:val="00C5280C"/>
    <w:rsid w:val="00C52A7A"/>
    <w:rsid w:val="00C52ADE"/>
    <w:rsid w:val="00C52B6E"/>
    <w:rsid w:val="00C52FEB"/>
    <w:rsid w:val="00C53364"/>
    <w:rsid w:val="00C537ED"/>
    <w:rsid w:val="00C538C3"/>
    <w:rsid w:val="00C539B6"/>
    <w:rsid w:val="00C53F1E"/>
    <w:rsid w:val="00C53F89"/>
    <w:rsid w:val="00C540CC"/>
    <w:rsid w:val="00C54226"/>
    <w:rsid w:val="00C5436E"/>
    <w:rsid w:val="00C54874"/>
    <w:rsid w:val="00C54C13"/>
    <w:rsid w:val="00C54D98"/>
    <w:rsid w:val="00C552CF"/>
    <w:rsid w:val="00C5581F"/>
    <w:rsid w:val="00C55BEC"/>
    <w:rsid w:val="00C55C37"/>
    <w:rsid w:val="00C55DB7"/>
    <w:rsid w:val="00C55DF8"/>
    <w:rsid w:val="00C55F65"/>
    <w:rsid w:val="00C56913"/>
    <w:rsid w:val="00C56F07"/>
    <w:rsid w:val="00C5703D"/>
    <w:rsid w:val="00C577C1"/>
    <w:rsid w:val="00C57F66"/>
    <w:rsid w:val="00C6004E"/>
    <w:rsid w:val="00C60170"/>
    <w:rsid w:val="00C6018A"/>
    <w:rsid w:val="00C60293"/>
    <w:rsid w:val="00C6039D"/>
    <w:rsid w:val="00C604D7"/>
    <w:rsid w:val="00C60522"/>
    <w:rsid w:val="00C60533"/>
    <w:rsid w:val="00C606D4"/>
    <w:rsid w:val="00C606F3"/>
    <w:rsid w:val="00C607FE"/>
    <w:rsid w:val="00C60C76"/>
    <w:rsid w:val="00C60EBD"/>
    <w:rsid w:val="00C614CA"/>
    <w:rsid w:val="00C61662"/>
    <w:rsid w:val="00C61725"/>
    <w:rsid w:val="00C61887"/>
    <w:rsid w:val="00C619A8"/>
    <w:rsid w:val="00C61A49"/>
    <w:rsid w:val="00C61AD8"/>
    <w:rsid w:val="00C61B5A"/>
    <w:rsid w:val="00C61B9F"/>
    <w:rsid w:val="00C61BC3"/>
    <w:rsid w:val="00C62303"/>
    <w:rsid w:val="00C62454"/>
    <w:rsid w:val="00C62CB5"/>
    <w:rsid w:val="00C630C0"/>
    <w:rsid w:val="00C633BE"/>
    <w:rsid w:val="00C635F2"/>
    <w:rsid w:val="00C63796"/>
    <w:rsid w:val="00C63ACD"/>
    <w:rsid w:val="00C6483C"/>
    <w:rsid w:val="00C64AE9"/>
    <w:rsid w:val="00C64D0E"/>
    <w:rsid w:val="00C6522E"/>
    <w:rsid w:val="00C652DB"/>
    <w:rsid w:val="00C653E3"/>
    <w:rsid w:val="00C65453"/>
    <w:rsid w:val="00C656C8"/>
    <w:rsid w:val="00C65917"/>
    <w:rsid w:val="00C65CAD"/>
    <w:rsid w:val="00C65D2A"/>
    <w:rsid w:val="00C66405"/>
    <w:rsid w:val="00C666BE"/>
    <w:rsid w:val="00C66892"/>
    <w:rsid w:val="00C669A0"/>
    <w:rsid w:val="00C66AF8"/>
    <w:rsid w:val="00C66B16"/>
    <w:rsid w:val="00C66CE9"/>
    <w:rsid w:val="00C66E2F"/>
    <w:rsid w:val="00C66F43"/>
    <w:rsid w:val="00C67547"/>
    <w:rsid w:val="00C67801"/>
    <w:rsid w:val="00C70068"/>
    <w:rsid w:val="00C700A4"/>
    <w:rsid w:val="00C70A36"/>
    <w:rsid w:val="00C70A8C"/>
    <w:rsid w:val="00C70B85"/>
    <w:rsid w:val="00C70BD9"/>
    <w:rsid w:val="00C70CF9"/>
    <w:rsid w:val="00C70CFF"/>
    <w:rsid w:val="00C70E0B"/>
    <w:rsid w:val="00C70E95"/>
    <w:rsid w:val="00C713D7"/>
    <w:rsid w:val="00C718FE"/>
    <w:rsid w:val="00C71B3E"/>
    <w:rsid w:val="00C71CC0"/>
    <w:rsid w:val="00C71D32"/>
    <w:rsid w:val="00C72571"/>
    <w:rsid w:val="00C727F9"/>
    <w:rsid w:val="00C72A1B"/>
    <w:rsid w:val="00C72BB3"/>
    <w:rsid w:val="00C72C62"/>
    <w:rsid w:val="00C733AD"/>
    <w:rsid w:val="00C73471"/>
    <w:rsid w:val="00C73810"/>
    <w:rsid w:val="00C73976"/>
    <w:rsid w:val="00C73B9F"/>
    <w:rsid w:val="00C73D19"/>
    <w:rsid w:val="00C73EAA"/>
    <w:rsid w:val="00C74152"/>
    <w:rsid w:val="00C742A0"/>
    <w:rsid w:val="00C74427"/>
    <w:rsid w:val="00C744BD"/>
    <w:rsid w:val="00C74545"/>
    <w:rsid w:val="00C74596"/>
    <w:rsid w:val="00C7494E"/>
    <w:rsid w:val="00C7498D"/>
    <w:rsid w:val="00C74A78"/>
    <w:rsid w:val="00C74CE0"/>
    <w:rsid w:val="00C74F2A"/>
    <w:rsid w:val="00C7519B"/>
    <w:rsid w:val="00C751DE"/>
    <w:rsid w:val="00C753F5"/>
    <w:rsid w:val="00C756FA"/>
    <w:rsid w:val="00C75851"/>
    <w:rsid w:val="00C758A2"/>
    <w:rsid w:val="00C75A74"/>
    <w:rsid w:val="00C75A97"/>
    <w:rsid w:val="00C75ACC"/>
    <w:rsid w:val="00C75BCC"/>
    <w:rsid w:val="00C75D25"/>
    <w:rsid w:val="00C764D6"/>
    <w:rsid w:val="00C7693B"/>
    <w:rsid w:val="00C76E5E"/>
    <w:rsid w:val="00C772CD"/>
    <w:rsid w:val="00C772FF"/>
    <w:rsid w:val="00C773CF"/>
    <w:rsid w:val="00C7748B"/>
    <w:rsid w:val="00C77720"/>
    <w:rsid w:val="00C777A9"/>
    <w:rsid w:val="00C80095"/>
    <w:rsid w:val="00C80112"/>
    <w:rsid w:val="00C80280"/>
    <w:rsid w:val="00C80729"/>
    <w:rsid w:val="00C8075F"/>
    <w:rsid w:val="00C80768"/>
    <w:rsid w:val="00C807D1"/>
    <w:rsid w:val="00C80B40"/>
    <w:rsid w:val="00C80CD3"/>
    <w:rsid w:val="00C80E4A"/>
    <w:rsid w:val="00C813B0"/>
    <w:rsid w:val="00C8145C"/>
    <w:rsid w:val="00C81478"/>
    <w:rsid w:val="00C816DB"/>
    <w:rsid w:val="00C8176A"/>
    <w:rsid w:val="00C81F00"/>
    <w:rsid w:val="00C82833"/>
    <w:rsid w:val="00C829C2"/>
    <w:rsid w:val="00C82B43"/>
    <w:rsid w:val="00C83063"/>
    <w:rsid w:val="00C83248"/>
    <w:rsid w:val="00C83755"/>
    <w:rsid w:val="00C83B33"/>
    <w:rsid w:val="00C83BD8"/>
    <w:rsid w:val="00C83BEC"/>
    <w:rsid w:val="00C84113"/>
    <w:rsid w:val="00C8415C"/>
    <w:rsid w:val="00C84324"/>
    <w:rsid w:val="00C8432D"/>
    <w:rsid w:val="00C84721"/>
    <w:rsid w:val="00C84872"/>
    <w:rsid w:val="00C848C7"/>
    <w:rsid w:val="00C84D7F"/>
    <w:rsid w:val="00C84DEA"/>
    <w:rsid w:val="00C853D7"/>
    <w:rsid w:val="00C85440"/>
    <w:rsid w:val="00C854C4"/>
    <w:rsid w:val="00C8582D"/>
    <w:rsid w:val="00C85917"/>
    <w:rsid w:val="00C85C21"/>
    <w:rsid w:val="00C85DE1"/>
    <w:rsid w:val="00C85E39"/>
    <w:rsid w:val="00C85E69"/>
    <w:rsid w:val="00C86197"/>
    <w:rsid w:val="00C862A2"/>
    <w:rsid w:val="00C8635C"/>
    <w:rsid w:val="00C86617"/>
    <w:rsid w:val="00C86892"/>
    <w:rsid w:val="00C868B1"/>
    <w:rsid w:val="00C86ABA"/>
    <w:rsid w:val="00C87702"/>
    <w:rsid w:val="00C8773D"/>
    <w:rsid w:val="00C878B3"/>
    <w:rsid w:val="00C87934"/>
    <w:rsid w:val="00C87ABB"/>
    <w:rsid w:val="00C87D81"/>
    <w:rsid w:val="00C87E8C"/>
    <w:rsid w:val="00C87EAF"/>
    <w:rsid w:val="00C87F3F"/>
    <w:rsid w:val="00C9034A"/>
    <w:rsid w:val="00C904E2"/>
    <w:rsid w:val="00C9076A"/>
    <w:rsid w:val="00C907AD"/>
    <w:rsid w:val="00C9087A"/>
    <w:rsid w:val="00C90E01"/>
    <w:rsid w:val="00C90F20"/>
    <w:rsid w:val="00C90F30"/>
    <w:rsid w:val="00C910BF"/>
    <w:rsid w:val="00C91139"/>
    <w:rsid w:val="00C911AD"/>
    <w:rsid w:val="00C9129F"/>
    <w:rsid w:val="00C916ED"/>
    <w:rsid w:val="00C91831"/>
    <w:rsid w:val="00C91A81"/>
    <w:rsid w:val="00C91FE9"/>
    <w:rsid w:val="00C92180"/>
    <w:rsid w:val="00C9286B"/>
    <w:rsid w:val="00C92A4E"/>
    <w:rsid w:val="00C92CD9"/>
    <w:rsid w:val="00C92D5F"/>
    <w:rsid w:val="00C93305"/>
    <w:rsid w:val="00C93809"/>
    <w:rsid w:val="00C939E0"/>
    <w:rsid w:val="00C93E96"/>
    <w:rsid w:val="00C9410D"/>
    <w:rsid w:val="00C94161"/>
    <w:rsid w:val="00C94174"/>
    <w:rsid w:val="00C943AD"/>
    <w:rsid w:val="00C943D5"/>
    <w:rsid w:val="00C94403"/>
    <w:rsid w:val="00C9456C"/>
    <w:rsid w:val="00C9457D"/>
    <w:rsid w:val="00C945C8"/>
    <w:rsid w:val="00C94645"/>
    <w:rsid w:val="00C946F9"/>
    <w:rsid w:val="00C949B3"/>
    <w:rsid w:val="00C94C26"/>
    <w:rsid w:val="00C9506E"/>
    <w:rsid w:val="00C9536C"/>
    <w:rsid w:val="00C953DF"/>
    <w:rsid w:val="00C954EF"/>
    <w:rsid w:val="00C959FC"/>
    <w:rsid w:val="00C95EE4"/>
    <w:rsid w:val="00C969F0"/>
    <w:rsid w:val="00C96CC8"/>
    <w:rsid w:val="00C96E04"/>
    <w:rsid w:val="00C971CB"/>
    <w:rsid w:val="00C97455"/>
    <w:rsid w:val="00C977DF"/>
    <w:rsid w:val="00C97875"/>
    <w:rsid w:val="00C97945"/>
    <w:rsid w:val="00C97A47"/>
    <w:rsid w:val="00C97A5A"/>
    <w:rsid w:val="00C97C44"/>
    <w:rsid w:val="00C97C7E"/>
    <w:rsid w:val="00C97D41"/>
    <w:rsid w:val="00C97D48"/>
    <w:rsid w:val="00C97D5A"/>
    <w:rsid w:val="00C97F3F"/>
    <w:rsid w:val="00C97F7C"/>
    <w:rsid w:val="00CA01EB"/>
    <w:rsid w:val="00CA0436"/>
    <w:rsid w:val="00CA047D"/>
    <w:rsid w:val="00CA085C"/>
    <w:rsid w:val="00CA08BC"/>
    <w:rsid w:val="00CA09C8"/>
    <w:rsid w:val="00CA1657"/>
    <w:rsid w:val="00CA193E"/>
    <w:rsid w:val="00CA1A17"/>
    <w:rsid w:val="00CA1BED"/>
    <w:rsid w:val="00CA2188"/>
    <w:rsid w:val="00CA25C9"/>
    <w:rsid w:val="00CA2877"/>
    <w:rsid w:val="00CA2AF4"/>
    <w:rsid w:val="00CA2C6A"/>
    <w:rsid w:val="00CA2CAA"/>
    <w:rsid w:val="00CA2CCE"/>
    <w:rsid w:val="00CA30D2"/>
    <w:rsid w:val="00CA322F"/>
    <w:rsid w:val="00CA32A5"/>
    <w:rsid w:val="00CA36E2"/>
    <w:rsid w:val="00CA374D"/>
    <w:rsid w:val="00CA3A39"/>
    <w:rsid w:val="00CA3AC6"/>
    <w:rsid w:val="00CA3EE9"/>
    <w:rsid w:val="00CA3F06"/>
    <w:rsid w:val="00CA4161"/>
    <w:rsid w:val="00CA416E"/>
    <w:rsid w:val="00CA4247"/>
    <w:rsid w:val="00CA42A7"/>
    <w:rsid w:val="00CA4327"/>
    <w:rsid w:val="00CA46FE"/>
    <w:rsid w:val="00CA48F0"/>
    <w:rsid w:val="00CA5326"/>
    <w:rsid w:val="00CA53CF"/>
    <w:rsid w:val="00CA5524"/>
    <w:rsid w:val="00CA5708"/>
    <w:rsid w:val="00CA58FE"/>
    <w:rsid w:val="00CA597B"/>
    <w:rsid w:val="00CA5A34"/>
    <w:rsid w:val="00CA5B67"/>
    <w:rsid w:val="00CA5CC9"/>
    <w:rsid w:val="00CA60F5"/>
    <w:rsid w:val="00CA62CF"/>
    <w:rsid w:val="00CA65DF"/>
    <w:rsid w:val="00CA682F"/>
    <w:rsid w:val="00CA68FE"/>
    <w:rsid w:val="00CA6E64"/>
    <w:rsid w:val="00CA6F98"/>
    <w:rsid w:val="00CA6FA9"/>
    <w:rsid w:val="00CA708A"/>
    <w:rsid w:val="00CA77A8"/>
    <w:rsid w:val="00CA7922"/>
    <w:rsid w:val="00CA7A20"/>
    <w:rsid w:val="00CA7FDF"/>
    <w:rsid w:val="00CB0194"/>
    <w:rsid w:val="00CB0243"/>
    <w:rsid w:val="00CB045C"/>
    <w:rsid w:val="00CB048C"/>
    <w:rsid w:val="00CB04C7"/>
    <w:rsid w:val="00CB0588"/>
    <w:rsid w:val="00CB08E0"/>
    <w:rsid w:val="00CB09C5"/>
    <w:rsid w:val="00CB0A25"/>
    <w:rsid w:val="00CB0F2B"/>
    <w:rsid w:val="00CB102A"/>
    <w:rsid w:val="00CB11BA"/>
    <w:rsid w:val="00CB13BC"/>
    <w:rsid w:val="00CB1720"/>
    <w:rsid w:val="00CB1745"/>
    <w:rsid w:val="00CB1C9F"/>
    <w:rsid w:val="00CB1F31"/>
    <w:rsid w:val="00CB20E6"/>
    <w:rsid w:val="00CB23EC"/>
    <w:rsid w:val="00CB272B"/>
    <w:rsid w:val="00CB27C0"/>
    <w:rsid w:val="00CB2ABC"/>
    <w:rsid w:val="00CB2E76"/>
    <w:rsid w:val="00CB2EBD"/>
    <w:rsid w:val="00CB2F57"/>
    <w:rsid w:val="00CB3179"/>
    <w:rsid w:val="00CB33E3"/>
    <w:rsid w:val="00CB34D2"/>
    <w:rsid w:val="00CB3968"/>
    <w:rsid w:val="00CB3C67"/>
    <w:rsid w:val="00CB3E0D"/>
    <w:rsid w:val="00CB41B7"/>
    <w:rsid w:val="00CB4357"/>
    <w:rsid w:val="00CB487A"/>
    <w:rsid w:val="00CB4983"/>
    <w:rsid w:val="00CB4A2F"/>
    <w:rsid w:val="00CB4A68"/>
    <w:rsid w:val="00CB4C02"/>
    <w:rsid w:val="00CB4E2B"/>
    <w:rsid w:val="00CB5322"/>
    <w:rsid w:val="00CB5362"/>
    <w:rsid w:val="00CB5509"/>
    <w:rsid w:val="00CB58AE"/>
    <w:rsid w:val="00CB5A82"/>
    <w:rsid w:val="00CB5C4A"/>
    <w:rsid w:val="00CB5DC4"/>
    <w:rsid w:val="00CB6188"/>
    <w:rsid w:val="00CB654C"/>
    <w:rsid w:val="00CB6649"/>
    <w:rsid w:val="00CB66B6"/>
    <w:rsid w:val="00CB6752"/>
    <w:rsid w:val="00CB68E1"/>
    <w:rsid w:val="00CB6967"/>
    <w:rsid w:val="00CB6BD9"/>
    <w:rsid w:val="00CB6F75"/>
    <w:rsid w:val="00CB702E"/>
    <w:rsid w:val="00CB71E5"/>
    <w:rsid w:val="00CB78D5"/>
    <w:rsid w:val="00CB78E1"/>
    <w:rsid w:val="00CB79F2"/>
    <w:rsid w:val="00CB79FD"/>
    <w:rsid w:val="00CB7B44"/>
    <w:rsid w:val="00CB7BCD"/>
    <w:rsid w:val="00CB7C0A"/>
    <w:rsid w:val="00CB7C4F"/>
    <w:rsid w:val="00CB7D00"/>
    <w:rsid w:val="00CB7E7C"/>
    <w:rsid w:val="00CC0544"/>
    <w:rsid w:val="00CC0559"/>
    <w:rsid w:val="00CC067F"/>
    <w:rsid w:val="00CC09CB"/>
    <w:rsid w:val="00CC0AAA"/>
    <w:rsid w:val="00CC0AC0"/>
    <w:rsid w:val="00CC0BA5"/>
    <w:rsid w:val="00CC0D56"/>
    <w:rsid w:val="00CC0E07"/>
    <w:rsid w:val="00CC0EE2"/>
    <w:rsid w:val="00CC13F2"/>
    <w:rsid w:val="00CC1647"/>
    <w:rsid w:val="00CC1712"/>
    <w:rsid w:val="00CC1D65"/>
    <w:rsid w:val="00CC227E"/>
    <w:rsid w:val="00CC29B3"/>
    <w:rsid w:val="00CC2D52"/>
    <w:rsid w:val="00CC2E5C"/>
    <w:rsid w:val="00CC2F23"/>
    <w:rsid w:val="00CC2F2C"/>
    <w:rsid w:val="00CC3393"/>
    <w:rsid w:val="00CC3573"/>
    <w:rsid w:val="00CC37D8"/>
    <w:rsid w:val="00CC37DE"/>
    <w:rsid w:val="00CC3A84"/>
    <w:rsid w:val="00CC3B46"/>
    <w:rsid w:val="00CC3E66"/>
    <w:rsid w:val="00CC4919"/>
    <w:rsid w:val="00CC49A6"/>
    <w:rsid w:val="00CC5101"/>
    <w:rsid w:val="00CC519C"/>
    <w:rsid w:val="00CC532C"/>
    <w:rsid w:val="00CC54B7"/>
    <w:rsid w:val="00CC56C9"/>
    <w:rsid w:val="00CC57C7"/>
    <w:rsid w:val="00CC5B92"/>
    <w:rsid w:val="00CC5D24"/>
    <w:rsid w:val="00CC5DF8"/>
    <w:rsid w:val="00CC61DA"/>
    <w:rsid w:val="00CC62A8"/>
    <w:rsid w:val="00CC63C4"/>
    <w:rsid w:val="00CC6569"/>
    <w:rsid w:val="00CC661F"/>
    <w:rsid w:val="00CC6B3F"/>
    <w:rsid w:val="00CC6C3F"/>
    <w:rsid w:val="00CC6F5F"/>
    <w:rsid w:val="00CC6FCC"/>
    <w:rsid w:val="00CC70A3"/>
    <w:rsid w:val="00CC722D"/>
    <w:rsid w:val="00CC77DA"/>
    <w:rsid w:val="00CC7800"/>
    <w:rsid w:val="00CC795D"/>
    <w:rsid w:val="00CC7A80"/>
    <w:rsid w:val="00CC7ADD"/>
    <w:rsid w:val="00CC7D40"/>
    <w:rsid w:val="00CC7F05"/>
    <w:rsid w:val="00CD00ED"/>
    <w:rsid w:val="00CD02F6"/>
    <w:rsid w:val="00CD0405"/>
    <w:rsid w:val="00CD058F"/>
    <w:rsid w:val="00CD0B72"/>
    <w:rsid w:val="00CD0EB7"/>
    <w:rsid w:val="00CD127B"/>
    <w:rsid w:val="00CD15A5"/>
    <w:rsid w:val="00CD161C"/>
    <w:rsid w:val="00CD191F"/>
    <w:rsid w:val="00CD1BA2"/>
    <w:rsid w:val="00CD1CCA"/>
    <w:rsid w:val="00CD1E16"/>
    <w:rsid w:val="00CD1E55"/>
    <w:rsid w:val="00CD1E60"/>
    <w:rsid w:val="00CD1EF3"/>
    <w:rsid w:val="00CD20A7"/>
    <w:rsid w:val="00CD2147"/>
    <w:rsid w:val="00CD214C"/>
    <w:rsid w:val="00CD2284"/>
    <w:rsid w:val="00CD2428"/>
    <w:rsid w:val="00CD246B"/>
    <w:rsid w:val="00CD2CE5"/>
    <w:rsid w:val="00CD2D88"/>
    <w:rsid w:val="00CD2F83"/>
    <w:rsid w:val="00CD334A"/>
    <w:rsid w:val="00CD338A"/>
    <w:rsid w:val="00CD38F2"/>
    <w:rsid w:val="00CD3D18"/>
    <w:rsid w:val="00CD41F6"/>
    <w:rsid w:val="00CD4408"/>
    <w:rsid w:val="00CD485B"/>
    <w:rsid w:val="00CD4BB0"/>
    <w:rsid w:val="00CD4DD2"/>
    <w:rsid w:val="00CD4E05"/>
    <w:rsid w:val="00CD5091"/>
    <w:rsid w:val="00CD51AA"/>
    <w:rsid w:val="00CD521E"/>
    <w:rsid w:val="00CD5401"/>
    <w:rsid w:val="00CD61C0"/>
    <w:rsid w:val="00CD628F"/>
    <w:rsid w:val="00CD67D5"/>
    <w:rsid w:val="00CD68C5"/>
    <w:rsid w:val="00CD71F8"/>
    <w:rsid w:val="00CD72B3"/>
    <w:rsid w:val="00CD7327"/>
    <w:rsid w:val="00CD7433"/>
    <w:rsid w:val="00CD744D"/>
    <w:rsid w:val="00CD7536"/>
    <w:rsid w:val="00CD7639"/>
    <w:rsid w:val="00CD768D"/>
    <w:rsid w:val="00CD78FC"/>
    <w:rsid w:val="00CD7A25"/>
    <w:rsid w:val="00CD7B4E"/>
    <w:rsid w:val="00CD7C2A"/>
    <w:rsid w:val="00CD7C4D"/>
    <w:rsid w:val="00CD7C4E"/>
    <w:rsid w:val="00CD7C8E"/>
    <w:rsid w:val="00CE01C0"/>
    <w:rsid w:val="00CE0383"/>
    <w:rsid w:val="00CE0450"/>
    <w:rsid w:val="00CE049E"/>
    <w:rsid w:val="00CE05CB"/>
    <w:rsid w:val="00CE0610"/>
    <w:rsid w:val="00CE06B4"/>
    <w:rsid w:val="00CE0930"/>
    <w:rsid w:val="00CE0B54"/>
    <w:rsid w:val="00CE0BBB"/>
    <w:rsid w:val="00CE0E55"/>
    <w:rsid w:val="00CE0EDD"/>
    <w:rsid w:val="00CE1459"/>
    <w:rsid w:val="00CE1C36"/>
    <w:rsid w:val="00CE208A"/>
    <w:rsid w:val="00CE21EB"/>
    <w:rsid w:val="00CE220D"/>
    <w:rsid w:val="00CE2311"/>
    <w:rsid w:val="00CE24CA"/>
    <w:rsid w:val="00CE262F"/>
    <w:rsid w:val="00CE2680"/>
    <w:rsid w:val="00CE2690"/>
    <w:rsid w:val="00CE26CC"/>
    <w:rsid w:val="00CE2709"/>
    <w:rsid w:val="00CE281B"/>
    <w:rsid w:val="00CE2970"/>
    <w:rsid w:val="00CE2D17"/>
    <w:rsid w:val="00CE2D64"/>
    <w:rsid w:val="00CE3135"/>
    <w:rsid w:val="00CE32F8"/>
    <w:rsid w:val="00CE3754"/>
    <w:rsid w:val="00CE38FF"/>
    <w:rsid w:val="00CE39DD"/>
    <w:rsid w:val="00CE3AE9"/>
    <w:rsid w:val="00CE3B4E"/>
    <w:rsid w:val="00CE3B8B"/>
    <w:rsid w:val="00CE3B94"/>
    <w:rsid w:val="00CE438B"/>
    <w:rsid w:val="00CE4398"/>
    <w:rsid w:val="00CE4776"/>
    <w:rsid w:val="00CE47B5"/>
    <w:rsid w:val="00CE4805"/>
    <w:rsid w:val="00CE4B7A"/>
    <w:rsid w:val="00CE4C98"/>
    <w:rsid w:val="00CE4CEF"/>
    <w:rsid w:val="00CE4E41"/>
    <w:rsid w:val="00CE4EC8"/>
    <w:rsid w:val="00CE5217"/>
    <w:rsid w:val="00CE52E9"/>
    <w:rsid w:val="00CE581B"/>
    <w:rsid w:val="00CE59EF"/>
    <w:rsid w:val="00CE5EE7"/>
    <w:rsid w:val="00CE5F8C"/>
    <w:rsid w:val="00CE611F"/>
    <w:rsid w:val="00CE6198"/>
    <w:rsid w:val="00CE6222"/>
    <w:rsid w:val="00CE660C"/>
    <w:rsid w:val="00CE6D36"/>
    <w:rsid w:val="00CE6F25"/>
    <w:rsid w:val="00CE6F29"/>
    <w:rsid w:val="00CE6F66"/>
    <w:rsid w:val="00CE70C1"/>
    <w:rsid w:val="00CE7118"/>
    <w:rsid w:val="00CE7200"/>
    <w:rsid w:val="00CE7312"/>
    <w:rsid w:val="00CE73A1"/>
    <w:rsid w:val="00CE79E0"/>
    <w:rsid w:val="00CE7B0C"/>
    <w:rsid w:val="00CE7C95"/>
    <w:rsid w:val="00CE7FF0"/>
    <w:rsid w:val="00CF052C"/>
    <w:rsid w:val="00CF0B73"/>
    <w:rsid w:val="00CF0D91"/>
    <w:rsid w:val="00CF0EE6"/>
    <w:rsid w:val="00CF1111"/>
    <w:rsid w:val="00CF16B2"/>
    <w:rsid w:val="00CF197A"/>
    <w:rsid w:val="00CF20F4"/>
    <w:rsid w:val="00CF278B"/>
    <w:rsid w:val="00CF279A"/>
    <w:rsid w:val="00CF27E2"/>
    <w:rsid w:val="00CF28B5"/>
    <w:rsid w:val="00CF297F"/>
    <w:rsid w:val="00CF2F15"/>
    <w:rsid w:val="00CF2FA2"/>
    <w:rsid w:val="00CF30C0"/>
    <w:rsid w:val="00CF30C3"/>
    <w:rsid w:val="00CF30CD"/>
    <w:rsid w:val="00CF322E"/>
    <w:rsid w:val="00CF3535"/>
    <w:rsid w:val="00CF3CD4"/>
    <w:rsid w:val="00CF3E65"/>
    <w:rsid w:val="00CF3EAE"/>
    <w:rsid w:val="00CF3FED"/>
    <w:rsid w:val="00CF4618"/>
    <w:rsid w:val="00CF4932"/>
    <w:rsid w:val="00CF4B60"/>
    <w:rsid w:val="00CF4C19"/>
    <w:rsid w:val="00CF4E16"/>
    <w:rsid w:val="00CF4FF6"/>
    <w:rsid w:val="00CF5161"/>
    <w:rsid w:val="00CF51B3"/>
    <w:rsid w:val="00CF52A9"/>
    <w:rsid w:val="00CF550D"/>
    <w:rsid w:val="00CF560C"/>
    <w:rsid w:val="00CF59F1"/>
    <w:rsid w:val="00CF5B50"/>
    <w:rsid w:val="00CF5C73"/>
    <w:rsid w:val="00CF5E8B"/>
    <w:rsid w:val="00CF5E98"/>
    <w:rsid w:val="00CF606A"/>
    <w:rsid w:val="00CF6230"/>
    <w:rsid w:val="00CF65B3"/>
    <w:rsid w:val="00CF669E"/>
    <w:rsid w:val="00CF6D57"/>
    <w:rsid w:val="00CF6E16"/>
    <w:rsid w:val="00CF6E72"/>
    <w:rsid w:val="00CF702C"/>
    <w:rsid w:val="00CF7051"/>
    <w:rsid w:val="00CF74AB"/>
    <w:rsid w:val="00CF74DB"/>
    <w:rsid w:val="00CF7597"/>
    <w:rsid w:val="00CF791A"/>
    <w:rsid w:val="00CF7BB3"/>
    <w:rsid w:val="00CF7D0B"/>
    <w:rsid w:val="00CF7EC0"/>
    <w:rsid w:val="00D00296"/>
    <w:rsid w:val="00D005CE"/>
    <w:rsid w:val="00D00614"/>
    <w:rsid w:val="00D00C4F"/>
    <w:rsid w:val="00D00C59"/>
    <w:rsid w:val="00D01290"/>
    <w:rsid w:val="00D01673"/>
    <w:rsid w:val="00D017FC"/>
    <w:rsid w:val="00D01ADA"/>
    <w:rsid w:val="00D01B8B"/>
    <w:rsid w:val="00D01E77"/>
    <w:rsid w:val="00D01F07"/>
    <w:rsid w:val="00D02078"/>
    <w:rsid w:val="00D0218E"/>
    <w:rsid w:val="00D02226"/>
    <w:rsid w:val="00D0226A"/>
    <w:rsid w:val="00D022FC"/>
    <w:rsid w:val="00D02413"/>
    <w:rsid w:val="00D02569"/>
    <w:rsid w:val="00D02570"/>
    <w:rsid w:val="00D02657"/>
    <w:rsid w:val="00D028F8"/>
    <w:rsid w:val="00D0296C"/>
    <w:rsid w:val="00D02D31"/>
    <w:rsid w:val="00D03307"/>
    <w:rsid w:val="00D03368"/>
    <w:rsid w:val="00D03525"/>
    <w:rsid w:val="00D035DA"/>
    <w:rsid w:val="00D036DD"/>
    <w:rsid w:val="00D039BE"/>
    <w:rsid w:val="00D03A92"/>
    <w:rsid w:val="00D03E8B"/>
    <w:rsid w:val="00D04110"/>
    <w:rsid w:val="00D04203"/>
    <w:rsid w:val="00D044DD"/>
    <w:rsid w:val="00D0450C"/>
    <w:rsid w:val="00D047F2"/>
    <w:rsid w:val="00D04A28"/>
    <w:rsid w:val="00D04BB8"/>
    <w:rsid w:val="00D04BFC"/>
    <w:rsid w:val="00D04C28"/>
    <w:rsid w:val="00D04CB5"/>
    <w:rsid w:val="00D04D14"/>
    <w:rsid w:val="00D05024"/>
    <w:rsid w:val="00D050FE"/>
    <w:rsid w:val="00D05974"/>
    <w:rsid w:val="00D05A03"/>
    <w:rsid w:val="00D05EA4"/>
    <w:rsid w:val="00D05F76"/>
    <w:rsid w:val="00D06209"/>
    <w:rsid w:val="00D06550"/>
    <w:rsid w:val="00D06778"/>
    <w:rsid w:val="00D06D35"/>
    <w:rsid w:val="00D07175"/>
    <w:rsid w:val="00D07493"/>
    <w:rsid w:val="00D0771C"/>
    <w:rsid w:val="00D07817"/>
    <w:rsid w:val="00D078BC"/>
    <w:rsid w:val="00D078F3"/>
    <w:rsid w:val="00D07950"/>
    <w:rsid w:val="00D07AA5"/>
    <w:rsid w:val="00D07B0A"/>
    <w:rsid w:val="00D07C37"/>
    <w:rsid w:val="00D07C7D"/>
    <w:rsid w:val="00D07D93"/>
    <w:rsid w:val="00D10487"/>
    <w:rsid w:val="00D10510"/>
    <w:rsid w:val="00D1069A"/>
    <w:rsid w:val="00D10800"/>
    <w:rsid w:val="00D10916"/>
    <w:rsid w:val="00D10F4A"/>
    <w:rsid w:val="00D11163"/>
    <w:rsid w:val="00D112A2"/>
    <w:rsid w:val="00D113EC"/>
    <w:rsid w:val="00D11458"/>
    <w:rsid w:val="00D114EA"/>
    <w:rsid w:val="00D11596"/>
    <w:rsid w:val="00D11617"/>
    <w:rsid w:val="00D11761"/>
    <w:rsid w:val="00D117D2"/>
    <w:rsid w:val="00D11C69"/>
    <w:rsid w:val="00D11F36"/>
    <w:rsid w:val="00D120A8"/>
    <w:rsid w:val="00D1216D"/>
    <w:rsid w:val="00D1252E"/>
    <w:rsid w:val="00D12DAC"/>
    <w:rsid w:val="00D12E62"/>
    <w:rsid w:val="00D13147"/>
    <w:rsid w:val="00D131B6"/>
    <w:rsid w:val="00D131DD"/>
    <w:rsid w:val="00D136B8"/>
    <w:rsid w:val="00D136F7"/>
    <w:rsid w:val="00D13855"/>
    <w:rsid w:val="00D13A4B"/>
    <w:rsid w:val="00D13A88"/>
    <w:rsid w:val="00D13C8A"/>
    <w:rsid w:val="00D13D5A"/>
    <w:rsid w:val="00D13F91"/>
    <w:rsid w:val="00D14447"/>
    <w:rsid w:val="00D1444A"/>
    <w:rsid w:val="00D1459C"/>
    <w:rsid w:val="00D1461D"/>
    <w:rsid w:val="00D14BE8"/>
    <w:rsid w:val="00D14C0E"/>
    <w:rsid w:val="00D14F81"/>
    <w:rsid w:val="00D151F1"/>
    <w:rsid w:val="00D153DE"/>
    <w:rsid w:val="00D154B1"/>
    <w:rsid w:val="00D15554"/>
    <w:rsid w:val="00D15938"/>
    <w:rsid w:val="00D15C4B"/>
    <w:rsid w:val="00D160F1"/>
    <w:rsid w:val="00D1617A"/>
    <w:rsid w:val="00D16596"/>
    <w:rsid w:val="00D16950"/>
    <w:rsid w:val="00D16CE9"/>
    <w:rsid w:val="00D16E5C"/>
    <w:rsid w:val="00D16EC3"/>
    <w:rsid w:val="00D17BED"/>
    <w:rsid w:val="00D2030E"/>
    <w:rsid w:val="00D2084D"/>
    <w:rsid w:val="00D20AF4"/>
    <w:rsid w:val="00D20B00"/>
    <w:rsid w:val="00D210E4"/>
    <w:rsid w:val="00D2117E"/>
    <w:rsid w:val="00D213AD"/>
    <w:rsid w:val="00D21445"/>
    <w:rsid w:val="00D214DC"/>
    <w:rsid w:val="00D21A88"/>
    <w:rsid w:val="00D21D8A"/>
    <w:rsid w:val="00D21FAA"/>
    <w:rsid w:val="00D2211B"/>
    <w:rsid w:val="00D2236C"/>
    <w:rsid w:val="00D2239E"/>
    <w:rsid w:val="00D22894"/>
    <w:rsid w:val="00D228B8"/>
    <w:rsid w:val="00D229F8"/>
    <w:rsid w:val="00D22AF7"/>
    <w:rsid w:val="00D22D79"/>
    <w:rsid w:val="00D2314A"/>
    <w:rsid w:val="00D2318F"/>
    <w:rsid w:val="00D23223"/>
    <w:rsid w:val="00D23385"/>
    <w:rsid w:val="00D233A3"/>
    <w:rsid w:val="00D233B1"/>
    <w:rsid w:val="00D234A7"/>
    <w:rsid w:val="00D236F0"/>
    <w:rsid w:val="00D23A1A"/>
    <w:rsid w:val="00D23C65"/>
    <w:rsid w:val="00D23D24"/>
    <w:rsid w:val="00D23D85"/>
    <w:rsid w:val="00D23F8E"/>
    <w:rsid w:val="00D2442A"/>
    <w:rsid w:val="00D247D0"/>
    <w:rsid w:val="00D247FB"/>
    <w:rsid w:val="00D24878"/>
    <w:rsid w:val="00D24B5D"/>
    <w:rsid w:val="00D24D3C"/>
    <w:rsid w:val="00D24E17"/>
    <w:rsid w:val="00D24F93"/>
    <w:rsid w:val="00D25278"/>
    <w:rsid w:val="00D25314"/>
    <w:rsid w:val="00D25328"/>
    <w:rsid w:val="00D259C6"/>
    <w:rsid w:val="00D25A13"/>
    <w:rsid w:val="00D25AE1"/>
    <w:rsid w:val="00D25DEB"/>
    <w:rsid w:val="00D262BC"/>
    <w:rsid w:val="00D26463"/>
    <w:rsid w:val="00D265DA"/>
    <w:rsid w:val="00D2672D"/>
    <w:rsid w:val="00D269AC"/>
    <w:rsid w:val="00D26B91"/>
    <w:rsid w:val="00D26C7A"/>
    <w:rsid w:val="00D26E8B"/>
    <w:rsid w:val="00D27165"/>
    <w:rsid w:val="00D271FA"/>
    <w:rsid w:val="00D27711"/>
    <w:rsid w:val="00D27948"/>
    <w:rsid w:val="00D27972"/>
    <w:rsid w:val="00D27E9B"/>
    <w:rsid w:val="00D27FC3"/>
    <w:rsid w:val="00D30343"/>
    <w:rsid w:val="00D30BA8"/>
    <w:rsid w:val="00D30E0A"/>
    <w:rsid w:val="00D31020"/>
    <w:rsid w:val="00D3155C"/>
    <w:rsid w:val="00D31594"/>
    <w:rsid w:val="00D31610"/>
    <w:rsid w:val="00D31876"/>
    <w:rsid w:val="00D3193D"/>
    <w:rsid w:val="00D31972"/>
    <w:rsid w:val="00D319B1"/>
    <w:rsid w:val="00D31C81"/>
    <w:rsid w:val="00D31FCF"/>
    <w:rsid w:val="00D32B99"/>
    <w:rsid w:val="00D32E86"/>
    <w:rsid w:val="00D33049"/>
    <w:rsid w:val="00D3350A"/>
    <w:rsid w:val="00D33527"/>
    <w:rsid w:val="00D335AC"/>
    <w:rsid w:val="00D33D61"/>
    <w:rsid w:val="00D33F2D"/>
    <w:rsid w:val="00D34182"/>
    <w:rsid w:val="00D3469D"/>
    <w:rsid w:val="00D346B8"/>
    <w:rsid w:val="00D34ADA"/>
    <w:rsid w:val="00D34C52"/>
    <w:rsid w:val="00D34C56"/>
    <w:rsid w:val="00D34EEC"/>
    <w:rsid w:val="00D34FBB"/>
    <w:rsid w:val="00D34FC8"/>
    <w:rsid w:val="00D350CC"/>
    <w:rsid w:val="00D35127"/>
    <w:rsid w:val="00D35422"/>
    <w:rsid w:val="00D358AA"/>
    <w:rsid w:val="00D35994"/>
    <w:rsid w:val="00D361E4"/>
    <w:rsid w:val="00D362C9"/>
    <w:rsid w:val="00D36338"/>
    <w:rsid w:val="00D3699E"/>
    <w:rsid w:val="00D369C9"/>
    <w:rsid w:val="00D36A79"/>
    <w:rsid w:val="00D36C24"/>
    <w:rsid w:val="00D36C9C"/>
    <w:rsid w:val="00D377D3"/>
    <w:rsid w:val="00D37938"/>
    <w:rsid w:val="00D37CE0"/>
    <w:rsid w:val="00D403B8"/>
    <w:rsid w:val="00D4083C"/>
    <w:rsid w:val="00D4084B"/>
    <w:rsid w:val="00D4091D"/>
    <w:rsid w:val="00D4092F"/>
    <w:rsid w:val="00D40CDB"/>
    <w:rsid w:val="00D40E21"/>
    <w:rsid w:val="00D40FC0"/>
    <w:rsid w:val="00D414FA"/>
    <w:rsid w:val="00D417C4"/>
    <w:rsid w:val="00D4185E"/>
    <w:rsid w:val="00D41B9E"/>
    <w:rsid w:val="00D42C1A"/>
    <w:rsid w:val="00D42CFD"/>
    <w:rsid w:val="00D42DED"/>
    <w:rsid w:val="00D43008"/>
    <w:rsid w:val="00D43173"/>
    <w:rsid w:val="00D43236"/>
    <w:rsid w:val="00D4349F"/>
    <w:rsid w:val="00D4359B"/>
    <w:rsid w:val="00D437A1"/>
    <w:rsid w:val="00D43C2A"/>
    <w:rsid w:val="00D43F01"/>
    <w:rsid w:val="00D4409B"/>
    <w:rsid w:val="00D441D0"/>
    <w:rsid w:val="00D44222"/>
    <w:rsid w:val="00D44505"/>
    <w:rsid w:val="00D4450E"/>
    <w:rsid w:val="00D4461B"/>
    <w:rsid w:val="00D44856"/>
    <w:rsid w:val="00D44B48"/>
    <w:rsid w:val="00D44FED"/>
    <w:rsid w:val="00D453A5"/>
    <w:rsid w:val="00D4552B"/>
    <w:rsid w:val="00D45651"/>
    <w:rsid w:val="00D45A14"/>
    <w:rsid w:val="00D45CCA"/>
    <w:rsid w:val="00D45CCC"/>
    <w:rsid w:val="00D46011"/>
    <w:rsid w:val="00D46107"/>
    <w:rsid w:val="00D4627A"/>
    <w:rsid w:val="00D463A6"/>
    <w:rsid w:val="00D46505"/>
    <w:rsid w:val="00D4659D"/>
    <w:rsid w:val="00D46BC3"/>
    <w:rsid w:val="00D46FE1"/>
    <w:rsid w:val="00D4707E"/>
    <w:rsid w:val="00D47170"/>
    <w:rsid w:val="00D47269"/>
    <w:rsid w:val="00D47307"/>
    <w:rsid w:val="00D47485"/>
    <w:rsid w:val="00D47486"/>
    <w:rsid w:val="00D474AE"/>
    <w:rsid w:val="00D4764D"/>
    <w:rsid w:val="00D4769E"/>
    <w:rsid w:val="00D476DC"/>
    <w:rsid w:val="00D47AF6"/>
    <w:rsid w:val="00D501D0"/>
    <w:rsid w:val="00D5056B"/>
    <w:rsid w:val="00D50784"/>
    <w:rsid w:val="00D50A57"/>
    <w:rsid w:val="00D50C81"/>
    <w:rsid w:val="00D50CEB"/>
    <w:rsid w:val="00D50DFE"/>
    <w:rsid w:val="00D50ED9"/>
    <w:rsid w:val="00D51111"/>
    <w:rsid w:val="00D514D1"/>
    <w:rsid w:val="00D51552"/>
    <w:rsid w:val="00D51963"/>
    <w:rsid w:val="00D51A9F"/>
    <w:rsid w:val="00D52212"/>
    <w:rsid w:val="00D5225E"/>
    <w:rsid w:val="00D523BB"/>
    <w:rsid w:val="00D525F3"/>
    <w:rsid w:val="00D52692"/>
    <w:rsid w:val="00D527AB"/>
    <w:rsid w:val="00D52831"/>
    <w:rsid w:val="00D52A77"/>
    <w:rsid w:val="00D52A8C"/>
    <w:rsid w:val="00D52C3E"/>
    <w:rsid w:val="00D52EF1"/>
    <w:rsid w:val="00D530A2"/>
    <w:rsid w:val="00D530B3"/>
    <w:rsid w:val="00D5353A"/>
    <w:rsid w:val="00D536BA"/>
    <w:rsid w:val="00D53781"/>
    <w:rsid w:val="00D53A35"/>
    <w:rsid w:val="00D53B45"/>
    <w:rsid w:val="00D53D6C"/>
    <w:rsid w:val="00D53D9D"/>
    <w:rsid w:val="00D5411E"/>
    <w:rsid w:val="00D54540"/>
    <w:rsid w:val="00D54600"/>
    <w:rsid w:val="00D547AF"/>
    <w:rsid w:val="00D5494F"/>
    <w:rsid w:val="00D54AAF"/>
    <w:rsid w:val="00D54FB4"/>
    <w:rsid w:val="00D550A1"/>
    <w:rsid w:val="00D550DB"/>
    <w:rsid w:val="00D55537"/>
    <w:rsid w:val="00D5561A"/>
    <w:rsid w:val="00D556AE"/>
    <w:rsid w:val="00D55917"/>
    <w:rsid w:val="00D5597D"/>
    <w:rsid w:val="00D55B05"/>
    <w:rsid w:val="00D55B4E"/>
    <w:rsid w:val="00D55CF1"/>
    <w:rsid w:val="00D56078"/>
    <w:rsid w:val="00D5607D"/>
    <w:rsid w:val="00D561FD"/>
    <w:rsid w:val="00D56209"/>
    <w:rsid w:val="00D56251"/>
    <w:rsid w:val="00D56483"/>
    <w:rsid w:val="00D56C10"/>
    <w:rsid w:val="00D5715A"/>
    <w:rsid w:val="00D5722D"/>
    <w:rsid w:val="00D57239"/>
    <w:rsid w:val="00D5754B"/>
    <w:rsid w:val="00D579D3"/>
    <w:rsid w:val="00D57CBA"/>
    <w:rsid w:val="00D57F12"/>
    <w:rsid w:val="00D6024D"/>
    <w:rsid w:val="00D6042C"/>
    <w:rsid w:val="00D605E9"/>
    <w:rsid w:val="00D6080E"/>
    <w:rsid w:val="00D60B14"/>
    <w:rsid w:val="00D60C06"/>
    <w:rsid w:val="00D60D55"/>
    <w:rsid w:val="00D60E55"/>
    <w:rsid w:val="00D611E2"/>
    <w:rsid w:val="00D6149E"/>
    <w:rsid w:val="00D61523"/>
    <w:rsid w:val="00D615E0"/>
    <w:rsid w:val="00D618EC"/>
    <w:rsid w:val="00D619D5"/>
    <w:rsid w:val="00D61A46"/>
    <w:rsid w:val="00D61CEB"/>
    <w:rsid w:val="00D62126"/>
    <w:rsid w:val="00D6216C"/>
    <w:rsid w:val="00D6234E"/>
    <w:rsid w:val="00D62357"/>
    <w:rsid w:val="00D62A8B"/>
    <w:rsid w:val="00D62AE7"/>
    <w:rsid w:val="00D62CC8"/>
    <w:rsid w:val="00D62D97"/>
    <w:rsid w:val="00D62FA1"/>
    <w:rsid w:val="00D63107"/>
    <w:rsid w:val="00D63437"/>
    <w:rsid w:val="00D634E7"/>
    <w:rsid w:val="00D63556"/>
    <w:rsid w:val="00D636C3"/>
    <w:rsid w:val="00D639D3"/>
    <w:rsid w:val="00D639FF"/>
    <w:rsid w:val="00D63ABB"/>
    <w:rsid w:val="00D6455E"/>
    <w:rsid w:val="00D6481A"/>
    <w:rsid w:val="00D64862"/>
    <w:rsid w:val="00D64AFC"/>
    <w:rsid w:val="00D64E2A"/>
    <w:rsid w:val="00D64E97"/>
    <w:rsid w:val="00D64FDB"/>
    <w:rsid w:val="00D6503D"/>
    <w:rsid w:val="00D6517C"/>
    <w:rsid w:val="00D65584"/>
    <w:rsid w:val="00D655C9"/>
    <w:rsid w:val="00D65718"/>
    <w:rsid w:val="00D65863"/>
    <w:rsid w:val="00D65E76"/>
    <w:rsid w:val="00D65F2F"/>
    <w:rsid w:val="00D662CB"/>
    <w:rsid w:val="00D6654C"/>
    <w:rsid w:val="00D66A67"/>
    <w:rsid w:val="00D66B0D"/>
    <w:rsid w:val="00D66CE1"/>
    <w:rsid w:val="00D66EBB"/>
    <w:rsid w:val="00D670C5"/>
    <w:rsid w:val="00D6718D"/>
    <w:rsid w:val="00D673D0"/>
    <w:rsid w:val="00D67402"/>
    <w:rsid w:val="00D67475"/>
    <w:rsid w:val="00D6765E"/>
    <w:rsid w:val="00D677CB"/>
    <w:rsid w:val="00D67858"/>
    <w:rsid w:val="00D70025"/>
    <w:rsid w:val="00D7014E"/>
    <w:rsid w:val="00D70175"/>
    <w:rsid w:val="00D705D0"/>
    <w:rsid w:val="00D70E97"/>
    <w:rsid w:val="00D71400"/>
    <w:rsid w:val="00D71687"/>
    <w:rsid w:val="00D71CDA"/>
    <w:rsid w:val="00D71DFD"/>
    <w:rsid w:val="00D72103"/>
    <w:rsid w:val="00D72535"/>
    <w:rsid w:val="00D7262A"/>
    <w:rsid w:val="00D729AC"/>
    <w:rsid w:val="00D72C99"/>
    <w:rsid w:val="00D72F08"/>
    <w:rsid w:val="00D732E3"/>
    <w:rsid w:val="00D73313"/>
    <w:rsid w:val="00D73363"/>
    <w:rsid w:val="00D73668"/>
    <w:rsid w:val="00D73976"/>
    <w:rsid w:val="00D73A74"/>
    <w:rsid w:val="00D73DF1"/>
    <w:rsid w:val="00D74000"/>
    <w:rsid w:val="00D74238"/>
    <w:rsid w:val="00D7432A"/>
    <w:rsid w:val="00D74734"/>
    <w:rsid w:val="00D74813"/>
    <w:rsid w:val="00D74F32"/>
    <w:rsid w:val="00D74FEF"/>
    <w:rsid w:val="00D751FB"/>
    <w:rsid w:val="00D7529A"/>
    <w:rsid w:val="00D752A1"/>
    <w:rsid w:val="00D75531"/>
    <w:rsid w:val="00D75C74"/>
    <w:rsid w:val="00D75D65"/>
    <w:rsid w:val="00D760F7"/>
    <w:rsid w:val="00D761B5"/>
    <w:rsid w:val="00D765A6"/>
    <w:rsid w:val="00D76A3F"/>
    <w:rsid w:val="00D76FB8"/>
    <w:rsid w:val="00D772D7"/>
    <w:rsid w:val="00D77332"/>
    <w:rsid w:val="00D77488"/>
    <w:rsid w:val="00D774CD"/>
    <w:rsid w:val="00D7765E"/>
    <w:rsid w:val="00D77687"/>
    <w:rsid w:val="00D77689"/>
    <w:rsid w:val="00D77813"/>
    <w:rsid w:val="00D7799D"/>
    <w:rsid w:val="00D805B9"/>
    <w:rsid w:val="00D80831"/>
    <w:rsid w:val="00D80DB6"/>
    <w:rsid w:val="00D80F71"/>
    <w:rsid w:val="00D8113B"/>
    <w:rsid w:val="00D811CE"/>
    <w:rsid w:val="00D81318"/>
    <w:rsid w:val="00D8138F"/>
    <w:rsid w:val="00D81782"/>
    <w:rsid w:val="00D81B93"/>
    <w:rsid w:val="00D81C9E"/>
    <w:rsid w:val="00D81FBF"/>
    <w:rsid w:val="00D821D3"/>
    <w:rsid w:val="00D82A17"/>
    <w:rsid w:val="00D82AED"/>
    <w:rsid w:val="00D83234"/>
    <w:rsid w:val="00D8385E"/>
    <w:rsid w:val="00D83F3A"/>
    <w:rsid w:val="00D841D6"/>
    <w:rsid w:val="00D842B2"/>
    <w:rsid w:val="00D842ED"/>
    <w:rsid w:val="00D84907"/>
    <w:rsid w:val="00D84B32"/>
    <w:rsid w:val="00D84BDC"/>
    <w:rsid w:val="00D84BEE"/>
    <w:rsid w:val="00D84CA0"/>
    <w:rsid w:val="00D84F36"/>
    <w:rsid w:val="00D850C4"/>
    <w:rsid w:val="00D85422"/>
    <w:rsid w:val="00D85B58"/>
    <w:rsid w:val="00D85C43"/>
    <w:rsid w:val="00D85C84"/>
    <w:rsid w:val="00D85D50"/>
    <w:rsid w:val="00D85E34"/>
    <w:rsid w:val="00D86073"/>
    <w:rsid w:val="00D8646A"/>
    <w:rsid w:val="00D869A9"/>
    <w:rsid w:val="00D869DC"/>
    <w:rsid w:val="00D869E6"/>
    <w:rsid w:val="00D86C45"/>
    <w:rsid w:val="00D86D54"/>
    <w:rsid w:val="00D86D8A"/>
    <w:rsid w:val="00D86E8B"/>
    <w:rsid w:val="00D86F2F"/>
    <w:rsid w:val="00D870EB"/>
    <w:rsid w:val="00D8750F"/>
    <w:rsid w:val="00D8763B"/>
    <w:rsid w:val="00D87782"/>
    <w:rsid w:val="00D877B6"/>
    <w:rsid w:val="00D87C0A"/>
    <w:rsid w:val="00D9021B"/>
    <w:rsid w:val="00D905A3"/>
    <w:rsid w:val="00D905D1"/>
    <w:rsid w:val="00D9063B"/>
    <w:rsid w:val="00D90655"/>
    <w:rsid w:val="00D906F2"/>
    <w:rsid w:val="00D90A8A"/>
    <w:rsid w:val="00D90C06"/>
    <w:rsid w:val="00D90C13"/>
    <w:rsid w:val="00D90C4B"/>
    <w:rsid w:val="00D90CD1"/>
    <w:rsid w:val="00D90E82"/>
    <w:rsid w:val="00D9103B"/>
    <w:rsid w:val="00D910DC"/>
    <w:rsid w:val="00D9159B"/>
    <w:rsid w:val="00D919A9"/>
    <w:rsid w:val="00D91BED"/>
    <w:rsid w:val="00D91E85"/>
    <w:rsid w:val="00D91EAE"/>
    <w:rsid w:val="00D91FA0"/>
    <w:rsid w:val="00D92249"/>
    <w:rsid w:val="00D92454"/>
    <w:rsid w:val="00D927D9"/>
    <w:rsid w:val="00D9293B"/>
    <w:rsid w:val="00D92A1B"/>
    <w:rsid w:val="00D92BF0"/>
    <w:rsid w:val="00D92C3C"/>
    <w:rsid w:val="00D92CB9"/>
    <w:rsid w:val="00D93A5B"/>
    <w:rsid w:val="00D93B9F"/>
    <w:rsid w:val="00D93FFA"/>
    <w:rsid w:val="00D9430B"/>
    <w:rsid w:val="00D94346"/>
    <w:rsid w:val="00D9472C"/>
    <w:rsid w:val="00D94BAE"/>
    <w:rsid w:val="00D94BC9"/>
    <w:rsid w:val="00D94F93"/>
    <w:rsid w:val="00D94FB0"/>
    <w:rsid w:val="00D95137"/>
    <w:rsid w:val="00D9516F"/>
    <w:rsid w:val="00D952E9"/>
    <w:rsid w:val="00D9571A"/>
    <w:rsid w:val="00D95740"/>
    <w:rsid w:val="00D9591F"/>
    <w:rsid w:val="00D95C56"/>
    <w:rsid w:val="00D95CD2"/>
    <w:rsid w:val="00D96045"/>
    <w:rsid w:val="00D9613C"/>
    <w:rsid w:val="00D96242"/>
    <w:rsid w:val="00D973A9"/>
    <w:rsid w:val="00D977C2"/>
    <w:rsid w:val="00D97A93"/>
    <w:rsid w:val="00D97C59"/>
    <w:rsid w:val="00D97E86"/>
    <w:rsid w:val="00D97EA1"/>
    <w:rsid w:val="00DA03A0"/>
    <w:rsid w:val="00DA0763"/>
    <w:rsid w:val="00DA0AA3"/>
    <w:rsid w:val="00DA0B4D"/>
    <w:rsid w:val="00DA0BB0"/>
    <w:rsid w:val="00DA1142"/>
    <w:rsid w:val="00DA12DB"/>
    <w:rsid w:val="00DA138E"/>
    <w:rsid w:val="00DA16FE"/>
    <w:rsid w:val="00DA1E4E"/>
    <w:rsid w:val="00DA1E8A"/>
    <w:rsid w:val="00DA2357"/>
    <w:rsid w:val="00DA27D4"/>
    <w:rsid w:val="00DA29C6"/>
    <w:rsid w:val="00DA2A6F"/>
    <w:rsid w:val="00DA30BC"/>
    <w:rsid w:val="00DA3758"/>
    <w:rsid w:val="00DA39AA"/>
    <w:rsid w:val="00DA3AD1"/>
    <w:rsid w:val="00DA3D3D"/>
    <w:rsid w:val="00DA3E06"/>
    <w:rsid w:val="00DA40E0"/>
    <w:rsid w:val="00DA4232"/>
    <w:rsid w:val="00DA43FF"/>
    <w:rsid w:val="00DA45AD"/>
    <w:rsid w:val="00DA4688"/>
    <w:rsid w:val="00DA4832"/>
    <w:rsid w:val="00DA4910"/>
    <w:rsid w:val="00DA49C3"/>
    <w:rsid w:val="00DA4A67"/>
    <w:rsid w:val="00DA4DC3"/>
    <w:rsid w:val="00DA4F6D"/>
    <w:rsid w:val="00DA5073"/>
    <w:rsid w:val="00DA5482"/>
    <w:rsid w:val="00DA550C"/>
    <w:rsid w:val="00DA56CB"/>
    <w:rsid w:val="00DA5769"/>
    <w:rsid w:val="00DA5A2C"/>
    <w:rsid w:val="00DA5AAF"/>
    <w:rsid w:val="00DA625D"/>
    <w:rsid w:val="00DA64EF"/>
    <w:rsid w:val="00DA65B6"/>
    <w:rsid w:val="00DA65BE"/>
    <w:rsid w:val="00DA6652"/>
    <w:rsid w:val="00DA6879"/>
    <w:rsid w:val="00DA698C"/>
    <w:rsid w:val="00DA69C2"/>
    <w:rsid w:val="00DA6AE8"/>
    <w:rsid w:val="00DA6D5E"/>
    <w:rsid w:val="00DA6D70"/>
    <w:rsid w:val="00DA71C3"/>
    <w:rsid w:val="00DA731A"/>
    <w:rsid w:val="00DA78A4"/>
    <w:rsid w:val="00DA7A0C"/>
    <w:rsid w:val="00DA7BBA"/>
    <w:rsid w:val="00DA7C14"/>
    <w:rsid w:val="00DA7E59"/>
    <w:rsid w:val="00DB0057"/>
    <w:rsid w:val="00DB0078"/>
    <w:rsid w:val="00DB00B3"/>
    <w:rsid w:val="00DB0254"/>
    <w:rsid w:val="00DB0296"/>
    <w:rsid w:val="00DB0478"/>
    <w:rsid w:val="00DB054D"/>
    <w:rsid w:val="00DB09B9"/>
    <w:rsid w:val="00DB0A79"/>
    <w:rsid w:val="00DB0B0D"/>
    <w:rsid w:val="00DB0B6C"/>
    <w:rsid w:val="00DB101B"/>
    <w:rsid w:val="00DB11D0"/>
    <w:rsid w:val="00DB1923"/>
    <w:rsid w:val="00DB192A"/>
    <w:rsid w:val="00DB1B42"/>
    <w:rsid w:val="00DB1EE7"/>
    <w:rsid w:val="00DB1F5B"/>
    <w:rsid w:val="00DB20DF"/>
    <w:rsid w:val="00DB222C"/>
    <w:rsid w:val="00DB245E"/>
    <w:rsid w:val="00DB2716"/>
    <w:rsid w:val="00DB2864"/>
    <w:rsid w:val="00DB2B11"/>
    <w:rsid w:val="00DB2BF9"/>
    <w:rsid w:val="00DB3105"/>
    <w:rsid w:val="00DB31D7"/>
    <w:rsid w:val="00DB322E"/>
    <w:rsid w:val="00DB3233"/>
    <w:rsid w:val="00DB334B"/>
    <w:rsid w:val="00DB33DE"/>
    <w:rsid w:val="00DB34A4"/>
    <w:rsid w:val="00DB36D1"/>
    <w:rsid w:val="00DB3773"/>
    <w:rsid w:val="00DB3E16"/>
    <w:rsid w:val="00DB3EFE"/>
    <w:rsid w:val="00DB4062"/>
    <w:rsid w:val="00DB4219"/>
    <w:rsid w:val="00DB49EB"/>
    <w:rsid w:val="00DB4A98"/>
    <w:rsid w:val="00DB4CAE"/>
    <w:rsid w:val="00DB51B1"/>
    <w:rsid w:val="00DB52B7"/>
    <w:rsid w:val="00DB53C1"/>
    <w:rsid w:val="00DB53C2"/>
    <w:rsid w:val="00DB58AE"/>
    <w:rsid w:val="00DB5B10"/>
    <w:rsid w:val="00DB5BF4"/>
    <w:rsid w:val="00DB6036"/>
    <w:rsid w:val="00DB6050"/>
    <w:rsid w:val="00DB614A"/>
    <w:rsid w:val="00DB6842"/>
    <w:rsid w:val="00DB6B01"/>
    <w:rsid w:val="00DB6DCD"/>
    <w:rsid w:val="00DB70EA"/>
    <w:rsid w:val="00DB7364"/>
    <w:rsid w:val="00DB740E"/>
    <w:rsid w:val="00DB75CD"/>
    <w:rsid w:val="00DB75F9"/>
    <w:rsid w:val="00DB7637"/>
    <w:rsid w:val="00DB76CB"/>
    <w:rsid w:val="00DB7DEA"/>
    <w:rsid w:val="00DC01EA"/>
    <w:rsid w:val="00DC0A59"/>
    <w:rsid w:val="00DC0B89"/>
    <w:rsid w:val="00DC0D33"/>
    <w:rsid w:val="00DC0DBE"/>
    <w:rsid w:val="00DC173A"/>
    <w:rsid w:val="00DC1A9E"/>
    <w:rsid w:val="00DC1BEA"/>
    <w:rsid w:val="00DC1C41"/>
    <w:rsid w:val="00DC1F07"/>
    <w:rsid w:val="00DC1F29"/>
    <w:rsid w:val="00DC213D"/>
    <w:rsid w:val="00DC2332"/>
    <w:rsid w:val="00DC272A"/>
    <w:rsid w:val="00DC27D0"/>
    <w:rsid w:val="00DC286F"/>
    <w:rsid w:val="00DC2AB5"/>
    <w:rsid w:val="00DC2C34"/>
    <w:rsid w:val="00DC309C"/>
    <w:rsid w:val="00DC328A"/>
    <w:rsid w:val="00DC33D5"/>
    <w:rsid w:val="00DC35B7"/>
    <w:rsid w:val="00DC36D0"/>
    <w:rsid w:val="00DC3878"/>
    <w:rsid w:val="00DC3C53"/>
    <w:rsid w:val="00DC3C76"/>
    <w:rsid w:val="00DC405B"/>
    <w:rsid w:val="00DC42AE"/>
    <w:rsid w:val="00DC43CC"/>
    <w:rsid w:val="00DC44E4"/>
    <w:rsid w:val="00DC4830"/>
    <w:rsid w:val="00DC4EB5"/>
    <w:rsid w:val="00DC534F"/>
    <w:rsid w:val="00DC586B"/>
    <w:rsid w:val="00DC59BA"/>
    <w:rsid w:val="00DC59E3"/>
    <w:rsid w:val="00DC5B34"/>
    <w:rsid w:val="00DC5C7B"/>
    <w:rsid w:val="00DC5CB4"/>
    <w:rsid w:val="00DC5DE1"/>
    <w:rsid w:val="00DC5E50"/>
    <w:rsid w:val="00DC6008"/>
    <w:rsid w:val="00DC627D"/>
    <w:rsid w:val="00DC672F"/>
    <w:rsid w:val="00DC67F7"/>
    <w:rsid w:val="00DC6C28"/>
    <w:rsid w:val="00DC72A8"/>
    <w:rsid w:val="00DC73C7"/>
    <w:rsid w:val="00DC76C4"/>
    <w:rsid w:val="00DC7720"/>
    <w:rsid w:val="00DC7838"/>
    <w:rsid w:val="00DC7E6F"/>
    <w:rsid w:val="00DC7EF0"/>
    <w:rsid w:val="00DD03DE"/>
    <w:rsid w:val="00DD08A4"/>
    <w:rsid w:val="00DD0A6F"/>
    <w:rsid w:val="00DD1049"/>
    <w:rsid w:val="00DD115F"/>
    <w:rsid w:val="00DD1844"/>
    <w:rsid w:val="00DD1C4C"/>
    <w:rsid w:val="00DD1CDA"/>
    <w:rsid w:val="00DD20D9"/>
    <w:rsid w:val="00DD22C8"/>
    <w:rsid w:val="00DD22FC"/>
    <w:rsid w:val="00DD25FC"/>
    <w:rsid w:val="00DD29B5"/>
    <w:rsid w:val="00DD2BF1"/>
    <w:rsid w:val="00DD2C32"/>
    <w:rsid w:val="00DD2CC2"/>
    <w:rsid w:val="00DD2CD0"/>
    <w:rsid w:val="00DD2D75"/>
    <w:rsid w:val="00DD2F52"/>
    <w:rsid w:val="00DD31CD"/>
    <w:rsid w:val="00DD33BE"/>
    <w:rsid w:val="00DD3647"/>
    <w:rsid w:val="00DD38BF"/>
    <w:rsid w:val="00DD3D6A"/>
    <w:rsid w:val="00DD44A6"/>
    <w:rsid w:val="00DD44EB"/>
    <w:rsid w:val="00DD4635"/>
    <w:rsid w:val="00DD46A5"/>
    <w:rsid w:val="00DD47D4"/>
    <w:rsid w:val="00DD4B4D"/>
    <w:rsid w:val="00DD4C20"/>
    <w:rsid w:val="00DD4FCF"/>
    <w:rsid w:val="00DD525F"/>
    <w:rsid w:val="00DD569B"/>
    <w:rsid w:val="00DD5B75"/>
    <w:rsid w:val="00DD5C30"/>
    <w:rsid w:val="00DD5DBF"/>
    <w:rsid w:val="00DD5DDD"/>
    <w:rsid w:val="00DD5F4C"/>
    <w:rsid w:val="00DD6153"/>
    <w:rsid w:val="00DD6256"/>
    <w:rsid w:val="00DD6477"/>
    <w:rsid w:val="00DD649D"/>
    <w:rsid w:val="00DD6932"/>
    <w:rsid w:val="00DD6A10"/>
    <w:rsid w:val="00DD6B0E"/>
    <w:rsid w:val="00DD6C5E"/>
    <w:rsid w:val="00DD6EE7"/>
    <w:rsid w:val="00DD711E"/>
    <w:rsid w:val="00DD7275"/>
    <w:rsid w:val="00DD7532"/>
    <w:rsid w:val="00DD767B"/>
    <w:rsid w:val="00DD76ED"/>
    <w:rsid w:val="00DD778B"/>
    <w:rsid w:val="00DD7B9A"/>
    <w:rsid w:val="00DD7CA3"/>
    <w:rsid w:val="00DE002B"/>
    <w:rsid w:val="00DE0179"/>
    <w:rsid w:val="00DE0389"/>
    <w:rsid w:val="00DE0472"/>
    <w:rsid w:val="00DE0592"/>
    <w:rsid w:val="00DE06F6"/>
    <w:rsid w:val="00DE0879"/>
    <w:rsid w:val="00DE0A91"/>
    <w:rsid w:val="00DE0CBA"/>
    <w:rsid w:val="00DE0EBF"/>
    <w:rsid w:val="00DE0F85"/>
    <w:rsid w:val="00DE0F9A"/>
    <w:rsid w:val="00DE0FEB"/>
    <w:rsid w:val="00DE1268"/>
    <w:rsid w:val="00DE12C1"/>
    <w:rsid w:val="00DE1321"/>
    <w:rsid w:val="00DE1387"/>
    <w:rsid w:val="00DE13DF"/>
    <w:rsid w:val="00DE14F6"/>
    <w:rsid w:val="00DE1D13"/>
    <w:rsid w:val="00DE1DB4"/>
    <w:rsid w:val="00DE1F3F"/>
    <w:rsid w:val="00DE2059"/>
    <w:rsid w:val="00DE2258"/>
    <w:rsid w:val="00DE22CE"/>
    <w:rsid w:val="00DE22EF"/>
    <w:rsid w:val="00DE23BC"/>
    <w:rsid w:val="00DE253C"/>
    <w:rsid w:val="00DE26AD"/>
    <w:rsid w:val="00DE26DD"/>
    <w:rsid w:val="00DE2AF3"/>
    <w:rsid w:val="00DE2C87"/>
    <w:rsid w:val="00DE2D1F"/>
    <w:rsid w:val="00DE2D8C"/>
    <w:rsid w:val="00DE2ED7"/>
    <w:rsid w:val="00DE2F2C"/>
    <w:rsid w:val="00DE34C3"/>
    <w:rsid w:val="00DE38B5"/>
    <w:rsid w:val="00DE3B0A"/>
    <w:rsid w:val="00DE43EE"/>
    <w:rsid w:val="00DE447C"/>
    <w:rsid w:val="00DE459A"/>
    <w:rsid w:val="00DE4681"/>
    <w:rsid w:val="00DE4DA9"/>
    <w:rsid w:val="00DE4E1E"/>
    <w:rsid w:val="00DE4F33"/>
    <w:rsid w:val="00DE5064"/>
    <w:rsid w:val="00DE537C"/>
    <w:rsid w:val="00DE5425"/>
    <w:rsid w:val="00DE54F3"/>
    <w:rsid w:val="00DE5751"/>
    <w:rsid w:val="00DE5867"/>
    <w:rsid w:val="00DE5A13"/>
    <w:rsid w:val="00DE5B56"/>
    <w:rsid w:val="00DE5C20"/>
    <w:rsid w:val="00DE5E93"/>
    <w:rsid w:val="00DE6047"/>
    <w:rsid w:val="00DE64BF"/>
    <w:rsid w:val="00DE684C"/>
    <w:rsid w:val="00DE6A37"/>
    <w:rsid w:val="00DE6DB1"/>
    <w:rsid w:val="00DE6E2A"/>
    <w:rsid w:val="00DE7085"/>
    <w:rsid w:val="00DE7274"/>
    <w:rsid w:val="00DE72E2"/>
    <w:rsid w:val="00DE7960"/>
    <w:rsid w:val="00DE7AB9"/>
    <w:rsid w:val="00DE7ABF"/>
    <w:rsid w:val="00DE7AC0"/>
    <w:rsid w:val="00DE7D0F"/>
    <w:rsid w:val="00DE7E28"/>
    <w:rsid w:val="00DF03FE"/>
    <w:rsid w:val="00DF0602"/>
    <w:rsid w:val="00DF08CB"/>
    <w:rsid w:val="00DF08CE"/>
    <w:rsid w:val="00DF09D7"/>
    <w:rsid w:val="00DF0A37"/>
    <w:rsid w:val="00DF0C6C"/>
    <w:rsid w:val="00DF11BB"/>
    <w:rsid w:val="00DF1769"/>
    <w:rsid w:val="00DF18FC"/>
    <w:rsid w:val="00DF1AE1"/>
    <w:rsid w:val="00DF2214"/>
    <w:rsid w:val="00DF2420"/>
    <w:rsid w:val="00DF27DA"/>
    <w:rsid w:val="00DF27E5"/>
    <w:rsid w:val="00DF296B"/>
    <w:rsid w:val="00DF2E7B"/>
    <w:rsid w:val="00DF3262"/>
    <w:rsid w:val="00DF35D4"/>
    <w:rsid w:val="00DF35F2"/>
    <w:rsid w:val="00DF3BA7"/>
    <w:rsid w:val="00DF3FF0"/>
    <w:rsid w:val="00DF435A"/>
    <w:rsid w:val="00DF468E"/>
    <w:rsid w:val="00DF48DD"/>
    <w:rsid w:val="00DF4A1A"/>
    <w:rsid w:val="00DF4D29"/>
    <w:rsid w:val="00DF4DBE"/>
    <w:rsid w:val="00DF4DF9"/>
    <w:rsid w:val="00DF4F92"/>
    <w:rsid w:val="00DF5C2D"/>
    <w:rsid w:val="00DF5C6C"/>
    <w:rsid w:val="00DF5D85"/>
    <w:rsid w:val="00DF6137"/>
    <w:rsid w:val="00DF6279"/>
    <w:rsid w:val="00DF62DB"/>
    <w:rsid w:val="00DF643C"/>
    <w:rsid w:val="00DF6AC4"/>
    <w:rsid w:val="00DF6C9E"/>
    <w:rsid w:val="00DF6EE9"/>
    <w:rsid w:val="00DF73C3"/>
    <w:rsid w:val="00DF740B"/>
    <w:rsid w:val="00DF7ABF"/>
    <w:rsid w:val="00DF7C60"/>
    <w:rsid w:val="00DF7DFA"/>
    <w:rsid w:val="00E00031"/>
    <w:rsid w:val="00E000D6"/>
    <w:rsid w:val="00E000E6"/>
    <w:rsid w:val="00E00100"/>
    <w:rsid w:val="00E001D2"/>
    <w:rsid w:val="00E0021D"/>
    <w:rsid w:val="00E004A1"/>
    <w:rsid w:val="00E004BD"/>
    <w:rsid w:val="00E008B9"/>
    <w:rsid w:val="00E00ED1"/>
    <w:rsid w:val="00E011F6"/>
    <w:rsid w:val="00E01464"/>
    <w:rsid w:val="00E014F8"/>
    <w:rsid w:val="00E017C4"/>
    <w:rsid w:val="00E018AF"/>
    <w:rsid w:val="00E01C97"/>
    <w:rsid w:val="00E01E34"/>
    <w:rsid w:val="00E02024"/>
    <w:rsid w:val="00E02302"/>
    <w:rsid w:val="00E02645"/>
    <w:rsid w:val="00E028E1"/>
    <w:rsid w:val="00E02CCD"/>
    <w:rsid w:val="00E03386"/>
    <w:rsid w:val="00E03540"/>
    <w:rsid w:val="00E03864"/>
    <w:rsid w:val="00E038AE"/>
    <w:rsid w:val="00E039E2"/>
    <w:rsid w:val="00E03A8E"/>
    <w:rsid w:val="00E03C89"/>
    <w:rsid w:val="00E03CCD"/>
    <w:rsid w:val="00E03F80"/>
    <w:rsid w:val="00E04553"/>
    <w:rsid w:val="00E04562"/>
    <w:rsid w:val="00E04834"/>
    <w:rsid w:val="00E04881"/>
    <w:rsid w:val="00E04A87"/>
    <w:rsid w:val="00E04B15"/>
    <w:rsid w:val="00E04BE2"/>
    <w:rsid w:val="00E05026"/>
    <w:rsid w:val="00E0511D"/>
    <w:rsid w:val="00E05177"/>
    <w:rsid w:val="00E05250"/>
    <w:rsid w:val="00E0559F"/>
    <w:rsid w:val="00E058CF"/>
    <w:rsid w:val="00E05C27"/>
    <w:rsid w:val="00E05CA4"/>
    <w:rsid w:val="00E064E7"/>
    <w:rsid w:val="00E069C5"/>
    <w:rsid w:val="00E06A42"/>
    <w:rsid w:val="00E06B2E"/>
    <w:rsid w:val="00E06C8B"/>
    <w:rsid w:val="00E06D09"/>
    <w:rsid w:val="00E0700E"/>
    <w:rsid w:val="00E07055"/>
    <w:rsid w:val="00E071D3"/>
    <w:rsid w:val="00E075F4"/>
    <w:rsid w:val="00E077B8"/>
    <w:rsid w:val="00E1000F"/>
    <w:rsid w:val="00E100C7"/>
    <w:rsid w:val="00E10100"/>
    <w:rsid w:val="00E105EA"/>
    <w:rsid w:val="00E10686"/>
    <w:rsid w:val="00E107E4"/>
    <w:rsid w:val="00E10BA9"/>
    <w:rsid w:val="00E10DEF"/>
    <w:rsid w:val="00E112BB"/>
    <w:rsid w:val="00E1176A"/>
    <w:rsid w:val="00E118B4"/>
    <w:rsid w:val="00E118B9"/>
    <w:rsid w:val="00E11A44"/>
    <w:rsid w:val="00E11CE1"/>
    <w:rsid w:val="00E11F55"/>
    <w:rsid w:val="00E1200E"/>
    <w:rsid w:val="00E12363"/>
    <w:rsid w:val="00E12608"/>
    <w:rsid w:val="00E1277E"/>
    <w:rsid w:val="00E12978"/>
    <w:rsid w:val="00E13332"/>
    <w:rsid w:val="00E1346C"/>
    <w:rsid w:val="00E13714"/>
    <w:rsid w:val="00E13773"/>
    <w:rsid w:val="00E138BB"/>
    <w:rsid w:val="00E13A20"/>
    <w:rsid w:val="00E13FF4"/>
    <w:rsid w:val="00E141BD"/>
    <w:rsid w:val="00E14437"/>
    <w:rsid w:val="00E1454C"/>
    <w:rsid w:val="00E146DE"/>
    <w:rsid w:val="00E14985"/>
    <w:rsid w:val="00E150D3"/>
    <w:rsid w:val="00E1528E"/>
    <w:rsid w:val="00E152C2"/>
    <w:rsid w:val="00E15514"/>
    <w:rsid w:val="00E155E3"/>
    <w:rsid w:val="00E15781"/>
    <w:rsid w:val="00E15989"/>
    <w:rsid w:val="00E15BCE"/>
    <w:rsid w:val="00E15C32"/>
    <w:rsid w:val="00E15D77"/>
    <w:rsid w:val="00E15ED8"/>
    <w:rsid w:val="00E1610D"/>
    <w:rsid w:val="00E163BB"/>
    <w:rsid w:val="00E16460"/>
    <w:rsid w:val="00E165AA"/>
    <w:rsid w:val="00E16A5D"/>
    <w:rsid w:val="00E16B07"/>
    <w:rsid w:val="00E17032"/>
    <w:rsid w:val="00E1729B"/>
    <w:rsid w:val="00E172E1"/>
    <w:rsid w:val="00E17331"/>
    <w:rsid w:val="00E17434"/>
    <w:rsid w:val="00E175C0"/>
    <w:rsid w:val="00E177E6"/>
    <w:rsid w:val="00E178AA"/>
    <w:rsid w:val="00E17F4F"/>
    <w:rsid w:val="00E17F6A"/>
    <w:rsid w:val="00E20390"/>
    <w:rsid w:val="00E20499"/>
    <w:rsid w:val="00E208F9"/>
    <w:rsid w:val="00E20AC9"/>
    <w:rsid w:val="00E20B41"/>
    <w:rsid w:val="00E20B96"/>
    <w:rsid w:val="00E20E83"/>
    <w:rsid w:val="00E20EAB"/>
    <w:rsid w:val="00E20F7D"/>
    <w:rsid w:val="00E210A1"/>
    <w:rsid w:val="00E212AC"/>
    <w:rsid w:val="00E214AB"/>
    <w:rsid w:val="00E21588"/>
    <w:rsid w:val="00E21A09"/>
    <w:rsid w:val="00E21FE4"/>
    <w:rsid w:val="00E22115"/>
    <w:rsid w:val="00E2246D"/>
    <w:rsid w:val="00E225E9"/>
    <w:rsid w:val="00E22785"/>
    <w:rsid w:val="00E228D3"/>
    <w:rsid w:val="00E22B86"/>
    <w:rsid w:val="00E22F50"/>
    <w:rsid w:val="00E22FA5"/>
    <w:rsid w:val="00E235A6"/>
    <w:rsid w:val="00E2375A"/>
    <w:rsid w:val="00E239E3"/>
    <w:rsid w:val="00E23CE5"/>
    <w:rsid w:val="00E24003"/>
    <w:rsid w:val="00E240FB"/>
    <w:rsid w:val="00E241C6"/>
    <w:rsid w:val="00E243D0"/>
    <w:rsid w:val="00E24739"/>
    <w:rsid w:val="00E2486D"/>
    <w:rsid w:val="00E248B8"/>
    <w:rsid w:val="00E24A31"/>
    <w:rsid w:val="00E24A41"/>
    <w:rsid w:val="00E24E73"/>
    <w:rsid w:val="00E25558"/>
    <w:rsid w:val="00E25CFF"/>
    <w:rsid w:val="00E26165"/>
    <w:rsid w:val="00E266B5"/>
    <w:rsid w:val="00E26C63"/>
    <w:rsid w:val="00E26CC2"/>
    <w:rsid w:val="00E26E9A"/>
    <w:rsid w:val="00E2741E"/>
    <w:rsid w:val="00E275F7"/>
    <w:rsid w:val="00E2771A"/>
    <w:rsid w:val="00E27AEF"/>
    <w:rsid w:val="00E27B0A"/>
    <w:rsid w:val="00E30300"/>
    <w:rsid w:val="00E3042D"/>
    <w:rsid w:val="00E3074B"/>
    <w:rsid w:val="00E30793"/>
    <w:rsid w:val="00E30B49"/>
    <w:rsid w:val="00E30F79"/>
    <w:rsid w:val="00E3138E"/>
    <w:rsid w:val="00E3143B"/>
    <w:rsid w:val="00E31463"/>
    <w:rsid w:val="00E31782"/>
    <w:rsid w:val="00E31A9D"/>
    <w:rsid w:val="00E31AA9"/>
    <w:rsid w:val="00E31FEE"/>
    <w:rsid w:val="00E321D8"/>
    <w:rsid w:val="00E32890"/>
    <w:rsid w:val="00E328EB"/>
    <w:rsid w:val="00E3298E"/>
    <w:rsid w:val="00E32A11"/>
    <w:rsid w:val="00E32ABC"/>
    <w:rsid w:val="00E32CE8"/>
    <w:rsid w:val="00E33245"/>
    <w:rsid w:val="00E332FF"/>
    <w:rsid w:val="00E3339C"/>
    <w:rsid w:val="00E33D08"/>
    <w:rsid w:val="00E33DBC"/>
    <w:rsid w:val="00E33DE0"/>
    <w:rsid w:val="00E342B6"/>
    <w:rsid w:val="00E345D8"/>
    <w:rsid w:val="00E346AF"/>
    <w:rsid w:val="00E346CE"/>
    <w:rsid w:val="00E34912"/>
    <w:rsid w:val="00E34A53"/>
    <w:rsid w:val="00E34ABD"/>
    <w:rsid w:val="00E34DCA"/>
    <w:rsid w:val="00E350D4"/>
    <w:rsid w:val="00E35115"/>
    <w:rsid w:val="00E35154"/>
    <w:rsid w:val="00E3549C"/>
    <w:rsid w:val="00E35C3E"/>
    <w:rsid w:val="00E35E00"/>
    <w:rsid w:val="00E36096"/>
    <w:rsid w:val="00E361DE"/>
    <w:rsid w:val="00E3644B"/>
    <w:rsid w:val="00E366DB"/>
    <w:rsid w:val="00E369B9"/>
    <w:rsid w:val="00E369F3"/>
    <w:rsid w:val="00E36B36"/>
    <w:rsid w:val="00E37078"/>
    <w:rsid w:val="00E37A8C"/>
    <w:rsid w:val="00E37CF7"/>
    <w:rsid w:val="00E37F99"/>
    <w:rsid w:val="00E40351"/>
    <w:rsid w:val="00E403E3"/>
    <w:rsid w:val="00E406D2"/>
    <w:rsid w:val="00E40820"/>
    <w:rsid w:val="00E4087E"/>
    <w:rsid w:val="00E40AB4"/>
    <w:rsid w:val="00E40BB3"/>
    <w:rsid w:val="00E40D8A"/>
    <w:rsid w:val="00E4103D"/>
    <w:rsid w:val="00E4112A"/>
    <w:rsid w:val="00E416E0"/>
    <w:rsid w:val="00E41708"/>
    <w:rsid w:val="00E41CA2"/>
    <w:rsid w:val="00E42151"/>
    <w:rsid w:val="00E42252"/>
    <w:rsid w:val="00E4289A"/>
    <w:rsid w:val="00E42928"/>
    <w:rsid w:val="00E4294A"/>
    <w:rsid w:val="00E429DB"/>
    <w:rsid w:val="00E42B77"/>
    <w:rsid w:val="00E42CCC"/>
    <w:rsid w:val="00E42D07"/>
    <w:rsid w:val="00E42EF6"/>
    <w:rsid w:val="00E42F49"/>
    <w:rsid w:val="00E42F55"/>
    <w:rsid w:val="00E43023"/>
    <w:rsid w:val="00E43701"/>
    <w:rsid w:val="00E4380C"/>
    <w:rsid w:val="00E43C58"/>
    <w:rsid w:val="00E43D1C"/>
    <w:rsid w:val="00E43EAB"/>
    <w:rsid w:val="00E4420A"/>
    <w:rsid w:val="00E44363"/>
    <w:rsid w:val="00E4469A"/>
    <w:rsid w:val="00E448DC"/>
    <w:rsid w:val="00E44A85"/>
    <w:rsid w:val="00E44BAE"/>
    <w:rsid w:val="00E44F84"/>
    <w:rsid w:val="00E45072"/>
    <w:rsid w:val="00E45554"/>
    <w:rsid w:val="00E45635"/>
    <w:rsid w:val="00E4572F"/>
    <w:rsid w:val="00E45A52"/>
    <w:rsid w:val="00E45B97"/>
    <w:rsid w:val="00E45E9A"/>
    <w:rsid w:val="00E4609E"/>
    <w:rsid w:val="00E46312"/>
    <w:rsid w:val="00E46533"/>
    <w:rsid w:val="00E4658F"/>
    <w:rsid w:val="00E46618"/>
    <w:rsid w:val="00E46A62"/>
    <w:rsid w:val="00E46BFF"/>
    <w:rsid w:val="00E46F92"/>
    <w:rsid w:val="00E4753D"/>
    <w:rsid w:val="00E4754E"/>
    <w:rsid w:val="00E47747"/>
    <w:rsid w:val="00E47799"/>
    <w:rsid w:val="00E47B65"/>
    <w:rsid w:val="00E47EF7"/>
    <w:rsid w:val="00E50059"/>
    <w:rsid w:val="00E500EE"/>
    <w:rsid w:val="00E503C5"/>
    <w:rsid w:val="00E503FB"/>
    <w:rsid w:val="00E5046A"/>
    <w:rsid w:val="00E50556"/>
    <w:rsid w:val="00E50715"/>
    <w:rsid w:val="00E50901"/>
    <w:rsid w:val="00E5092A"/>
    <w:rsid w:val="00E50AA4"/>
    <w:rsid w:val="00E50DBC"/>
    <w:rsid w:val="00E50F30"/>
    <w:rsid w:val="00E51016"/>
    <w:rsid w:val="00E5162B"/>
    <w:rsid w:val="00E51672"/>
    <w:rsid w:val="00E5173B"/>
    <w:rsid w:val="00E518E5"/>
    <w:rsid w:val="00E51AD8"/>
    <w:rsid w:val="00E51B8A"/>
    <w:rsid w:val="00E52403"/>
    <w:rsid w:val="00E525C9"/>
    <w:rsid w:val="00E525F6"/>
    <w:rsid w:val="00E527A2"/>
    <w:rsid w:val="00E529C9"/>
    <w:rsid w:val="00E52A34"/>
    <w:rsid w:val="00E52D70"/>
    <w:rsid w:val="00E52DFF"/>
    <w:rsid w:val="00E52E3E"/>
    <w:rsid w:val="00E52E9C"/>
    <w:rsid w:val="00E53066"/>
    <w:rsid w:val="00E531C3"/>
    <w:rsid w:val="00E532AC"/>
    <w:rsid w:val="00E5341A"/>
    <w:rsid w:val="00E536C4"/>
    <w:rsid w:val="00E5379A"/>
    <w:rsid w:val="00E53D08"/>
    <w:rsid w:val="00E53FB1"/>
    <w:rsid w:val="00E54094"/>
    <w:rsid w:val="00E54212"/>
    <w:rsid w:val="00E54264"/>
    <w:rsid w:val="00E54266"/>
    <w:rsid w:val="00E54269"/>
    <w:rsid w:val="00E54294"/>
    <w:rsid w:val="00E545F7"/>
    <w:rsid w:val="00E5463C"/>
    <w:rsid w:val="00E54A67"/>
    <w:rsid w:val="00E54F2D"/>
    <w:rsid w:val="00E55154"/>
    <w:rsid w:val="00E55171"/>
    <w:rsid w:val="00E551AC"/>
    <w:rsid w:val="00E551BD"/>
    <w:rsid w:val="00E552BC"/>
    <w:rsid w:val="00E55848"/>
    <w:rsid w:val="00E558B4"/>
    <w:rsid w:val="00E55D12"/>
    <w:rsid w:val="00E55EE7"/>
    <w:rsid w:val="00E56085"/>
    <w:rsid w:val="00E56296"/>
    <w:rsid w:val="00E56736"/>
    <w:rsid w:val="00E56A39"/>
    <w:rsid w:val="00E56C7A"/>
    <w:rsid w:val="00E56E94"/>
    <w:rsid w:val="00E57019"/>
    <w:rsid w:val="00E5705B"/>
    <w:rsid w:val="00E57134"/>
    <w:rsid w:val="00E574A6"/>
    <w:rsid w:val="00E57753"/>
    <w:rsid w:val="00E5785E"/>
    <w:rsid w:val="00E57885"/>
    <w:rsid w:val="00E578B5"/>
    <w:rsid w:val="00E57B36"/>
    <w:rsid w:val="00E57B90"/>
    <w:rsid w:val="00E57BE0"/>
    <w:rsid w:val="00E57C27"/>
    <w:rsid w:val="00E57C75"/>
    <w:rsid w:val="00E57F48"/>
    <w:rsid w:val="00E601FF"/>
    <w:rsid w:val="00E6055A"/>
    <w:rsid w:val="00E605EC"/>
    <w:rsid w:val="00E60B19"/>
    <w:rsid w:val="00E60D1A"/>
    <w:rsid w:val="00E60E52"/>
    <w:rsid w:val="00E60FFA"/>
    <w:rsid w:val="00E6128D"/>
    <w:rsid w:val="00E61319"/>
    <w:rsid w:val="00E61325"/>
    <w:rsid w:val="00E61511"/>
    <w:rsid w:val="00E615ED"/>
    <w:rsid w:val="00E616F1"/>
    <w:rsid w:val="00E618BA"/>
    <w:rsid w:val="00E61BC3"/>
    <w:rsid w:val="00E61C0D"/>
    <w:rsid w:val="00E61EFF"/>
    <w:rsid w:val="00E61F88"/>
    <w:rsid w:val="00E62008"/>
    <w:rsid w:val="00E62036"/>
    <w:rsid w:val="00E623A3"/>
    <w:rsid w:val="00E6296D"/>
    <w:rsid w:val="00E62B8E"/>
    <w:rsid w:val="00E62D14"/>
    <w:rsid w:val="00E6303A"/>
    <w:rsid w:val="00E630D5"/>
    <w:rsid w:val="00E637D7"/>
    <w:rsid w:val="00E63846"/>
    <w:rsid w:val="00E63D7F"/>
    <w:rsid w:val="00E63EB4"/>
    <w:rsid w:val="00E63F11"/>
    <w:rsid w:val="00E63FA3"/>
    <w:rsid w:val="00E641FB"/>
    <w:rsid w:val="00E64364"/>
    <w:rsid w:val="00E64550"/>
    <w:rsid w:val="00E64C6D"/>
    <w:rsid w:val="00E64D11"/>
    <w:rsid w:val="00E64EC4"/>
    <w:rsid w:val="00E64EFA"/>
    <w:rsid w:val="00E64F0B"/>
    <w:rsid w:val="00E6503F"/>
    <w:rsid w:val="00E65798"/>
    <w:rsid w:val="00E65BCE"/>
    <w:rsid w:val="00E65C4A"/>
    <w:rsid w:val="00E65D5B"/>
    <w:rsid w:val="00E65DD4"/>
    <w:rsid w:val="00E66160"/>
    <w:rsid w:val="00E66307"/>
    <w:rsid w:val="00E6642A"/>
    <w:rsid w:val="00E6658A"/>
    <w:rsid w:val="00E665D8"/>
    <w:rsid w:val="00E665EB"/>
    <w:rsid w:val="00E6679F"/>
    <w:rsid w:val="00E66BCC"/>
    <w:rsid w:val="00E66BF3"/>
    <w:rsid w:val="00E671B6"/>
    <w:rsid w:val="00E6738A"/>
    <w:rsid w:val="00E674C4"/>
    <w:rsid w:val="00E676D7"/>
    <w:rsid w:val="00E677E9"/>
    <w:rsid w:val="00E6781C"/>
    <w:rsid w:val="00E67887"/>
    <w:rsid w:val="00E67A14"/>
    <w:rsid w:val="00E67C39"/>
    <w:rsid w:val="00E67E84"/>
    <w:rsid w:val="00E70385"/>
    <w:rsid w:val="00E7091C"/>
    <w:rsid w:val="00E70A82"/>
    <w:rsid w:val="00E70C27"/>
    <w:rsid w:val="00E70DE4"/>
    <w:rsid w:val="00E7116F"/>
    <w:rsid w:val="00E711C0"/>
    <w:rsid w:val="00E7123C"/>
    <w:rsid w:val="00E71329"/>
    <w:rsid w:val="00E713F5"/>
    <w:rsid w:val="00E7159C"/>
    <w:rsid w:val="00E7161C"/>
    <w:rsid w:val="00E71674"/>
    <w:rsid w:val="00E71777"/>
    <w:rsid w:val="00E718FF"/>
    <w:rsid w:val="00E71A3D"/>
    <w:rsid w:val="00E71A61"/>
    <w:rsid w:val="00E71AEF"/>
    <w:rsid w:val="00E71C7A"/>
    <w:rsid w:val="00E72465"/>
    <w:rsid w:val="00E725D1"/>
    <w:rsid w:val="00E726A3"/>
    <w:rsid w:val="00E727B5"/>
    <w:rsid w:val="00E72A40"/>
    <w:rsid w:val="00E72B2A"/>
    <w:rsid w:val="00E72BD1"/>
    <w:rsid w:val="00E73C88"/>
    <w:rsid w:val="00E73EC4"/>
    <w:rsid w:val="00E73F43"/>
    <w:rsid w:val="00E74183"/>
    <w:rsid w:val="00E742E6"/>
    <w:rsid w:val="00E743C9"/>
    <w:rsid w:val="00E744AB"/>
    <w:rsid w:val="00E7468A"/>
    <w:rsid w:val="00E7481E"/>
    <w:rsid w:val="00E749BA"/>
    <w:rsid w:val="00E749D3"/>
    <w:rsid w:val="00E74A82"/>
    <w:rsid w:val="00E74B69"/>
    <w:rsid w:val="00E74E30"/>
    <w:rsid w:val="00E74E38"/>
    <w:rsid w:val="00E74EC2"/>
    <w:rsid w:val="00E74EF4"/>
    <w:rsid w:val="00E75156"/>
    <w:rsid w:val="00E752AB"/>
    <w:rsid w:val="00E75332"/>
    <w:rsid w:val="00E7561B"/>
    <w:rsid w:val="00E759E0"/>
    <w:rsid w:val="00E75B0D"/>
    <w:rsid w:val="00E75D6D"/>
    <w:rsid w:val="00E760F7"/>
    <w:rsid w:val="00E7616A"/>
    <w:rsid w:val="00E76297"/>
    <w:rsid w:val="00E76333"/>
    <w:rsid w:val="00E76D3D"/>
    <w:rsid w:val="00E770F4"/>
    <w:rsid w:val="00E7745E"/>
    <w:rsid w:val="00E77608"/>
    <w:rsid w:val="00E77BB9"/>
    <w:rsid w:val="00E77C12"/>
    <w:rsid w:val="00E77CC7"/>
    <w:rsid w:val="00E77E54"/>
    <w:rsid w:val="00E80021"/>
    <w:rsid w:val="00E801E5"/>
    <w:rsid w:val="00E807CC"/>
    <w:rsid w:val="00E80941"/>
    <w:rsid w:val="00E80AAE"/>
    <w:rsid w:val="00E811FF"/>
    <w:rsid w:val="00E81458"/>
    <w:rsid w:val="00E815EA"/>
    <w:rsid w:val="00E81753"/>
    <w:rsid w:val="00E8183F"/>
    <w:rsid w:val="00E82406"/>
    <w:rsid w:val="00E82468"/>
    <w:rsid w:val="00E826FA"/>
    <w:rsid w:val="00E82B54"/>
    <w:rsid w:val="00E82CEB"/>
    <w:rsid w:val="00E82E68"/>
    <w:rsid w:val="00E82EE8"/>
    <w:rsid w:val="00E8316F"/>
    <w:rsid w:val="00E83415"/>
    <w:rsid w:val="00E83505"/>
    <w:rsid w:val="00E83591"/>
    <w:rsid w:val="00E8363B"/>
    <w:rsid w:val="00E8382E"/>
    <w:rsid w:val="00E83CD9"/>
    <w:rsid w:val="00E83D99"/>
    <w:rsid w:val="00E841ED"/>
    <w:rsid w:val="00E84464"/>
    <w:rsid w:val="00E84575"/>
    <w:rsid w:val="00E84827"/>
    <w:rsid w:val="00E84966"/>
    <w:rsid w:val="00E84BCF"/>
    <w:rsid w:val="00E8522A"/>
    <w:rsid w:val="00E85786"/>
    <w:rsid w:val="00E859A5"/>
    <w:rsid w:val="00E85BCC"/>
    <w:rsid w:val="00E85C70"/>
    <w:rsid w:val="00E85DB9"/>
    <w:rsid w:val="00E85EF1"/>
    <w:rsid w:val="00E8600D"/>
    <w:rsid w:val="00E864DA"/>
    <w:rsid w:val="00E867DA"/>
    <w:rsid w:val="00E8690A"/>
    <w:rsid w:val="00E8693C"/>
    <w:rsid w:val="00E869B3"/>
    <w:rsid w:val="00E86BA3"/>
    <w:rsid w:val="00E86BD8"/>
    <w:rsid w:val="00E86C06"/>
    <w:rsid w:val="00E87164"/>
    <w:rsid w:val="00E871F0"/>
    <w:rsid w:val="00E87230"/>
    <w:rsid w:val="00E87585"/>
    <w:rsid w:val="00E876E3"/>
    <w:rsid w:val="00E879CF"/>
    <w:rsid w:val="00E87BCB"/>
    <w:rsid w:val="00E87D0A"/>
    <w:rsid w:val="00E87DA7"/>
    <w:rsid w:val="00E9048F"/>
    <w:rsid w:val="00E91383"/>
    <w:rsid w:val="00E91389"/>
    <w:rsid w:val="00E9142F"/>
    <w:rsid w:val="00E91457"/>
    <w:rsid w:val="00E914D2"/>
    <w:rsid w:val="00E9159E"/>
    <w:rsid w:val="00E91875"/>
    <w:rsid w:val="00E91BEE"/>
    <w:rsid w:val="00E921E6"/>
    <w:rsid w:val="00E9232E"/>
    <w:rsid w:val="00E92383"/>
    <w:rsid w:val="00E924CE"/>
    <w:rsid w:val="00E92526"/>
    <w:rsid w:val="00E926D2"/>
    <w:rsid w:val="00E928C7"/>
    <w:rsid w:val="00E92A9E"/>
    <w:rsid w:val="00E92B68"/>
    <w:rsid w:val="00E92EEE"/>
    <w:rsid w:val="00E9300E"/>
    <w:rsid w:val="00E9316A"/>
    <w:rsid w:val="00E932AA"/>
    <w:rsid w:val="00E932E1"/>
    <w:rsid w:val="00E933CD"/>
    <w:rsid w:val="00E938AA"/>
    <w:rsid w:val="00E93ECA"/>
    <w:rsid w:val="00E93F01"/>
    <w:rsid w:val="00E94471"/>
    <w:rsid w:val="00E94AEF"/>
    <w:rsid w:val="00E94BC7"/>
    <w:rsid w:val="00E94C51"/>
    <w:rsid w:val="00E94EEB"/>
    <w:rsid w:val="00E94F59"/>
    <w:rsid w:val="00E94F72"/>
    <w:rsid w:val="00E950FD"/>
    <w:rsid w:val="00E9535C"/>
    <w:rsid w:val="00E955E8"/>
    <w:rsid w:val="00E95D01"/>
    <w:rsid w:val="00E95E1A"/>
    <w:rsid w:val="00E95E78"/>
    <w:rsid w:val="00E95F34"/>
    <w:rsid w:val="00E95F38"/>
    <w:rsid w:val="00E95F9A"/>
    <w:rsid w:val="00E96229"/>
    <w:rsid w:val="00E96874"/>
    <w:rsid w:val="00E97734"/>
    <w:rsid w:val="00E9774A"/>
    <w:rsid w:val="00E97907"/>
    <w:rsid w:val="00E97BFB"/>
    <w:rsid w:val="00E97C6C"/>
    <w:rsid w:val="00EA0092"/>
    <w:rsid w:val="00EA05B5"/>
    <w:rsid w:val="00EA07C0"/>
    <w:rsid w:val="00EA0AB1"/>
    <w:rsid w:val="00EA0BB0"/>
    <w:rsid w:val="00EA0BE4"/>
    <w:rsid w:val="00EA0C93"/>
    <w:rsid w:val="00EA0D39"/>
    <w:rsid w:val="00EA0FC5"/>
    <w:rsid w:val="00EA1052"/>
    <w:rsid w:val="00EA10FA"/>
    <w:rsid w:val="00EA13A8"/>
    <w:rsid w:val="00EA16A9"/>
    <w:rsid w:val="00EA18BC"/>
    <w:rsid w:val="00EA19AF"/>
    <w:rsid w:val="00EA1B3A"/>
    <w:rsid w:val="00EA1C53"/>
    <w:rsid w:val="00EA1CBA"/>
    <w:rsid w:val="00EA1F85"/>
    <w:rsid w:val="00EA2109"/>
    <w:rsid w:val="00EA2636"/>
    <w:rsid w:val="00EA27F6"/>
    <w:rsid w:val="00EA2891"/>
    <w:rsid w:val="00EA290A"/>
    <w:rsid w:val="00EA2D86"/>
    <w:rsid w:val="00EA2E3A"/>
    <w:rsid w:val="00EA36F4"/>
    <w:rsid w:val="00EA3707"/>
    <w:rsid w:val="00EA3732"/>
    <w:rsid w:val="00EA373D"/>
    <w:rsid w:val="00EA37B1"/>
    <w:rsid w:val="00EA3984"/>
    <w:rsid w:val="00EA3D54"/>
    <w:rsid w:val="00EA3E6C"/>
    <w:rsid w:val="00EA3EA2"/>
    <w:rsid w:val="00EA4042"/>
    <w:rsid w:val="00EA432A"/>
    <w:rsid w:val="00EA437B"/>
    <w:rsid w:val="00EA4734"/>
    <w:rsid w:val="00EA48BD"/>
    <w:rsid w:val="00EA4A3E"/>
    <w:rsid w:val="00EA4A57"/>
    <w:rsid w:val="00EA4B50"/>
    <w:rsid w:val="00EA4BA2"/>
    <w:rsid w:val="00EA4D78"/>
    <w:rsid w:val="00EA4FAF"/>
    <w:rsid w:val="00EA4FFC"/>
    <w:rsid w:val="00EA50B0"/>
    <w:rsid w:val="00EA52BF"/>
    <w:rsid w:val="00EA559A"/>
    <w:rsid w:val="00EA58D8"/>
    <w:rsid w:val="00EA599F"/>
    <w:rsid w:val="00EA5AB6"/>
    <w:rsid w:val="00EA5D86"/>
    <w:rsid w:val="00EA6321"/>
    <w:rsid w:val="00EA6442"/>
    <w:rsid w:val="00EA6A26"/>
    <w:rsid w:val="00EA6EFC"/>
    <w:rsid w:val="00EA6F3A"/>
    <w:rsid w:val="00EA700E"/>
    <w:rsid w:val="00EA7184"/>
    <w:rsid w:val="00EA7B05"/>
    <w:rsid w:val="00EA7B8C"/>
    <w:rsid w:val="00EA7C8A"/>
    <w:rsid w:val="00EA7E75"/>
    <w:rsid w:val="00EB00C1"/>
    <w:rsid w:val="00EB00D4"/>
    <w:rsid w:val="00EB01FD"/>
    <w:rsid w:val="00EB0342"/>
    <w:rsid w:val="00EB0406"/>
    <w:rsid w:val="00EB0561"/>
    <w:rsid w:val="00EB05AE"/>
    <w:rsid w:val="00EB06B9"/>
    <w:rsid w:val="00EB0B48"/>
    <w:rsid w:val="00EB0CE8"/>
    <w:rsid w:val="00EB1035"/>
    <w:rsid w:val="00EB10D6"/>
    <w:rsid w:val="00EB1228"/>
    <w:rsid w:val="00EB141F"/>
    <w:rsid w:val="00EB146E"/>
    <w:rsid w:val="00EB15EB"/>
    <w:rsid w:val="00EB1C05"/>
    <w:rsid w:val="00EB1DB1"/>
    <w:rsid w:val="00EB1FD1"/>
    <w:rsid w:val="00EB20E0"/>
    <w:rsid w:val="00EB2662"/>
    <w:rsid w:val="00EB26A7"/>
    <w:rsid w:val="00EB27CA"/>
    <w:rsid w:val="00EB2948"/>
    <w:rsid w:val="00EB2B02"/>
    <w:rsid w:val="00EB2BD8"/>
    <w:rsid w:val="00EB2C2D"/>
    <w:rsid w:val="00EB2E24"/>
    <w:rsid w:val="00EB3217"/>
    <w:rsid w:val="00EB3309"/>
    <w:rsid w:val="00EB35B0"/>
    <w:rsid w:val="00EB35F7"/>
    <w:rsid w:val="00EB4004"/>
    <w:rsid w:val="00EB40B0"/>
    <w:rsid w:val="00EB446D"/>
    <w:rsid w:val="00EB45E5"/>
    <w:rsid w:val="00EB4674"/>
    <w:rsid w:val="00EB46EB"/>
    <w:rsid w:val="00EB4775"/>
    <w:rsid w:val="00EB5046"/>
    <w:rsid w:val="00EB59CB"/>
    <w:rsid w:val="00EB59FA"/>
    <w:rsid w:val="00EB61B7"/>
    <w:rsid w:val="00EB61BF"/>
    <w:rsid w:val="00EB6287"/>
    <w:rsid w:val="00EB6A16"/>
    <w:rsid w:val="00EB6E07"/>
    <w:rsid w:val="00EB6F86"/>
    <w:rsid w:val="00EB76A6"/>
    <w:rsid w:val="00EB7AB2"/>
    <w:rsid w:val="00EB7B97"/>
    <w:rsid w:val="00EB7C82"/>
    <w:rsid w:val="00EC016E"/>
    <w:rsid w:val="00EC0674"/>
    <w:rsid w:val="00EC0704"/>
    <w:rsid w:val="00EC08F2"/>
    <w:rsid w:val="00EC0A32"/>
    <w:rsid w:val="00EC0BBB"/>
    <w:rsid w:val="00EC0C76"/>
    <w:rsid w:val="00EC1003"/>
    <w:rsid w:val="00EC1234"/>
    <w:rsid w:val="00EC1333"/>
    <w:rsid w:val="00EC15A3"/>
    <w:rsid w:val="00EC1A55"/>
    <w:rsid w:val="00EC1CB3"/>
    <w:rsid w:val="00EC1D45"/>
    <w:rsid w:val="00EC1EEC"/>
    <w:rsid w:val="00EC1F29"/>
    <w:rsid w:val="00EC219B"/>
    <w:rsid w:val="00EC2215"/>
    <w:rsid w:val="00EC2326"/>
    <w:rsid w:val="00EC25E7"/>
    <w:rsid w:val="00EC2646"/>
    <w:rsid w:val="00EC2AA9"/>
    <w:rsid w:val="00EC2B4D"/>
    <w:rsid w:val="00EC2CAE"/>
    <w:rsid w:val="00EC2D53"/>
    <w:rsid w:val="00EC2DBA"/>
    <w:rsid w:val="00EC2EC6"/>
    <w:rsid w:val="00EC2ED0"/>
    <w:rsid w:val="00EC30BE"/>
    <w:rsid w:val="00EC318B"/>
    <w:rsid w:val="00EC337E"/>
    <w:rsid w:val="00EC372A"/>
    <w:rsid w:val="00EC3A95"/>
    <w:rsid w:val="00EC3AE7"/>
    <w:rsid w:val="00EC3EDE"/>
    <w:rsid w:val="00EC3F11"/>
    <w:rsid w:val="00EC3FAF"/>
    <w:rsid w:val="00EC434F"/>
    <w:rsid w:val="00EC4705"/>
    <w:rsid w:val="00EC4837"/>
    <w:rsid w:val="00EC4C1A"/>
    <w:rsid w:val="00EC4CD5"/>
    <w:rsid w:val="00EC4D23"/>
    <w:rsid w:val="00EC4E55"/>
    <w:rsid w:val="00EC4F36"/>
    <w:rsid w:val="00EC5002"/>
    <w:rsid w:val="00EC5018"/>
    <w:rsid w:val="00EC50AD"/>
    <w:rsid w:val="00EC54E7"/>
    <w:rsid w:val="00EC6245"/>
    <w:rsid w:val="00EC62AD"/>
    <w:rsid w:val="00EC6466"/>
    <w:rsid w:val="00EC67B6"/>
    <w:rsid w:val="00EC6862"/>
    <w:rsid w:val="00EC6925"/>
    <w:rsid w:val="00EC6D29"/>
    <w:rsid w:val="00EC6ED4"/>
    <w:rsid w:val="00EC7151"/>
    <w:rsid w:val="00EC78D3"/>
    <w:rsid w:val="00EC7986"/>
    <w:rsid w:val="00EC79BE"/>
    <w:rsid w:val="00EC7BC5"/>
    <w:rsid w:val="00ED019E"/>
    <w:rsid w:val="00ED06A2"/>
    <w:rsid w:val="00ED0EF4"/>
    <w:rsid w:val="00ED1302"/>
    <w:rsid w:val="00ED149A"/>
    <w:rsid w:val="00ED14CF"/>
    <w:rsid w:val="00ED2358"/>
    <w:rsid w:val="00ED2381"/>
    <w:rsid w:val="00ED24A4"/>
    <w:rsid w:val="00ED2E4D"/>
    <w:rsid w:val="00ED3B82"/>
    <w:rsid w:val="00ED3E35"/>
    <w:rsid w:val="00ED3EAB"/>
    <w:rsid w:val="00ED40D7"/>
    <w:rsid w:val="00ED4298"/>
    <w:rsid w:val="00ED4412"/>
    <w:rsid w:val="00ED4759"/>
    <w:rsid w:val="00ED4974"/>
    <w:rsid w:val="00ED49DE"/>
    <w:rsid w:val="00ED4ADD"/>
    <w:rsid w:val="00ED4B81"/>
    <w:rsid w:val="00ED4D3C"/>
    <w:rsid w:val="00ED4D4E"/>
    <w:rsid w:val="00ED4DEA"/>
    <w:rsid w:val="00ED4E87"/>
    <w:rsid w:val="00ED5115"/>
    <w:rsid w:val="00ED5520"/>
    <w:rsid w:val="00ED5583"/>
    <w:rsid w:val="00ED56D0"/>
    <w:rsid w:val="00ED5C80"/>
    <w:rsid w:val="00ED67D0"/>
    <w:rsid w:val="00ED6892"/>
    <w:rsid w:val="00ED6AFE"/>
    <w:rsid w:val="00ED6B59"/>
    <w:rsid w:val="00ED6C57"/>
    <w:rsid w:val="00ED6D40"/>
    <w:rsid w:val="00ED7073"/>
    <w:rsid w:val="00ED721B"/>
    <w:rsid w:val="00ED731E"/>
    <w:rsid w:val="00ED7777"/>
    <w:rsid w:val="00ED7846"/>
    <w:rsid w:val="00ED78F9"/>
    <w:rsid w:val="00ED7A3A"/>
    <w:rsid w:val="00ED7F4B"/>
    <w:rsid w:val="00EE0011"/>
    <w:rsid w:val="00EE066B"/>
    <w:rsid w:val="00EE07A9"/>
    <w:rsid w:val="00EE0980"/>
    <w:rsid w:val="00EE09C3"/>
    <w:rsid w:val="00EE0B53"/>
    <w:rsid w:val="00EE0C77"/>
    <w:rsid w:val="00EE0CCB"/>
    <w:rsid w:val="00EE1138"/>
    <w:rsid w:val="00EE11E0"/>
    <w:rsid w:val="00EE1BE4"/>
    <w:rsid w:val="00EE22CB"/>
    <w:rsid w:val="00EE2566"/>
    <w:rsid w:val="00EE28B7"/>
    <w:rsid w:val="00EE2F6D"/>
    <w:rsid w:val="00EE31B7"/>
    <w:rsid w:val="00EE3230"/>
    <w:rsid w:val="00EE323F"/>
    <w:rsid w:val="00EE32B1"/>
    <w:rsid w:val="00EE3839"/>
    <w:rsid w:val="00EE3F6B"/>
    <w:rsid w:val="00EE3F8D"/>
    <w:rsid w:val="00EE42C4"/>
    <w:rsid w:val="00EE4BC7"/>
    <w:rsid w:val="00EE4BFD"/>
    <w:rsid w:val="00EE4E54"/>
    <w:rsid w:val="00EE4EEF"/>
    <w:rsid w:val="00EE5689"/>
    <w:rsid w:val="00EE56D6"/>
    <w:rsid w:val="00EE5763"/>
    <w:rsid w:val="00EE5C9D"/>
    <w:rsid w:val="00EE5D1A"/>
    <w:rsid w:val="00EE5E9E"/>
    <w:rsid w:val="00EE5FE3"/>
    <w:rsid w:val="00EE61D9"/>
    <w:rsid w:val="00EE624D"/>
    <w:rsid w:val="00EE6297"/>
    <w:rsid w:val="00EE639D"/>
    <w:rsid w:val="00EE675F"/>
    <w:rsid w:val="00EE67B2"/>
    <w:rsid w:val="00EE68D4"/>
    <w:rsid w:val="00EE6A44"/>
    <w:rsid w:val="00EE6FAF"/>
    <w:rsid w:val="00EE774F"/>
    <w:rsid w:val="00EE7A3E"/>
    <w:rsid w:val="00EE7CF8"/>
    <w:rsid w:val="00EE7D60"/>
    <w:rsid w:val="00EE7E5E"/>
    <w:rsid w:val="00EF0088"/>
    <w:rsid w:val="00EF01B0"/>
    <w:rsid w:val="00EF0386"/>
    <w:rsid w:val="00EF0396"/>
    <w:rsid w:val="00EF04C7"/>
    <w:rsid w:val="00EF07A8"/>
    <w:rsid w:val="00EF0EE9"/>
    <w:rsid w:val="00EF109F"/>
    <w:rsid w:val="00EF1445"/>
    <w:rsid w:val="00EF1637"/>
    <w:rsid w:val="00EF1644"/>
    <w:rsid w:val="00EF1923"/>
    <w:rsid w:val="00EF1974"/>
    <w:rsid w:val="00EF1AAE"/>
    <w:rsid w:val="00EF1D45"/>
    <w:rsid w:val="00EF1F20"/>
    <w:rsid w:val="00EF2386"/>
    <w:rsid w:val="00EF23BD"/>
    <w:rsid w:val="00EF23BF"/>
    <w:rsid w:val="00EF25C9"/>
    <w:rsid w:val="00EF26AC"/>
    <w:rsid w:val="00EF27EF"/>
    <w:rsid w:val="00EF28F0"/>
    <w:rsid w:val="00EF294E"/>
    <w:rsid w:val="00EF29DC"/>
    <w:rsid w:val="00EF2A00"/>
    <w:rsid w:val="00EF2E8C"/>
    <w:rsid w:val="00EF2EE1"/>
    <w:rsid w:val="00EF2F55"/>
    <w:rsid w:val="00EF32AE"/>
    <w:rsid w:val="00EF32EF"/>
    <w:rsid w:val="00EF34F2"/>
    <w:rsid w:val="00EF357A"/>
    <w:rsid w:val="00EF3BC2"/>
    <w:rsid w:val="00EF3BD9"/>
    <w:rsid w:val="00EF3EC1"/>
    <w:rsid w:val="00EF416D"/>
    <w:rsid w:val="00EF4334"/>
    <w:rsid w:val="00EF4339"/>
    <w:rsid w:val="00EF468E"/>
    <w:rsid w:val="00EF499F"/>
    <w:rsid w:val="00EF4C65"/>
    <w:rsid w:val="00EF5499"/>
    <w:rsid w:val="00EF5506"/>
    <w:rsid w:val="00EF5829"/>
    <w:rsid w:val="00EF5B32"/>
    <w:rsid w:val="00EF62CF"/>
    <w:rsid w:val="00EF65F6"/>
    <w:rsid w:val="00EF6976"/>
    <w:rsid w:val="00EF6A20"/>
    <w:rsid w:val="00EF6B9B"/>
    <w:rsid w:val="00EF6F24"/>
    <w:rsid w:val="00EF6F8A"/>
    <w:rsid w:val="00EF72F1"/>
    <w:rsid w:val="00EF74E6"/>
    <w:rsid w:val="00EF7668"/>
    <w:rsid w:val="00EF770A"/>
    <w:rsid w:val="00EF78E6"/>
    <w:rsid w:val="00EF79FE"/>
    <w:rsid w:val="00EF7A12"/>
    <w:rsid w:val="00EF7A18"/>
    <w:rsid w:val="00EF7F3A"/>
    <w:rsid w:val="00F00084"/>
    <w:rsid w:val="00F00238"/>
    <w:rsid w:val="00F0027A"/>
    <w:rsid w:val="00F00312"/>
    <w:rsid w:val="00F00389"/>
    <w:rsid w:val="00F0046A"/>
    <w:rsid w:val="00F01065"/>
    <w:rsid w:val="00F010FA"/>
    <w:rsid w:val="00F01237"/>
    <w:rsid w:val="00F0125C"/>
    <w:rsid w:val="00F01335"/>
    <w:rsid w:val="00F01B7C"/>
    <w:rsid w:val="00F01EFB"/>
    <w:rsid w:val="00F01FF2"/>
    <w:rsid w:val="00F021E2"/>
    <w:rsid w:val="00F0241A"/>
    <w:rsid w:val="00F024D6"/>
    <w:rsid w:val="00F02BA3"/>
    <w:rsid w:val="00F02CF7"/>
    <w:rsid w:val="00F02F76"/>
    <w:rsid w:val="00F031B5"/>
    <w:rsid w:val="00F03569"/>
    <w:rsid w:val="00F0375D"/>
    <w:rsid w:val="00F037A6"/>
    <w:rsid w:val="00F03945"/>
    <w:rsid w:val="00F04028"/>
    <w:rsid w:val="00F0405B"/>
    <w:rsid w:val="00F040AF"/>
    <w:rsid w:val="00F042E6"/>
    <w:rsid w:val="00F043F5"/>
    <w:rsid w:val="00F04456"/>
    <w:rsid w:val="00F04511"/>
    <w:rsid w:val="00F04633"/>
    <w:rsid w:val="00F04700"/>
    <w:rsid w:val="00F04812"/>
    <w:rsid w:val="00F049E2"/>
    <w:rsid w:val="00F04D17"/>
    <w:rsid w:val="00F05070"/>
    <w:rsid w:val="00F050FF"/>
    <w:rsid w:val="00F05587"/>
    <w:rsid w:val="00F057DC"/>
    <w:rsid w:val="00F05F9C"/>
    <w:rsid w:val="00F061F9"/>
    <w:rsid w:val="00F062CD"/>
    <w:rsid w:val="00F06326"/>
    <w:rsid w:val="00F06387"/>
    <w:rsid w:val="00F066C3"/>
    <w:rsid w:val="00F069A3"/>
    <w:rsid w:val="00F06DD5"/>
    <w:rsid w:val="00F07424"/>
    <w:rsid w:val="00F0795C"/>
    <w:rsid w:val="00F07CA3"/>
    <w:rsid w:val="00F07ED1"/>
    <w:rsid w:val="00F07EEB"/>
    <w:rsid w:val="00F07FA8"/>
    <w:rsid w:val="00F100BE"/>
    <w:rsid w:val="00F10215"/>
    <w:rsid w:val="00F1031E"/>
    <w:rsid w:val="00F10395"/>
    <w:rsid w:val="00F1091C"/>
    <w:rsid w:val="00F10A1B"/>
    <w:rsid w:val="00F10CBF"/>
    <w:rsid w:val="00F10CEF"/>
    <w:rsid w:val="00F11357"/>
    <w:rsid w:val="00F11559"/>
    <w:rsid w:val="00F11801"/>
    <w:rsid w:val="00F1181C"/>
    <w:rsid w:val="00F11947"/>
    <w:rsid w:val="00F11AB3"/>
    <w:rsid w:val="00F11B00"/>
    <w:rsid w:val="00F11D2F"/>
    <w:rsid w:val="00F12200"/>
    <w:rsid w:val="00F123FD"/>
    <w:rsid w:val="00F12748"/>
    <w:rsid w:val="00F12D1F"/>
    <w:rsid w:val="00F12E74"/>
    <w:rsid w:val="00F12F64"/>
    <w:rsid w:val="00F13050"/>
    <w:rsid w:val="00F13213"/>
    <w:rsid w:val="00F1369F"/>
    <w:rsid w:val="00F138BC"/>
    <w:rsid w:val="00F139A4"/>
    <w:rsid w:val="00F13E2E"/>
    <w:rsid w:val="00F1409C"/>
    <w:rsid w:val="00F14532"/>
    <w:rsid w:val="00F14808"/>
    <w:rsid w:val="00F14906"/>
    <w:rsid w:val="00F14E95"/>
    <w:rsid w:val="00F1515E"/>
    <w:rsid w:val="00F153A4"/>
    <w:rsid w:val="00F156DD"/>
    <w:rsid w:val="00F157D9"/>
    <w:rsid w:val="00F1595B"/>
    <w:rsid w:val="00F15DB6"/>
    <w:rsid w:val="00F15F0B"/>
    <w:rsid w:val="00F16104"/>
    <w:rsid w:val="00F16191"/>
    <w:rsid w:val="00F1634D"/>
    <w:rsid w:val="00F16396"/>
    <w:rsid w:val="00F1665A"/>
    <w:rsid w:val="00F16724"/>
    <w:rsid w:val="00F16779"/>
    <w:rsid w:val="00F16878"/>
    <w:rsid w:val="00F168DF"/>
    <w:rsid w:val="00F16C27"/>
    <w:rsid w:val="00F16D84"/>
    <w:rsid w:val="00F16E37"/>
    <w:rsid w:val="00F16E8B"/>
    <w:rsid w:val="00F1702A"/>
    <w:rsid w:val="00F17055"/>
    <w:rsid w:val="00F17351"/>
    <w:rsid w:val="00F1748F"/>
    <w:rsid w:val="00F1755A"/>
    <w:rsid w:val="00F17716"/>
    <w:rsid w:val="00F17994"/>
    <w:rsid w:val="00F17C88"/>
    <w:rsid w:val="00F17FF2"/>
    <w:rsid w:val="00F20124"/>
    <w:rsid w:val="00F20400"/>
    <w:rsid w:val="00F20404"/>
    <w:rsid w:val="00F204A8"/>
    <w:rsid w:val="00F2066C"/>
    <w:rsid w:val="00F208F5"/>
    <w:rsid w:val="00F20958"/>
    <w:rsid w:val="00F20C77"/>
    <w:rsid w:val="00F20D37"/>
    <w:rsid w:val="00F21063"/>
    <w:rsid w:val="00F21076"/>
    <w:rsid w:val="00F211C0"/>
    <w:rsid w:val="00F21494"/>
    <w:rsid w:val="00F214E2"/>
    <w:rsid w:val="00F21677"/>
    <w:rsid w:val="00F21769"/>
    <w:rsid w:val="00F218E8"/>
    <w:rsid w:val="00F21D55"/>
    <w:rsid w:val="00F21DA1"/>
    <w:rsid w:val="00F22207"/>
    <w:rsid w:val="00F2285E"/>
    <w:rsid w:val="00F22A17"/>
    <w:rsid w:val="00F22A3F"/>
    <w:rsid w:val="00F22E48"/>
    <w:rsid w:val="00F23AD0"/>
    <w:rsid w:val="00F23C63"/>
    <w:rsid w:val="00F23C68"/>
    <w:rsid w:val="00F23C8F"/>
    <w:rsid w:val="00F24141"/>
    <w:rsid w:val="00F243D0"/>
    <w:rsid w:val="00F245A7"/>
    <w:rsid w:val="00F24772"/>
    <w:rsid w:val="00F24C8E"/>
    <w:rsid w:val="00F24DA9"/>
    <w:rsid w:val="00F25017"/>
    <w:rsid w:val="00F250CD"/>
    <w:rsid w:val="00F251CD"/>
    <w:rsid w:val="00F2539B"/>
    <w:rsid w:val="00F25862"/>
    <w:rsid w:val="00F258A6"/>
    <w:rsid w:val="00F259F4"/>
    <w:rsid w:val="00F25C0E"/>
    <w:rsid w:val="00F25CCA"/>
    <w:rsid w:val="00F25DB9"/>
    <w:rsid w:val="00F260E5"/>
    <w:rsid w:val="00F260EA"/>
    <w:rsid w:val="00F26115"/>
    <w:rsid w:val="00F262F7"/>
    <w:rsid w:val="00F26302"/>
    <w:rsid w:val="00F2639B"/>
    <w:rsid w:val="00F268F3"/>
    <w:rsid w:val="00F26A87"/>
    <w:rsid w:val="00F26C7D"/>
    <w:rsid w:val="00F26E17"/>
    <w:rsid w:val="00F26F80"/>
    <w:rsid w:val="00F27057"/>
    <w:rsid w:val="00F270F5"/>
    <w:rsid w:val="00F27409"/>
    <w:rsid w:val="00F275A8"/>
    <w:rsid w:val="00F276F9"/>
    <w:rsid w:val="00F27A0F"/>
    <w:rsid w:val="00F319B4"/>
    <w:rsid w:val="00F319BC"/>
    <w:rsid w:val="00F319D7"/>
    <w:rsid w:val="00F31E9C"/>
    <w:rsid w:val="00F31ED7"/>
    <w:rsid w:val="00F31F24"/>
    <w:rsid w:val="00F320D7"/>
    <w:rsid w:val="00F32232"/>
    <w:rsid w:val="00F3225E"/>
    <w:rsid w:val="00F32297"/>
    <w:rsid w:val="00F32517"/>
    <w:rsid w:val="00F327EB"/>
    <w:rsid w:val="00F32DF2"/>
    <w:rsid w:val="00F32F49"/>
    <w:rsid w:val="00F32F53"/>
    <w:rsid w:val="00F339F2"/>
    <w:rsid w:val="00F33ADD"/>
    <w:rsid w:val="00F33EE9"/>
    <w:rsid w:val="00F33F82"/>
    <w:rsid w:val="00F34060"/>
    <w:rsid w:val="00F3406F"/>
    <w:rsid w:val="00F344F6"/>
    <w:rsid w:val="00F34746"/>
    <w:rsid w:val="00F34812"/>
    <w:rsid w:val="00F34C7C"/>
    <w:rsid w:val="00F34D04"/>
    <w:rsid w:val="00F34E42"/>
    <w:rsid w:val="00F35273"/>
    <w:rsid w:val="00F36119"/>
    <w:rsid w:val="00F3623E"/>
    <w:rsid w:val="00F369C8"/>
    <w:rsid w:val="00F36B31"/>
    <w:rsid w:val="00F36EAD"/>
    <w:rsid w:val="00F3741D"/>
    <w:rsid w:val="00F37ECE"/>
    <w:rsid w:val="00F40C3C"/>
    <w:rsid w:val="00F40F62"/>
    <w:rsid w:val="00F41498"/>
    <w:rsid w:val="00F417E0"/>
    <w:rsid w:val="00F419E4"/>
    <w:rsid w:val="00F41D3B"/>
    <w:rsid w:val="00F42503"/>
    <w:rsid w:val="00F427CB"/>
    <w:rsid w:val="00F4286B"/>
    <w:rsid w:val="00F42E3C"/>
    <w:rsid w:val="00F42FCF"/>
    <w:rsid w:val="00F4305C"/>
    <w:rsid w:val="00F4316B"/>
    <w:rsid w:val="00F435B4"/>
    <w:rsid w:val="00F436BB"/>
    <w:rsid w:val="00F438AB"/>
    <w:rsid w:val="00F43FF6"/>
    <w:rsid w:val="00F447AC"/>
    <w:rsid w:val="00F447CC"/>
    <w:rsid w:val="00F44A96"/>
    <w:rsid w:val="00F44C30"/>
    <w:rsid w:val="00F44CC1"/>
    <w:rsid w:val="00F44DF3"/>
    <w:rsid w:val="00F44EF7"/>
    <w:rsid w:val="00F44F57"/>
    <w:rsid w:val="00F450C3"/>
    <w:rsid w:val="00F4514F"/>
    <w:rsid w:val="00F456AE"/>
    <w:rsid w:val="00F4579E"/>
    <w:rsid w:val="00F457C7"/>
    <w:rsid w:val="00F45980"/>
    <w:rsid w:val="00F46126"/>
    <w:rsid w:val="00F4613C"/>
    <w:rsid w:val="00F46352"/>
    <w:rsid w:val="00F465BE"/>
    <w:rsid w:val="00F4669B"/>
    <w:rsid w:val="00F46788"/>
    <w:rsid w:val="00F4681B"/>
    <w:rsid w:val="00F46AD3"/>
    <w:rsid w:val="00F46B00"/>
    <w:rsid w:val="00F46B1C"/>
    <w:rsid w:val="00F46E65"/>
    <w:rsid w:val="00F46FA9"/>
    <w:rsid w:val="00F47145"/>
    <w:rsid w:val="00F47426"/>
    <w:rsid w:val="00F47575"/>
    <w:rsid w:val="00F47627"/>
    <w:rsid w:val="00F47ACB"/>
    <w:rsid w:val="00F47BF3"/>
    <w:rsid w:val="00F47C51"/>
    <w:rsid w:val="00F50117"/>
    <w:rsid w:val="00F50457"/>
    <w:rsid w:val="00F508E2"/>
    <w:rsid w:val="00F5095C"/>
    <w:rsid w:val="00F50CF0"/>
    <w:rsid w:val="00F50E24"/>
    <w:rsid w:val="00F50E60"/>
    <w:rsid w:val="00F50ECE"/>
    <w:rsid w:val="00F512BF"/>
    <w:rsid w:val="00F51333"/>
    <w:rsid w:val="00F5133D"/>
    <w:rsid w:val="00F51469"/>
    <w:rsid w:val="00F5169A"/>
    <w:rsid w:val="00F51769"/>
    <w:rsid w:val="00F51874"/>
    <w:rsid w:val="00F519D3"/>
    <w:rsid w:val="00F51C4D"/>
    <w:rsid w:val="00F51D5C"/>
    <w:rsid w:val="00F51E2A"/>
    <w:rsid w:val="00F51EE6"/>
    <w:rsid w:val="00F5237A"/>
    <w:rsid w:val="00F52423"/>
    <w:rsid w:val="00F524B7"/>
    <w:rsid w:val="00F52A02"/>
    <w:rsid w:val="00F52A7E"/>
    <w:rsid w:val="00F52C2B"/>
    <w:rsid w:val="00F52C55"/>
    <w:rsid w:val="00F52E9B"/>
    <w:rsid w:val="00F53593"/>
    <w:rsid w:val="00F537F6"/>
    <w:rsid w:val="00F53855"/>
    <w:rsid w:val="00F538D8"/>
    <w:rsid w:val="00F53B4A"/>
    <w:rsid w:val="00F53F82"/>
    <w:rsid w:val="00F540DA"/>
    <w:rsid w:val="00F54111"/>
    <w:rsid w:val="00F541CB"/>
    <w:rsid w:val="00F5420B"/>
    <w:rsid w:val="00F54263"/>
    <w:rsid w:val="00F5431A"/>
    <w:rsid w:val="00F545BF"/>
    <w:rsid w:val="00F5466D"/>
    <w:rsid w:val="00F547EE"/>
    <w:rsid w:val="00F54908"/>
    <w:rsid w:val="00F54BEC"/>
    <w:rsid w:val="00F55071"/>
    <w:rsid w:val="00F55156"/>
    <w:rsid w:val="00F5584C"/>
    <w:rsid w:val="00F5594F"/>
    <w:rsid w:val="00F55CF2"/>
    <w:rsid w:val="00F55DD4"/>
    <w:rsid w:val="00F55E1D"/>
    <w:rsid w:val="00F55EE8"/>
    <w:rsid w:val="00F5600F"/>
    <w:rsid w:val="00F5614B"/>
    <w:rsid w:val="00F561BA"/>
    <w:rsid w:val="00F56419"/>
    <w:rsid w:val="00F56A20"/>
    <w:rsid w:val="00F56AF2"/>
    <w:rsid w:val="00F56BC3"/>
    <w:rsid w:val="00F56D4A"/>
    <w:rsid w:val="00F56D7C"/>
    <w:rsid w:val="00F570C2"/>
    <w:rsid w:val="00F5751B"/>
    <w:rsid w:val="00F57753"/>
    <w:rsid w:val="00F57847"/>
    <w:rsid w:val="00F57849"/>
    <w:rsid w:val="00F5784A"/>
    <w:rsid w:val="00F57A53"/>
    <w:rsid w:val="00F57BE5"/>
    <w:rsid w:val="00F57D28"/>
    <w:rsid w:val="00F57DCC"/>
    <w:rsid w:val="00F6007B"/>
    <w:rsid w:val="00F60471"/>
    <w:rsid w:val="00F60833"/>
    <w:rsid w:val="00F60B80"/>
    <w:rsid w:val="00F60D26"/>
    <w:rsid w:val="00F613F3"/>
    <w:rsid w:val="00F61C5E"/>
    <w:rsid w:val="00F61ECE"/>
    <w:rsid w:val="00F62219"/>
    <w:rsid w:val="00F62303"/>
    <w:rsid w:val="00F623DF"/>
    <w:rsid w:val="00F627FE"/>
    <w:rsid w:val="00F62C7B"/>
    <w:rsid w:val="00F62D9F"/>
    <w:rsid w:val="00F62E17"/>
    <w:rsid w:val="00F630F3"/>
    <w:rsid w:val="00F63110"/>
    <w:rsid w:val="00F6320A"/>
    <w:rsid w:val="00F6327C"/>
    <w:rsid w:val="00F63298"/>
    <w:rsid w:val="00F63ABD"/>
    <w:rsid w:val="00F63C44"/>
    <w:rsid w:val="00F63EC1"/>
    <w:rsid w:val="00F63F03"/>
    <w:rsid w:val="00F64154"/>
    <w:rsid w:val="00F641D6"/>
    <w:rsid w:val="00F6463F"/>
    <w:rsid w:val="00F64E73"/>
    <w:rsid w:val="00F65038"/>
    <w:rsid w:val="00F65141"/>
    <w:rsid w:val="00F6515D"/>
    <w:rsid w:val="00F651B8"/>
    <w:rsid w:val="00F6553D"/>
    <w:rsid w:val="00F65B0E"/>
    <w:rsid w:val="00F65B73"/>
    <w:rsid w:val="00F65E45"/>
    <w:rsid w:val="00F65E83"/>
    <w:rsid w:val="00F660C1"/>
    <w:rsid w:val="00F6616D"/>
    <w:rsid w:val="00F663C2"/>
    <w:rsid w:val="00F664B2"/>
    <w:rsid w:val="00F668B8"/>
    <w:rsid w:val="00F668D7"/>
    <w:rsid w:val="00F66A49"/>
    <w:rsid w:val="00F66E1E"/>
    <w:rsid w:val="00F66EA3"/>
    <w:rsid w:val="00F66F94"/>
    <w:rsid w:val="00F671EB"/>
    <w:rsid w:val="00F67405"/>
    <w:rsid w:val="00F67964"/>
    <w:rsid w:val="00F67A31"/>
    <w:rsid w:val="00F67A94"/>
    <w:rsid w:val="00F67BDE"/>
    <w:rsid w:val="00F67DA7"/>
    <w:rsid w:val="00F67E47"/>
    <w:rsid w:val="00F67E6E"/>
    <w:rsid w:val="00F702FE"/>
    <w:rsid w:val="00F707B7"/>
    <w:rsid w:val="00F7083F"/>
    <w:rsid w:val="00F708E5"/>
    <w:rsid w:val="00F70BB6"/>
    <w:rsid w:val="00F70E45"/>
    <w:rsid w:val="00F70E91"/>
    <w:rsid w:val="00F70EEF"/>
    <w:rsid w:val="00F70FF1"/>
    <w:rsid w:val="00F718EC"/>
    <w:rsid w:val="00F719F0"/>
    <w:rsid w:val="00F71A82"/>
    <w:rsid w:val="00F71B56"/>
    <w:rsid w:val="00F71C62"/>
    <w:rsid w:val="00F71DDE"/>
    <w:rsid w:val="00F71F8E"/>
    <w:rsid w:val="00F720FD"/>
    <w:rsid w:val="00F72827"/>
    <w:rsid w:val="00F7286E"/>
    <w:rsid w:val="00F72DF3"/>
    <w:rsid w:val="00F72E1B"/>
    <w:rsid w:val="00F72F9F"/>
    <w:rsid w:val="00F7311D"/>
    <w:rsid w:val="00F73284"/>
    <w:rsid w:val="00F73316"/>
    <w:rsid w:val="00F7338E"/>
    <w:rsid w:val="00F737B8"/>
    <w:rsid w:val="00F73BE7"/>
    <w:rsid w:val="00F73E97"/>
    <w:rsid w:val="00F73FC9"/>
    <w:rsid w:val="00F742D2"/>
    <w:rsid w:val="00F7443C"/>
    <w:rsid w:val="00F74846"/>
    <w:rsid w:val="00F74D54"/>
    <w:rsid w:val="00F74D55"/>
    <w:rsid w:val="00F74E38"/>
    <w:rsid w:val="00F753C2"/>
    <w:rsid w:val="00F757C9"/>
    <w:rsid w:val="00F75814"/>
    <w:rsid w:val="00F75A2F"/>
    <w:rsid w:val="00F75E0C"/>
    <w:rsid w:val="00F75FE6"/>
    <w:rsid w:val="00F760D5"/>
    <w:rsid w:val="00F76384"/>
    <w:rsid w:val="00F7642C"/>
    <w:rsid w:val="00F764BF"/>
    <w:rsid w:val="00F76627"/>
    <w:rsid w:val="00F7697C"/>
    <w:rsid w:val="00F76AAE"/>
    <w:rsid w:val="00F77042"/>
    <w:rsid w:val="00F770A2"/>
    <w:rsid w:val="00F77237"/>
    <w:rsid w:val="00F7796B"/>
    <w:rsid w:val="00F779A7"/>
    <w:rsid w:val="00F77BB2"/>
    <w:rsid w:val="00F77CA3"/>
    <w:rsid w:val="00F8013E"/>
    <w:rsid w:val="00F80779"/>
    <w:rsid w:val="00F8088C"/>
    <w:rsid w:val="00F8094C"/>
    <w:rsid w:val="00F8095B"/>
    <w:rsid w:val="00F8115E"/>
    <w:rsid w:val="00F81308"/>
    <w:rsid w:val="00F8178C"/>
    <w:rsid w:val="00F819E9"/>
    <w:rsid w:val="00F81A64"/>
    <w:rsid w:val="00F81C49"/>
    <w:rsid w:val="00F81DBD"/>
    <w:rsid w:val="00F8217E"/>
    <w:rsid w:val="00F82236"/>
    <w:rsid w:val="00F822DB"/>
    <w:rsid w:val="00F826C2"/>
    <w:rsid w:val="00F829EC"/>
    <w:rsid w:val="00F82A84"/>
    <w:rsid w:val="00F82D72"/>
    <w:rsid w:val="00F82F66"/>
    <w:rsid w:val="00F83138"/>
    <w:rsid w:val="00F831C6"/>
    <w:rsid w:val="00F83241"/>
    <w:rsid w:val="00F832C8"/>
    <w:rsid w:val="00F83472"/>
    <w:rsid w:val="00F83559"/>
    <w:rsid w:val="00F83674"/>
    <w:rsid w:val="00F838C4"/>
    <w:rsid w:val="00F83B80"/>
    <w:rsid w:val="00F83BEE"/>
    <w:rsid w:val="00F83D18"/>
    <w:rsid w:val="00F83DA1"/>
    <w:rsid w:val="00F83EA6"/>
    <w:rsid w:val="00F84141"/>
    <w:rsid w:val="00F8468B"/>
    <w:rsid w:val="00F8475B"/>
    <w:rsid w:val="00F847D3"/>
    <w:rsid w:val="00F84824"/>
    <w:rsid w:val="00F84A6C"/>
    <w:rsid w:val="00F84AA1"/>
    <w:rsid w:val="00F85262"/>
    <w:rsid w:val="00F855CE"/>
    <w:rsid w:val="00F86497"/>
    <w:rsid w:val="00F864E0"/>
    <w:rsid w:val="00F86563"/>
    <w:rsid w:val="00F86D7D"/>
    <w:rsid w:val="00F87058"/>
    <w:rsid w:val="00F87094"/>
    <w:rsid w:val="00F870A0"/>
    <w:rsid w:val="00F8722F"/>
    <w:rsid w:val="00F873B3"/>
    <w:rsid w:val="00F873B9"/>
    <w:rsid w:val="00F876CB"/>
    <w:rsid w:val="00F87A1D"/>
    <w:rsid w:val="00F901FC"/>
    <w:rsid w:val="00F902DB"/>
    <w:rsid w:val="00F905BF"/>
    <w:rsid w:val="00F90AAD"/>
    <w:rsid w:val="00F90ADA"/>
    <w:rsid w:val="00F90FA8"/>
    <w:rsid w:val="00F91275"/>
    <w:rsid w:val="00F916D8"/>
    <w:rsid w:val="00F9172D"/>
    <w:rsid w:val="00F917BF"/>
    <w:rsid w:val="00F91825"/>
    <w:rsid w:val="00F91972"/>
    <w:rsid w:val="00F91B16"/>
    <w:rsid w:val="00F91B80"/>
    <w:rsid w:val="00F91CAC"/>
    <w:rsid w:val="00F91D5E"/>
    <w:rsid w:val="00F91F22"/>
    <w:rsid w:val="00F921BC"/>
    <w:rsid w:val="00F922A3"/>
    <w:rsid w:val="00F92394"/>
    <w:rsid w:val="00F9256C"/>
    <w:rsid w:val="00F92587"/>
    <w:rsid w:val="00F9269A"/>
    <w:rsid w:val="00F929C3"/>
    <w:rsid w:val="00F93097"/>
    <w:rsid w:val="00F937C3"/>
    <w:rsid w:val="00F938A2"/>
    <w:rsid w:val="00F93C75"/>
    <w:rsid w:val="00F93DBE"/>
    <w:rsid w:val="00F93DEF"/>
    <w:rsid w:val="00F93EED"/>
    <w:rsid w:val="00F94099"/>
    <w:rsid w:val="00F9474B"/>
    <w:rsid w:val="00F94A26"/>
    <w:rsid w:val="00F94AB1"/>
    <w:rsid w:val="00F94B5C"/>
    <w:rsid w:val="00F94C4F"/>
    <w:rsid w:val="00F95161"/>
    <w:rsid w:val="00F95745"/>
    <w:rsid w:val="00F959AE"/>
    <w:rsid w:val="00F95D4B"/>
    <w:rsid w:val="00F96099"/>
    <w:rsid w:val="00F9622B"/>
    <w:rsid w:val="00F9647D"/>
    <w:rsid w:val="00F965E6"/>
    <w:rsid w:val="00F9665B"/>
    <w:rsid w:val="00F96CE4"/>
    <w:rsid w:val="00F96ED5"/>
    <w:rsid w:val="00F9775F"/>
    <w:rsid w:val="00F979A7"/>
    <w:rsid w:val="00F97AFA"/>
    <w:rsid w:val="00F97DFD"/>
    <w:rsid w:val="00F97E5E"/>
    <w:rsid w:val="00FA0798"/>
    <w:rsid w:val="00FA07EA"/>
    <w:rsid w:val="00FA09F8"/>
    <w:rsid w:val="00FA0C18"/>
    <w:rsid w:val="00FA0C35"/>
    <w:rsid w:val="00FA0C99"/>
    <w:rsid w:val="00FA0CB3"/>
    <w:rsid w:val="00FA0E78"/>
    <w:rsid w:val="00FA1347"/>
    <w:rsid w:val="00FA1368"/>
    <w:rsid w:val="00FA139B"/>
    <w:rsid w:val="00FA16F6"/>
    <w:rsid w:val="00FA1A94"/>
    <w:rsid w:val="00FA1AA0"/>
    <w:rsid w:val="00FA1E7E"/>
    <w:rsid w:val="00FA1EAD"/>
    <w:rsid w:val="00FA20C3"/>
    <w:rsid w:val="00FA218C"/>
    <w:rsid w:val="00FA2201"/>
    <w:rsid w:val="00FA2211"/>
    <w:rsid w:val="00FA239E"/>
    <w:rsid w:val="00FA2468"/>
    <w:rsid w:val="00FA24B0"/>
    <w:rsid w:val="00FA2B8D"/>
    <w:rsid w:val="00FA2D91"/>
    <w:rsid w:val="00FA2D9D"/>
    <w:rsid w:val="00FA2EA7"/>
    <w:rsid w:val="00FA3116"/>
    <w:rsid w:val="00FA3283"/>
    <w:rsid w:val="00FA34BD"/>
    <w:rsid w:val="00FA369F"/>
    <w:rsid w:val="00FA371C"/>
    <w:rsid w:val="00FA399D"/>
    <w:rsid w:val="00FA3A47"/>
    <w:rsid w:val="00FA3B26"/>
    <w:rsid w:val="00FA3B8A"/>
    <w:rsid w:val="00FA3F7B"/>
    <w:rsid w:val="00FA41C3"/>
    <w:rsid w:val="00FA42B9"/>
    <w:rsid w:val="00FA43A8"/>
    <w:rsid w:val="00FA4B15"/>
    <w:rsid w:val="00FA4CA6"/>
    <w:rsid w:val="00FA4D35"/>
    <w:rsid w:val="00FA4DF3"/>
    <w:rsid w:val="00FA50C3"/>
    <w:rsid w:val="00FA5537"/>
    <w:rsid w:val="00FA5656"/>
    <w:rsid w:val="00FA591E"/>
    <w:rsid w:val="00FA5A7F"/>
    <w:rsid w:val="00FA5B79"/>
    <w:rsid w:val="00FA644D"/>
    <w:rsid w:val="00FA65D7"/>
    <w:rsid w:val="00FA6A4B"/>
    <w:rsid w:val="00FA6D08"/>
    <w:rsid w:val="00FA70E0"/>
    <w:rsid w:val="00FA74FA"/>
    <w:rsid w:val="00FA755A"/>
    <w:rsid w:val="00FA7616"/>
    <w:rsid w:val="00FA7633"/>
    <w:rsid w:val="00FA795A"/>
    <w:rsid w:val="00FA7C27"/>
    <w:rsid w:val="00FA7C2E"/>
    <w:rsid w:val="00FA7C45"/>
    <w:rsid w:val="00FB0230"/>
    <w:rsid w:val="00FB0482"/>
    <w:rsid w:val="00FB08DE"/>
    <w:rsid w:val="00FB0D23"/>
    <w:rsid w:val="00FB0D37"/>
    <w:rsid w:val="00FB101B"/>
    <w:rsid w:val="00FB154B"/>
    <w:rsid w:val="00FB187B"/>
    <w:rsid w:val="00FB1C4E"/>
    <w:rsid w:val="00FB1C92"/>
    <w:rsid w:val="00FB1E89"/>
    <w:rsid w:val="00FB1F7A"/>
    <w:rsid w:val="00FB2070"/>
    <w:rsid w:val="00FB2189"/>
    <w:rsid w:val="00FB22EF"/>
    <w:rsid w:val="00FB2351"/>
    <w:rsid w:val="00FB24C5"/>
    <w:rsid w:val="00FB281C"/>
    <w:rsid w:val="00FB291D"/>
    <w:rsid w:val="00FB29ED"/>
    <w:rsid w:val="00FB2B0F"/>
    <w:rsid w:val="00FB2C5C"/>
    <w:rsid w:val="00FB2C5F"/>
    <w:rsid w:val="00FB2E97"/>
    <w:rsid w:val="00FB309A"/>
    <w:rsid w:val="00FB3135"/>
    <w:rsid w:val="00FB31FD"/>
    <w:rsid w:val="00FB33FA"/>
    <w:rsid w:val="00FB360C"/>
    <w:rsid w:val="00FB3786"/>
    <w:rsid w:val="00FB390A"/>
    <w:rsid w:val="00FB3C93"/>
    <w:rsid w:val="00FB3E1B"/>
    <w:rsid w:val="00FB407A"/>
    <w:rsid w:val="00FB4184"/>
    <w:rsid w:val="00FB418C"/>
    <w:rsid w:val="00FB4277"/>
    <w:rsid w:val="00FB4302"/>
    <w:rsid w:val="00FB4495"/>
    <w:rsid w:val="00FB4579"/>
    <w:rsid w:val="00FB45A1"/>
    <w:rsid w:val="00FB49E9"/>
    <w:rsid w:val="00FB4DF8"/>
    <w:rsid w:val="00FB4F6B"/>
    <w:rsid w:val="00FB57E6"/>
    <w:rsid w:val="00FB5902"/>
    <w:rsid w:val="00FB5A87"/>
    <w:rsid w:val="00FB5FE1"/>
    <w:rsid w:val="00FB6058"/>
    <w:rsid w:val="00FB606A"/>
    <w:rsid w:val="00FB636F"/>
    <w:rsid w:val="00FB65AA"/>
    <w:rsid w:val="00FB6B9F"/>
    <w:rsid w:val="00FB6E52"/>
    <w:rsid w:val="00FB6FCE"/>
    <w:rsid w:val="00FB715C"/>
    <w:rsid w:val="00FB7225"/>
    <w:rsid w:val="00FB72F9"/>
    <w:rsid w:val="00FB745B"/>
    <w:rsid w:val="00FB76BE"/>
    <w:rsid w:val="00FB7706"/>
    <w:rsid w:val="00FB7727"/>
    <w:rsid w:val="00FB78B2"/>
    <w:rsid w:val="00FB7B38"/>
    <w:rsid w:val="00FB7B88"/>
    <w:rsid w:val="00FB7E07"/>
    <w:rsid w:val="00FB7E30"/>
    <w:rsid w:val="00FC0142"/>
    <w:rsid w:val="00FC0743"/>
    <w:rsid w:val="00FC0E8D"/>
    <w:rsid w:val="00FC0EC8"/>
    <w:rsid w:val="00FC0FDA"/>
    <w:rsid w:val="00FC19B6"/>
    <w:rsid w:val="00FC1A14"/>
    <w:rsid w:val="00FC1AEA"/>
    <w:rsid w:val="00FC1C5F"/>
    <w:rsid w:val="00FC1E81"/>
    <w:rsid w:val="00FC21A7"/>
    <w:rsid w:val="00FC21C5"/>
    <w:rsid w:val="00FC23A0"/>
    <w:rsid w:val="00FC245D"/>
    <w:rsid w:val="00FC2A3E"/>
    <w:rsid w:val="00FC2A48"/>
    <w:rsid w:val="00FC2BCC"/>
    <w:rsid w:val="00FC2DC7"/>
    <w:rsid w:val="00FC2E1C"/>
    <w:rsid w:val="00FC30B2"/>
    <w:rsid w:val="00FC3301"/>
    <w:rsid w:val="00FC351E"/>
    <w:rsid w:val="00FC365E"/>
    <w:rsid w:val="00FC37EF"/>
    <w:rsid w:val="00FC387E"/>
    <w:rsid w:val="00FC3970"/>
    <w:rsid w:val="00FC39FC"/>
    <w:rsid w:val="00FC3A9A"/>
    <w:rsid w:val="00FC3B91"/>
    <w:rsid w:val="00FC3F24"/>
    <w:rsid w:val="00FC3FF2"/>
    <w:rsid w:val="00FC402E"/>
    <w:rsid w:val="00FC406D"/>
    <w:rsid w:val="00FC4085"/>
    <w:rsid w:val="00FC4250"/>
    <w:rsid w:val="00FC453F"/>
    <w:rsid w:val="00FC45F5"/>
    <w:rsid w:val="00FC4675"/>
    <w:rsid w:val="00FC46EF"/>
    <w:rsid w:val="00FC4DAB"/>
    <w:rsid w:val="00FC4EAB"/>
    <w:rsid w:val="00FC5426"/>
    <w:rsid w:val="00FC557F"/>
    <w:rsid w:val="00FC558E"/>
    <w:rsid w:val="00FC5686"/>
    <w:rsid w:val="00FC5A2B"/>
    <w:rsid w:val="00FC5AB4"/>
    <w:rsid w:val="00FC5BB7"/>
    <w:rsid w:val="00FC5BCA"/>
    <w:rsid w:val="00FC5D5D"/>
    <w:rsid w:val="00FC5DF0"/>
    <w:rsid w:val="00FC5EF0"/>
    <w:rsid w:val="00FC645B"/>
    <w:rsid w:val="00FC6652"/>
    <w:rsid w:val="00FC6976"/>
    <w:rsid w:val="00FC6B37"/>
    <w:rsid w:val="00FC70C9"/>
    <w:rsid w:val="00FC72A9"/>
    <w:rsid w:val="00FC72FC"/>
    <w:rsid w:val="00FC736F"/>
    <w:rsid w:val="00FC73A0"/>
    <w:rsid w:val="00FC7D47"/>
    <w:rsid w:val="00FD057B"/>
    <w:rsid w:val="00FD068C"/>
    <w:rsid w:val="00FD06AA"/>
    <w:rsid w:val="00FD0862"/>
    <w:rsid w:val="00FD0C47"/>
    <w:rsid w:val="00FD0F4E"/>
    <w:rsid w:val="00FD119B"/>
    <w:rsid w:val="00FD11EE"/>
    <w:rsid w:val="00FD1235"/>
    <w:rsid w:val="00FD1266"/>
    <w:rsid w:val="00FD1295"/>
    <w:rsid w:val="00FD1418"/>
    <w:rsid w:val="00FD16AA"/>
    <w:rsid w:val="00FD1920"/>
    <w:rsid w:val="00FD1970"/>
    <w:rsid w:val="00FD1AEC"/>
    <w:rsid w:val="00FD1F48"/>
    <w:rsid w:val="00FD218C"/>
    <w:rsid w:val="00FD23F1"/>
    <w:rsid w:val="00FD24AC"/>
    <w:rsid w:val="00FD2728"/>
    <w:rsid w:val="00FD27EA"/>
    <w:rsid w:val="00FD2E91"/>
    <w:rsid w:val="00FD30B0"/>
    <w:rsid w:val="00FD3118"/>
    <w:rsid w:val="00FD31B3"/>
    <w:rsid w:val="00FD3296"/>
    <w:rsid w:val="00FD3656"/>
    <w:rsid w:val="00FD36D2"/>
    <w:rsid w:val="00FD37D4"/>
    <w:rsid w:val="00FD3B96"/>
    <w:rsid w:val="00FD3C1A"/>
    <w:rsid w:val="00FD3F1F"/>
    <w:rsid w:val="00FD4174"/>
    <w:rsid w:val="00FD41F5"/>
    <w:rsid w:val="00FD4204"/>
    <w:rsid w:val="00FD4322"/>
    <w:rsid w:val="00FD43BC"/>
    <w:rsid w:val="00FD4401"/>
    <w:rsid w:val="00FD485E"/>
    <w:rsid w:val="00FD4973"/>
    <w:rsid w:val="00FD49F5"/>
    <w:rsid w:val="00FD4ABD"/>
    <w:rsid w:val="00FD4BF8"/>
    <w:rsid w:val="00FD4DB9"/>
    <w:rsid w:val="00FD4DC2"/>
    <w:rsid w:val="00FD5082"/>
    <w:rsid w:val="00FD55E9"/>
    <w:rsid w:val="00FD57DF"/>
    <w:rsid w:val="00FD5C71"/>
    <w:rsid w:val="00FD600C"/>
    <w:rsid w:val="00FD6183"/>
    <w:rsid w:val="00FD62C6"/>
    <w:rsid w:val="00FD63AA"/>
    <w:rsid w:val="00FD63B1"/>
    <w:rsid w:val="00FD65B5"/>
    <w:rsid w:val="00FD6753"/>
    <w:rsid w:val="00FD692B"/>
    <w:rsid w:val="00FD6B30"/>
    <w:rsid w:val="00FD6CA7"/>
    <w:rsid w:val="00FD6FF8"/>
    <w:rsid w:val="00FD710D"/>
    <w:rsid w:val="00FD7442"/>
    <w:rsid w:val="00FD7BD4"/>
    <w:rsid w:val="00FD7DAB"/>
    <w:rsid w:val="00FD7DE4"/>
    <w:rsid w:val="00FD7E26"/>
    <w:rsid w:val="00FE009A"/>
    <w:rsid w:val="00FE03B8"/>
    <w:rsid w:val="00FE0587"/>
    <w:rsid w:val="00FE066B"/>
    <w:rsid w:val="00FE0B82"/>
    <w:rsid w:val="00FE1047"/>
    <w:rsid w:val="00FE1118"/>
    <w:rsid w:val="00FE1261"/>
    <w:rsid w:val="00FE153E"/>
    <w:rsid w:val="00FE1866"/>
    <w:rsid w:val="00FE1890"/>
    <w:rsid w:val="00FE1FCB"/>
    <w:rsid w:val="00FE2714"/>
    <w:rsid w:val="00FE275E"/>
    <w:rsid w:val="00FE27BB"/>
    <w:rsid w:val="00FE2879"/>
    <w:rsid w:val="00FE2B54"/>
    <w:rsid w:val="00FE2B87"/>
    <w:rsid w:val="00FE2C26"/>
    <w:rsid w:val="00FE2D78"/>
    <w:rsid w:val="00FE358A"/>
    <w:rsid w:val="00FE3748"/>
    <w:rsid w:val="00FE37CC"/>
    <w:rsid w:val="00FE3878"/>
    <w:rsid w:val="00FE38D1"/>
    <w:rsid w:val="00FE38EE"/>
    <w:rsid w:val="00FE3BE2"/>
    <w:rsid w:val="00FE3C61"/>
    <w:rsid w:val="00FE3D59"/>
    <w:rsid w:val="00FE3F69"/>
    <w:rsid w:val="00FE405B"/>
    <w:rsid w:val="00FE46D8"/>
    <w:rsid w:val="00FE4906"/>
    <w:rsid w:val="00FE49A3"/>
    <w:rsid w:val="00FE4DCC"/>
    <w:rsid w:val="00FE4E6D"/>
    <w:rsid w:val="00FE50BA"/>
    <w:rsid w:val="00FE5129"/>
    <w:rsid w:val="00FE52E4"/>
    <w:rsid w:val="00FE5368"/>
    <w:rsid w:val="00FE54B7"/>
    <w:rsid w:val="00FE59FA"/>
    <w:rsid w:val="00FE59FF"/>
    <w:rsid w:val="00FE5AC2"/>
    <w:rsid w:val="00FE5EB1"/>
    <w:rsid w:val="00FE5FAB"/>
    <w:rsid w:val="00FE618B"/>
    <w:rsid w:val="00FE62E6"/>
    <w:rsid w:val="00FE6378"/>
    <w:rsid w:val="00FE65AA"/>
    <w:rsid w:val="00FE6616"/>
    <w:rsid w:val="00FE6A05"/>
    <w:rsid w:val="00FE70C1"/>
    <w:rsid w:val="00FE7671"/>
    <w:rsid w:val="00FE769F"/>
    <w:rsid w:val="00FE7BD6"/>
    <w:rsid w:val="00FE7D63"/>
    <w:rsid w:val="00FF02DE"/>
    <w:rsid w:val="00FF039D"/>
    <w:rsid w:val="00FF061C"/>
    <w:rsid w:val="00FF067C"/>
    <w:rsid w:val="00FF06CC"/>
    <w:rsid w:val="00FF0A9B"/>
    <w:rsid w:val="00FF0C09"/>
    <w:rsid w:val="00FF0EDA"/>
    <w:rsid w:val="00FF1297"/>
    <w:rsid w:val="00FF1509"/>
    <w:rsid w:val="00FF1648"/>
    <w:rsid w:val="00FF1656"/>
    <w:rsid w:val="00FF1836"/>
    <w:rsid w:val="00FF195C"/>
    <w:rsid w:val="00FF1C4A"/>
    <w:rsid w:val="00FF2180"/>
    <w:rsid w:val="00FF2338"/>
    <w:rsid w:val="00FF2357"/>
    <w:rsid w:val="00FF23E6"/>
    <w:rsid w:val="00FF259A"/>
    <w:rsid w:val="00FF25E2"/>
    <w:rsid w:val="00FF2752"/>
    <w:rsid w:val="00FF279F"/>
    <w:rsid w:val="00FF2C4A"/>
    <w:rsid w:val="00FF307F"/>
    <w:rsid w:val="00FF315C"/>
    <w:rsid w:val="00FF3319"/>
    <w:rsid w:val="00FF3377"/>
    <w:rsid w:val="00FF33F3"/>
    <w:rsid w:val="00FF3624"/>
    <w:rsid w:val="00FF3858"/>
    <w:rsid w:val="00FF38F2"/>
    <w:rsid w:val="00FF3BBB"/>
    <w:rsid w:val="00FF3CCB"/>
    <w:rsid w:val="00FF449B"/>
    <w:rsid w:val="00FF4813"/>
    <w:rsid w:val="00FF484E"/>
    <w:rsid w:val="00FF4C9E"/>
    <w:rsid w:val="00FF4CCA"/>
    <w:rsid w:val="00FF5198"/>
    <w:rsid w:val="00FF5486"/>
    <w:rsid w:val="00FF5561"/>
    <w:rsid w:val="00FF57B5"/>
    <w:rsid w:val="00FF62DB"/>
    <w:rsid w:val="00FF67F5"/>
    <w:rsid w:val="00FF6947"/>
    <w:rsid w:val="00FF69EA"/>
    <w:rsid w:val="00FF6AEA"/>
    <w:rsid w:val="00FF6B18"/>
    <w:rsid w:val="00FF6C56"/>
    <w:rsid w:val="00FF6CB8"/>
    <w:rsid w:val="00FF7240"/>
    <w:rsid w:val="00FF7450"/>
    <w:rsid w:val="00FF74D7"/>
    <w:rsid w:val="00FF76DD"/>
    <w:rsid w:val="00FF7784"/>
    <w:rsid w:val="00FF78B3"/>
    <w:rsid w:val="00FF7A40"/>
    <w:rsid w:val="024CC4AE"/>
    <w:rsid w:val="028E2EC4"/>
    <w:rsid w:val="04227E9E"/>
    <w:rsid w:val="04D374A5"/>
    <w:rsid w:val="06EFA40D"/>
    <w:rsid w:val="09AEF2EB"/>
    <w:rsid w:val="09D8B684"/>
    <w:rsid w:val="09FA3173"/>
    <w:rsid w:val="0A5850AE"/>
    <w:rsid w:val="0A76F101"/>
    <w:rsid w:val="0C93C58E"/>
    <w:rsid w:val="0D2AAEDE"/>
    <w:rsid w:val="11E362BF"/>
    <w:rsid w:val="1225450E"/>
    <w:rsid w:val="16CA42EB"/>
    <w:rsid w:val="175AEBD7"/>
    <w:rsid w:val="17D13DC3"/>
    <w:rsid w:val="1978A3E8"/>
    <w:rsid w:val="1988AB31"/>
    <w:rsid w:val="1B5545EB"/>
    <w:rsid w:val="1B87DA20"/>
    <w:rsid w:val="1BF5B556"/>
    <w:rsid w:val="1E9E5C3B"/>
    <w:rsid w:val="202D1834"/>
    <w:rsid w:val="2173B17A"/>
    <w:rsid w:val="2183D552"/>
    <w:rsid w:val="22192C8C"/>
    <w:rsid w:val="2332E8D9"/>
    <w:rsid w:val="23BC4E01"/>
    <w:rsid w:val="25FC8226"/>
    <w:rsid w:val="26D48930"/>
    <w:rsid w:val="29CE75F5"/>
    <w:rsid w:val="2B61CA86"/>
    <w:rsid w:val="2E378BCA"/>
    <w:rsid w:val="2EAC5967"/>
    <w:rsid w:val="2F949181"/>
    <w:rsid w:val="2FA1BDA8"/>
    <w:rsid w:val="316B24BB"/>
    <w:rsid w:val="342A3514"/>
    <w:rsid w:val="38061B55"/>
    <w:rsid w:val="3998C76F"/>
    <w:rsid w:val="39EBFD59"/>
    <w:rsid w:val="3A678823"/>
    <w:rsid w:val="3A75E3B4"/>
    <w:rsid w:val="3C50C5E5"/>
    <w:rsid w:val="3C7C0761"/>
    <w:rsid w:val="3CE9CD07"/>
    <w:rsid w:val="3F9286B0"/>
    <w:rsid w:val="41B02F1C"/>
    <w:rsid w:val="4214C716"/>
    <w:rsid w:val="42E79126"/>
    <w:rsid w:val="4355983C"/>
    <w:rsid w:val="46608B20"/>
    <w:rsid w:val="4759F0A7"/>
    <w:rsid w:val="47C55BA6"/>
    <w:rsid w:val="482CFDBE"/>
    <w:rsid w:val="495D7216"/>
    <w:rsid w:val="49948F09"/>
    <w:rsid w:val="4D59AF06"/>
    <w:rsid w:val="4D94B52B"/>
    <w:rsid w:val="4EC62F20"/>
    <w:rsid w:val="4F134DAE"/>
    <w:rsid w:val="4F2067BB"/>
    <w:rsid w:val="55BA9B3E"/>
    <w:rsid w:val="57A5EB4E"/>
    <w:rsid w:val="5832718C"/>
    <w:rsid w:val="5C9B3154"/>
    <w:rsid w:val="5FFFDCE7"/>
    <w:rsid w:val="629A94D0"/>
    <w:rsid w:val="648D4F0C"/>
    <w:rsid w:val="6776100F"/>
    <w:rsid w:val="68A7D8D5"/>
    <w:rsid w:val="6AEEDF0C"/>
    <w:rsid w:val="6BDCBA94"/>
    <w:rsid w:val="6FE241C1"/>
    <w:rsid w:val="71D06AC8"/>
    <w:rsid w:val="7365E7A3"/>
    <w:rsid w:val="73C40A7A"/>
    <w:rsid w:val="771146B9"/>
    <w:rsid w:val="77133322"/>
    <w:rsid w:val="7A26C7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BD"/>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5364DE"/>
    <w:pPr>
      <w:keepNext/>
      <w:numPr>
        <w:numId w:val="2"/>
      </w:numPr>
      <w:spacing w:before="240"/>
      <w:ind w:left="851" w:hanging="851"/>
      <w:outlineLvl w:val="0"/>
    </w:pPr>
    <w:rPr>
      <w:color w:val="22413A"/>
      <w:sz w:val="48"/>
    </w:rPr>
  </w:style>
  <w:style w:type="paragraph" w:styleId="Heading2">
    <w:name w:val="heading 2"/>
    <w:basedOn w:val="Heading1"/>
    <w:next w:val="Normal"/>
    <w:link w:val="Heading2Char"/>
    <w:qFormat/>
    <w:rsid w:val="009B7D05"/>
    <w:pPr>
      <w:numPr>
        <w:ilvl w:val="1"/>
      </w:numPr>
      <w:ind w:left="851" w:hanging="851"/>
      <w:outlineLvl w:val="1"/>
    </w:pPr>
    <w:rPr>
      <w:sz w:val="36"/>
      <w:szCs w:val="16"/>
    </w:rPr>
  </w:style>
  <w:style w:type="paragraph" w:styleId="Heading3">
    <w:name w:val="heading 3"/>
    <w:basedOn w:val="Heading2"/>
    <w:next w:val="Normal"/>
    <w:link w:val="Heading3Char"/>
    <w:qFormat/>
    <w:rsid w:val="00CA01EB"/>
    <w:pPr>
      <w:numPr>
        <w:ilvl w:val="2"/>
      </w:numPr>
      <w:spacing w:after="120"/>
      <w:ind w:left="993" w:hanging="993"/>
      <w:outlineLvl w:val="2"/>
    </w:pPr>
    <w:rPr>
      <w:sz w:val="28"/>
      <w:szCs w:val="12"/>
    </w:rPr>
  </w:style>
  <w:style w:type="paragraph" w:styleId="Heading4">
    <w:name w:val="heading 4"/>
    <w:basedOn w:val="Heading3"/>
    <w:next w:val="Normal"/>
    <w:link w:val="Heading4Char"/>
    <w:qFormat/>
    <w:rsid w:val="002D290B"/>
    <w:pPr>
      <w:numPr>
        <w:ilvl w:val="3"/>
      </w:numPr>
      <w:outlineLvl w:val="3"/>
    </w:pPr>
    <w:rPr>
      <w:sz w:val="24"/>
      <w:szCs w:val="10"/>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9B7D05"/>
    <w:rPr>
      <w:rFonts w:ascii="Arial" w:hAnsi="Arial"/>
      <w:color w:val="22413A"/>
      <w:sz w:val="36"/>
      <w:szCs w:val="16"/>
      <w:lang w:eastAsia="en-US" w:bidi="he-IL"/>
    </w:rPr>
  </w:style>
  <w:style w:type="character" w:customStyle="1" w:styleId="Heading3Char">
    <w:name w:val="Heading 3 Char"/>
    <w:link w:val="Heading3"/>
    <w:rsid w:val="00CA01EB"/>
    <w:rPr>
      <w:rFonts w:ascii="Arial" w:hAnsi="Arial"/>
      <w:color w:val="22413A"/>
      <w:sz w:val="28"/>
      <w:szCs w:val="12"/>
      <w:lang w:val="en-US" w:eastAsia="en-US" w:bidi="he-IL"/>
    </w:rPr>
  </w:style>
  <w:style w:type="character" w:customStyle="1" w:styleId="Heading4Char">
    <w:name w:val="Heading 4 Char"/>
    <w:link w:val="Heading4"/>
    <w:rsid w:val="002D290B"/>
    <w:rPr>
      <w:rFonts w:ascii="Arial" w:hAnsi="Arial"/>
      <w:color w:val="22413A"/>
      <w:sz w:val="24"/>
      <w:szCs w:val="10"/>
      <w:lang w:val="en-US"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5364DE"/>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A31B0A"/>
    <w:pPr>
      <w:numPr>
        <w:numId w:val="1"/>
      </w:numPr>
      <w:spacing w:before="240" w:after="120"/>
      <w:ind w:left="709" w:hanging="283"/>
    </w:pPr>
    <w:rPr>
      <w:bCs/>
    </w:rPr>
  </w:style>
  <w:style w:type="paragraph" w:customStyle="1" w:styleId="Bulletlist2">
    <w:name w:val="Bullet list 2"/>
    <w:basedOn w:val="Bulletlist1"/>
    <w:uiPriority w:val="1"/>
    <w:qFormat/>
    <w:rsid w:val="00062057"/>
    <w:pPr>
      <w:numPr>
        <w:ilvl w:val="1"/>
      </w:numPr>
      <w:ind w:left="1418"/>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94174"/>
    <w:pPr>
      <w:tabs>
        <w:tab w:val="right" w:leader="dot" w:pos="9752"/>
      </w:tabs>
      <w:spacing w:before="240" w:after="0"/>
    </w:pPr>
    <w:rPr>
      <w:noProof/>
    </w:rPr>
  </w:style>
  <w:style w:type="character" w:styleId="Hyperlink">
    <w:name w:val="Hyperlink"/>
    <w:uiPriority w:val="99"/>
    <w:unhideWhenUsed/>
    <w:rsid w:val="00F71B56"/>
    <w:rPr>
      <w:color w:val="0563C1"/>
      <w:u w:val="single"/>
    </w:r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link w:val="QuoteTextChar"/>
    <w:uiPriority w:val="1"/>
    <w:qFormat/>
    <w:rsid w:val="00650642"/>
    <w:pPr>
      <w:pBdr>
        <w:top w:val="single" w:sz="4" w:space="6" w:color="22413A"/>
        <w:bottom w:val="single" w:sz="4" w:space="6" w:color="22413A"/>
      </w:pBdr>
      <w:spacing w:before="240"/>
      <w:ind w:left="1134"/>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6A47"/>
    <w:pPr>
      <w:spacing w:before="240" w:after="120"/>
      <w:ind w:left="357" w:hanging="357"/>
    </w:pPr>
    <w:rPr>
      <w:rFonts w:asciiTheme="minorHAnsi" w:eastAsiaTheme="minorHAnsi" w:hAnsiTheme="minorHAnsi" w:cstheme="minorBidi"/>
      <w:bCs/>
      <w:lang w:val="en-US" w:bidi="ar-SA"/>
    </w:rPr>
  </w:style>
  <w:style w:type="paragraph" w:customStyle="1" w:styleId="NumList2">
    <w:name w:val="Num List 2"/>
    <w:basedOn w:val="Normal"/>
    <w:uiPriority w:val="1"/>
    <w:qFormat/>
    <w:rsid w:val="001A6983"/>
    <w:pPr>
      <w:numPr>
        <w:ilvl w:val="1"/>
        <w:numId w:val="6"/>
      </w:numPr>
      <w:spacing w:before="240" w:after="120"/>
      <w:ind w:left="993"/>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FE2B54"/>
    <w:pPr>
      <w:numPr>
        <w:ilvl w:val="2"/>
      </w:numPr>
      <w:ind w:left="2410"/>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BB6970"/>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
    <w:name w:val="Paragraph"/>
    <w:basedOn w:val="Normal"/>
    <w:link w:val="ParagraphChar"/>
    <w:qFormat/>
    <w:rsid w:val="0023700B"/>
    <w:pPr>
      <w:spacing w:before="240" w:after="120"/>
    </w:pPr>
    <w:rPr>
      <w:bCs/>
    </w:rPr>
  </w:style>
  <w:style w:type="character" w:customStyle="1" w:styleId="ParagraphChar">
    <w:name w:val="Paragraph Char"/>
    <w:basedOn w:val="DefaultParagraphFont"/>
    <w:link w:val="Paragraph"/>
    <w:rsid w:val="008C791E"/>
    <w:rPr>
      <w:rFonts w:ascii="Arial" w:hAnsi="Arial"/>
      <w:bCs/>
      <w:sz w:val="24"/>
      <w:szCs w:val="22"/>
      <w:lang w:eastAsia="en-US" w:bidi="he-IL"/>
    </w:rPr>
  </w:style>
  <w:style w:type="paragraph" w:customStyle="1" w:styleId="Number">
    <w:name w:val="Number"/>
    <w:basedOn w:val="Normal"/>
    <w:rsid w:val="008C791E"/>
    <w:pPr>
      <w:numPr>
        <w:numId w:val="4"/>
      </w:numPr>
      <w:spacing w:after="220" w:line="240" w:lineRule="auto"/>
    </w:pPr>
    <w:rPr>
      <w:rFonts w:eastAsia="Times New Roman" w:cs="Times New Roman"/>
      <w:sz w:val="22"/>
      <w:szCs w:val="24"/>
      <w:lang w:bidi="ar-SA"/>
    </w:rPr>
  </w:style>
  <w:style w:type="paragraph" w:customStyle="1" w:styleId="Bullet1">
    <w:name w:val="Bullet 1"/>
    <w:basedOn w:val="Normal"/>
    <w:rsid w:val="008C791E"/>
    <w:pPr>
      <w:numPr>
        <w:numId w:val="5"/>
      </w:numPr>
      <w:spacing w:after="220" w:line="240" w:lineRule="auto"/>
      <w:contextualSpacing/>
    </w:pPr>
    <w:rPr>
      <w:rFonts w:eastAsia="Times New Roman" w:cs="Times New Roman"/>
      <w:sz w:val="22"/>
      <w:szCs w:val="24"/>
      <w:lang w:bidi="ar-SA"/>
    </w:rPr>
  </w:style>
  <w:style w:type="paragraph" w:styleId="TOC4">
    <w:name w:val="toc 4"/>
    <w:basedOn w:val="Normal"/>
    <w:next w:val="Normal"/>
    <w:autoRedefine/>
    <w:uiPriority w:val="39"/>
    <w:rsid w:val="00C94174"/>
    <w:pPr>
      <w:spacing w:after="100"/>
      <w:ind w:left="720"/>
      <w:contextualSpacing/>
    </w:pPr>
  </w:style>
  <w:style w:type="paragraph" w:styleId="TOC5">
    <w:name w:val="toc 5"/>
    <w:basedOn w:val="Normal"/>
    <w:next w:val="Normal"/>
    <w:autoRedefine/>
    <w:uiPriority w:val="39"/>
    <w:unhideWhenUsed/>
    <w:rsid w:val="00C94174"/>
    <w:pPr>
      <w:spacing w:after="100" w:line="259" w:lineRule="auto"/>
      <w:ind w:left="880"/>
    </w:pPr>
    <w:rPr>
      <w:rFonts w:asciiTheme="minorHAnsi" w:eastAsiaTheme="minorEastAsia" w:hAnsiTheme="minorHAnsi" w:cstheme="minorBidi"/>
      <w:kern w:val="2"/>
      <w:sz w:val="22"/>
      <w:lang w:eastAsia="en-GB" w:bidi="ar-SA"/>
      <w14:ligatures w14:val="standardContextual"/>
    </w:rPr>
  </w:style>
  <w:style w:type="paragraph" w:styleId="TOC6">
    <w:name w:val="toc 6"/>
    <w:basedOn w:val="Normal"/>
    <w:next w:val="Normal"/>
    <w:autoRedefine/>
    <w:uiPriority w:val="39"/>
    <w:unhideWhenUsed/>
    <w:rsid w:val="00C94174"/>
    <w:pPr>
      <w:spacing w:after="100" w:line="259" w:lineRule="auto"/>
      <w:ind w:left="1100"/>
    </w:pPr>
    <w:rPr>
      <w:rFonts w:asciiTheme="minorHAnsi" w:eastAsiaTheme="minorEastAsia" w:hAnsiTheme="minorHAnsi" w:cstheme="minorBidi"/>
      <w:kern w:val="2"/>
      <w:sz w:val="22"/>
      <w:lang w:eastAsia="en-GB" w:bidi="ar-SA"/>
      <w14:ligatures w14:val="standardContextual"/>
    </w:rPr>
  </w:style>
  <w:style w:type="paragraph" w:styleId="TOC7">
    <w:name w:val="toc 7"/>
    <w:basedOn w:val="Normal"/>
    <w:next w:val="Normal"/>
    <w:autoRedefine/>
    <w:uiPriority w:val="39"/>
    <w:unhideWhenUsed/>
    <w:rsid w:val="00C94174"/>
    <w:pPr>
      <w:spacing w:after="100" w:line="259" w:lineRule="auto"/>
      <w:ind w:left="1320"/>
    </w:pPr>
    <w:rPr>
      <w:rFonts w:asciiTheme="minorHAnsi" w:eastAsiaTheme="minorEastAsia" w:hAnsiTheme="minorHAnsi" w:cstheme="minorBidi"/>
      <w:kern w:val="2"/>
      <w:sz w:val="22"/>
      <w:lang w:eastAsia="en-GB" w:bidi="ar-SA"/>
      <w14:ligatures w14:val="standardContextual"/>
    </w:rPr>
  </w:style>
  <w:style w:type="paragraph" w:styleId="TOC8">
    <w:name w:val="toc 8"/>
    <w:basedOn w:val="Normal"/>
    <w:next w:val="Normal"/>
    <w:autoRedefine/>
    <w:uiPriority w:val="39"/>
    <w:unhideWhenUsed/>
    <w:rsid w:val="00C94174"/>
    <w:pPr>
      <w:spacing w:after="100" w:line="259" w:lineRule="auto"/>
      <w:ind w:left="1540"/>
    </w:pPr>
    <w:rPr>
      <w:rFonts w:asciiTheme="minorHAnsi" w:eastAsiaTheme="minorEastAsia" w:hAnsiTheme="minorHAnsi" w:cstheme="minorBidi"/>
      <w:kern w:val="2"/>
      <w:sz w:val="22"/>
      <w:lang w:eastAsia="en-GB" w:bidi="ar-SA"/>
      <w14:ligatures w14:val="standardContextual"/>
    </w:rPr>
  </w:style>
  <w:style w:type="paragraph" w:styleId="TOC9">
    <w:name w:val="toc 9"/>
    <w:basedOn w:val="Normal"/>
    <w:next w:val="Normal"/>
    <w:autoRedefine/>
    <w:uiPriority w:val="39"/>
    <w:unhideWhenUsed/>
    <w:rsid w:val="00C94174"/>
    <w:pPr>
      <w:spacing w:after="100" w:line="259" w:lineRule="auto"/>
      <w:ind w:left="1760"/>
    </w:pPr>
    <w:rPr>
      <w:rFonts w:asciiTheme="minorHAnsi" w:eastAsiaTheme="minorEastAsia" w:hAnsiTheme="minorHAnsi" w:cstheme="minorBidi"/>
      <w:kern w:val="2"/>
      <w:sz w:val="22"/>
      <w:lang w:eastAsia="en-GB" w:bidi="ar-SA"/>
      <w14:ligatures w14:val="standardContextual"/>
    </w:rPr>
  </w:style>
  <w:style w:type="paragraph" w:styleId="TOC2">
    <w:name w:val="toc 2"/>
    <w:basedOn w:val="Normal"/>
    <w:next w:val="Normal"/>
    <w:autoRedefine/>
    <w:uiPriority w:val="39"/>
    <w:unhideWhenUsed/>
    <w:rsid w:val="00C94174"/>
    <w:pPr>
      <w:spacing w:after="100"/>
      <w:ind w:left="238"/>
      <w:contextualSpacing/>
    </w:pPr>
  </w:style>
  <w:style w:type="paragraph" w:styleId="TOC3">
    <w:name w:val="toc 3"/>
    <w:basedOn w:val="Normal"/>
    <w:next w:val="Normal"/>
    <w:autoRedefine/>
    <w:uiPriority w:val="39"/>
    <w:unhideWhenUsed/>
    <w:rsid w:val="00C94174"/>
    <w:pPr>
      <w:spacing w:after="100"/>
      <w:ind w:left="482"/>
      <w:contextualSpacing/>
    </w:pPr>
  </w:style>
  <w:style w:type="character" w:styleId="FollowedHyperlink">
    <w:name w:val="FollowedHyperlink"/>
    <w:basedOn w:val="DefaultParagraphFont"/>
    <w:uiPriority w:val="99"/>
    <w:semiHidden/>
    <w:unhideWhenUsed/>
    <w:rsid w:val="00A9108E"/>
    <w:rPr>
      <w:color w:val="AA1C76" w:themeColor="followedHyperlink"/>
      <w:u w:val="single"/>
    </w:rPr>
  </w:style>
  <w:style w:type="paragraph" w:styleId="Revision">
    <w:name w:val="Revision"/>
    <w:hidden/>
    <w:uiPriority w:val="99"/>
    <w:semiHidden/>
    <w:rsid w:val="007C66F5"/>
    <w:rPr>
      <w:rFonts w:ascii="Arial" w:hAnsi="Arial"/>
      <w:sz w:val="24"/>
      <w:szCs w:val="22"/>
      <w:lang w:eastAsia="en-US" w:bidi="he-IL"/>
    </w:rPr>
  </w:style>
  <w:style w:type="paragraph" w:customStyle="1" w:styleId="CommentText1">
    <w:name w:val="Comment Text1"/>
    <w:basedOn w:val="Normal"/>
    <w:next w:val="CommentText"/>
    <w:uiPriority w:val="99"/>
    <w:unhideWhenUsed/>
    <w:rsid w:val="00E529C9"/>
    <w:pPr>
      <w:spacing w:line="240" w:lineRule="auto"/>
    </w:pPr>
    <w:rPr>
      <w:rFonts w:eastAsia="Arial" w:cs="Times New Roman"/>
      <w:kern w:val="2"/>
      <w:sz w:val="22"/>
      <w:lang w:bidi="ar-SA"/>
      <w14:ligatures w14:val="standardContextual"/>
    </w:rPr>
  </w:style>
  <w:style w:type="paragraph" w:styleId="CommentSubject">
    <w:name w:val="annotation subject"/>
    <w:basedOn w:val="CommentText"/>
    <w:next w:val="CommentText"/>
    <w:link w:val="CommentSubjectChar"/>
    <w:uiPriority w:val="99"/>
    <w:semiHidden/>
    <w:unhideWhenUsed/>
    <w:rsid w:val="00D32E8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32E86"/>
    <w:rPr>
      <w:rFonts w:ascii="Arial" w:eastAsiaTheme="minorHAnsi" w:hAnsi="Arial" w:cstheme="minorBidi"/>
      <w:b/>
      <w:bCs/>
      <w:lang w:eastAsia="en-US" w:bidi="he-IL"/>
    </w:rPr>
  </w:style>
  <w:style w:type="paragraph" w:customStyle="1" w:styleId="SAPHeading">
    <w:name w:val="SAP Heading"/>
    <w:basedOn w:val="Heading3"/>
    <w:link w:val="SAPHeadingChar"/>
    <w:qFormat/>
    <w:rsid w:val="00ED7073"/>
    <w:pPr>
      <w:numPr>
        <w:ilvl w:val="0"/>
        <w:numId w:val="0"/>
      </w:numPr>
      <w:shd w:val="clear" w:color="auto" w:fill="07716C"/>
      <w:spacing w:after="0"/>
    </w:pPr>
    <w:rPr>
      <w:b/>
      <w:color w:val="FFFFFF" w:themeColor="background1"/>
    </w:rPr>
  </w:style>
  <w:style w:type="character" w:customStyle="1" w:styleId="SAPHeadingChar">
    <w:name w:val="SAP Heading Char"/>
    <w:basedOn w:val="Heading2Char"/>
    <w:link w:val="SAPHeading"/>
    <w:rsid w:val="00737C2C"/>
    <w:rPr>
      <w:rFonts w:ascii="Arial" w:hAnsi="Arial"/>
      <w:b/>
      <w:color w:val="FFFFFF" w:themeColor="background1"/>
      <w:sz w:val="28"/>
      <w:szCs w:val="12"/>
      <w:shd w:val="clear" w:color="auto" w:fill="07716C"/>
      <w:lang w:eastAsia="en-US" w:bidi="he-IL"/>
    </w:rPr>
  </w:style>
  <w:style w:type="paragraph" w:customStyle="1" w:styleId="SAPBodyText">
    <w:name w:val="SAP Body Text"/>
    <w:basedOn w:val="QuoteText"/>
    <w:link w:val="SAPBodyTextChar"/>
    <w:qFormat/>
    <w:rsid w:val="00ED7073"/>
    <w:pPr>
      <w:keepLines/>
      <w:spacing w:before="0" w:after="120"/>
      <w:ind w:left="0"/>
    </w:pPr>
  </w:style>
  <w:style w:type="character" w:customStyle="1" w:styleId="QuoteTextChar">
    <w:name w:val="Quote Text Char"/>
    <w:basedOn w:val="DefaultParagraphFont"/>
    <w:link w:val="QuoteText"/>
    <w:uiPriority w:val="1"/>
    <w:rsid w:val="001E2549"/>
    <w:rPr>
      <w:rFonts w:asciiTheme="minorHAnsi" w:eastAsiaTheme="minorHAnsi" w:hAnsiTheme="minorHAnsi" w:cstheme="minorBidi"/>
      <w:sz w:val="24"/>
      <w:szCs w:val="28"/>
      <w:lang w:eastAsia="en-US"/>
    </w:rPr>
  </w:style>
  <w:style w:type="character" w:customStyle="1" w:styleId="SAPBodyTextChar">
    <w:name w:val="SAP Body Text Char"/>
    <w:basedOn w:val="QuoteTextChar"/>
    <w:link w:val="SAPBodyText"/>
    <w:rsid w:val="00ED7073"/>
    <w:rPr>
      <w:rFonts w:asciiTheme="minorHAnsi" w:eastAsiaTheme="minorHAnsi" w:hAnsiTheme="minorHAnsi" w:cstheme="minorBidi"/>
      <w:sz w:val="24"/>
      <w:szCs w:val="28"/>
      <w:lang w:eastAsia="en-US"/>
    </w:rPr>
  </w:style>
  <w:style w:type="paragraph" w:styleId="NormalWeb">
    <w:name w:val="Normal (Web)"/>
    <w:basedOn w:val="Normal"/>
    <w:uiPriority w:val="99"/>
    <w:semiHidden/>
    <w:unhideWhenUsed/>
    <w:rsid w:val="006547AA"/>
    <w:pPr>
      <w:spacing w:before="100" w:beforeAutospacing="1" w:after="100" w:afterAutospacing="1" w:line="240" w:lineRule="auto"/>
    </w:pPr>
    <w:rPr>
      <w:rFonts w:ascii="Aptos" w:eastAsiaTheme="minorHAnsi" w:hAnsi="Aptos" w:cs="Aptos"/>
      <w:szCs w:val="24"/>
      <w:lang w:bidi="ar-SA"/>
    </w:rPr>
  </w:style>
  <w:style w:type="paragraph" w:customStyle="1" w:styleId="Default">
    <w:name w:val="Default"/>
    <w:rsid w:val="00D31C81"/>
    <w:pPr>
      <w:autoSpaceDE w:val="0"/>
      <w:autoSpaceDN w:val="0"/>
      <w:adjustRightInd w:val="0"/>
    </w:pPr>
    <w:rPr>
      <w:rFonts w:ascii="Arial" w:hAnsi="Arial"/>
      <w:color w:val="000000"/>
      <w:sz w:val="24"/>
      <w:szCs w:val="24"/>
    </w:rPr>
  </w:style>
  <w:style w:type="character" w:styleId="Mention">
    <w:name w:val="Mention"/>
    <w:basedOn w:val="DefaultParagraphFont"/>
    <w:uiPriority w:val="99"/>
    <w:unhideWhenUsed/>
    <w:rsid w:val="00AB0BFD"/>
    <w:rPr>
      <w:color w:val="2B579A"/>
      <w:shd w:val="clear" w:color="auto" w:fill="E1DFDD"/>
    </w:rPr>
  </w:style>
  <w:style w:type="paragraph" w:customStyle="1" w:styleId="TSNumberedParagraph11">
    <w:name w:val="TS Numbered Paragraph 1.1"/>
    <w:basedOn w:val="Normal"/>
    <w:rsid w:val="009A5946"/>
    <w:pPr>
      <w:tabs>
        <w:tab w:val="num" w:pos="-31680"/>
      </w:tabs>
      <w:spacing w:after="220" w:line="240" w:lineRule="auto"/>
      <w:ind w:left="720" w:hanging="720"/>
      <w:outlineLvl w:val="0"/>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720">
      <w:bodyDiv w:val="1"/>
      <w:marLeft w:val="0"/>
      <w:marRight w:val="0"/>
      <w:marTop w:val="0"/>
      <w:marBottom w:val="0"/>
      <w:divBdr>
        <w:top w:val="none" w:sz="0" w:space="0" w:color="auto"/>
        <w:left w:val="none" w:sz="0" w:space="0" w:color="auto"/>
        <w:bottom w:val="none" w:sz="0" w:space="0" w:color="auto"/>
        <w:right w:val="none" w:sz="0" w:space="0" w:color="auto"/>
      </w:divBdr>
    </w:div>
    <w:div w:id="6371672">
      <w:bodyDiv w:val="1"/>
      <w:marLeft w:val="0"/>
      <w:marRight w:val="0"/>
      <w:marTop w:val="0"/>
      <w:marBottom w:val="0"/>
      <w:divBdr>
        <w:top w:val="none" w:sz="0" w:space="0" w:color="auto"/>
        <w:left w:val="none" w:sz="0" w:space="0" w:color="auto"/>
        <w:bottom w:val="none" w:sz="0" w:space="0" w:color="auto"/>
        <w:right w:val="none" w:sz="0" w:space="0" w:color="auto"/>
      </w:divBdr>
    </w:div>
    <w:div w:id="18704319">
      <w:bodyDiv w:val="1"/>
      <w:marLeft w:val="0"/>
      <w:marRight w:val="0"/>
      <w:marTop w:val="0"/>
      <w:marBottom w:val="0"/>
      <w:divBdr>
        <w:top w:val="none" w:sz="0" w:space="0" w:color="auto"/>
        <w:left w:val="none" w:sz="0" w:space="0" w:color="auto"/>
        <w:bottom w:val="none" w:sz="0" w:space="0" w:color="auto"/>
        <w:right w:val="none" w:sz="0" w:space="0" w:color="auto"/>
      </w:divBdr>
    </w:div>
    <w:div w:id="20011164">
      <w:bodyDiv w:val="1"/>
      <w:marLeft w:val="0"/>
      <w:marRight w:val="0"/>
      <w:marTop w:val="0"/>
      <w:marBottom w:val="0"/>
      <w:divBdr>
        <w:top w:val="none" w:sz="0" w:space="0" w:color="auto"/>
        <w:left w:val="none" w:sz="0" w:space="0" w:color="auto"/>
        <w:bottom w:val="none" w:sz="0" w:space="0" w:color="auto"/>
        <w:right w:val="none" w:sz="0" w:space="0" w:color="auto"/>
      </w:divBdr>
    </w:div>
    <w:div w:id="20329481">
      <w:bodyDiv w:val="1"/>
      <w:marLeft w:val="0"/>
      <w:marRight w:val="0"/>
      <w:marTop w:val="0"/>
      <w:marBottom w:val="0"/>
      <w:divBdr>
        <w:top w:val="none" w:sz="0" w:space="0" w:color="auto"/>
        <w:left w:val="none" w:sz="0" w:space="0" w:color="auto"/>
        <w:bottom w:val="none" w:sz="0" w:space="0" w:color="auto"/>
        <w:right w:val="none" w:sz="0" w:space="0" w:color="auto"/>
      </w:divBdr>
    </w:div>
    <w:div w:id="22558952">
      <w:bodyDiv w:val="1"/>
      <w:marLeft w:val="0"/>
      <w:marRight w:val="0"/>
      <w:marTop w:val="0"/>
      <w:marBottom w:val="0"/>
      <w:divBdr>
        <w:top w:val="none" w:sz="0" w:space="0" w:color="auto"/>
        <w:left w:val="none" w:sz="0" w:space="0" w:color="auto"/>
        <w:bottom w:val="none" w:sz="0" w:space="0" w:color="auto"/>
        <w:right w:val="none" w:sz="0" w:space="0" w:color="auto"/>
      </w:divBdr>
    </w:div>
    <w:div w:id="23017359">
      <w:bodyDiv w:val="1"/>
      <w:marLeft w:val="0"/>
      <w:marRight w:val="0"/>
      <w:marTop w:val="0"/>
      <w:marBottom w:val="0"/>
      <w:divBdr>
        <w:top w:val="none" w:sz="0" w:space="0" w:color="auto"/>
        <w:left w:val="none" w:sz="0" w:space="0" w:color="auto"/>
        <w:bottom w:val="none" w:sz="0" w:space="0" w:color="auto"/>
        <w:right w:val="none" w:sz="0" w:space="0" w:color="auto"/>
      </w:divBdr>
    </w:div>
    <w:div w:id="30958449">
      <w:bodyDiv w:val="1"/>
      <w:marLeft w:val="0"/>
      <w:marRight w:val="0"/>
      <w:marTop w:val="0"/>
      <w:marBottom w:val="0"/>
      <w:divBdr>
        <w:top w:val="none" w:sz="0" w:space="0" w:color="auto"/>
        <w:left w:val="none" w:sz="0" w:space="0" w:color="auto"/>
        <w:bottom w:val="none" w:sz="0" w:space="0" w:color="auto"/>
        <w:right w:val="none" w:sz="0" w:space="0" w:color="auto"/>
      </w:divBdr>
    </w:div>
    <w:div w:id="35011999">
      <w:bodyDiv w:val="1"/>
      <w:marLeft w:val="0"/>
      <w:marRight w:val="0"/>
      <w:marTop w:val="0"/>
      <w:marBottom w:val="0"/>
      <w:divBdr>
        <w:top w:val="none" w:sz="0" w:space="0" w:color="auto"/>
        <w:left w:val="none" w:sz="0" w:space="0" w:color="auto"/>
        <w:bottom w:val="none" w:sz="0" w:space="0" w:color="auto"/>
        <w:right w:val="none" w:sz="0" w:space="0" w:color="auto"/>
      </w:divBdr>
    </w:div>
    <w:div w:id="46029980">
      <w:bodyDiv w:val="1"/>
      <w:marLeft w:val="0"/>
      <w:marRight w:val="0"/>
      <w:marTop w:val="0"/>
      <w:marBottom w:val="0"/>
      <w:divBdr>
        <w:top w:val="none" w:sz="0" w:space="0" w:color="auto"/>
        <w:left w:val="none" w:sz="0" w:space="0" w:color="auto"/>
        <w:bottom w:val="none" w:sz="0" w:space="0" w:color="auto"/>
        <w:right w:val="none" w:sz="0" w:space="0" w:color="auto"/>
      </w:divBdr>
    </w:div>
    <w:div w:id="61953675">
      <w:bodyDiv w:val="1"/>
      <w:marLeft w:val="0"/>
      <w:marRight w:val="0"/>
      <w:marTop w:val="0"/>
      <w:marBottom w:val="0"/>
      <w:divBdr>
        <w:top w:val="none" w:sz="0" w:space="0" w:color="auto"/>
        <w:left w:val="none" w:sz="0" w:space="0" w:color="auto"/>
        <w:bottom w:val="none" w:sz="0" w:space="0" w:color="auto"/>
        <w:right w:val="none" w:sz="0" w:space="0" w:color="auto"/>
      </w:divBdr>
    </w:div>
    <w:div w:id="66078773">
      <w:bodyDiv w:val="1"/>
      <w:marLeft w:val="0"/>
      <w:marRight w:val="0"/>
      <w:marTop w:val="0"/>
      <w:marBottom w:val="0"/>
      <w:divBdr>
        <w:top w:val="none" w:sz="0" w:space="0" w:color="auto"/>
        <w:left w:val="none" w:sz="0" w:space="0" w:color="auto"/>
        <w:bottom w:val="none" w:sz="0" w:space="0" w:color="auto"/>
        <w:right w:val="none" w:sz="0" w:space="0" w:color="auto"/>
      </w:divBdr>
    </w:div>
    <w:div w:id="70735232">
      <w:bodyDiv w:val="1"/>
      <w:marLeft w:val="0"/>
      <w:marRight w:val="0"/>
      <w:marTop w:val="0"/>
      <w:marBottom w:val="0"/>
      <w:divBdr>
        <w:top w:val="none" w:sz="0" w:space="0" w:color="auto"/>
        <w:left w:val="none" w:sz="0" w:space="0" w:color="auto"/>
        <w:bottom w:val="none" w:sz="0" w:space="0" w:color="auto"/>
        <w:right w:val="none" w:sz="0" w:space="0" w:color="auto"/>
      </w:divBdr>
    </w:div>
    <w:div w:id="75325678">
      <w:bodyDiv w:val="1"/>
      <w:marLeft w:val="0"/>
      <w:marRight w:val="0"/>
      <w:marTop w:val="0"/>
      <w:marBottom w:val="0"/>
      <w:divBdr>
        <w:top w:val="none" w:sz="0" w:space="0" w:color="auto"/>
        <w:left w:val="none" w:sz="0" w:space="0" w:color="auto"/>
        <w:bottom w:val="none" w:sz="0" w:space="0" w:color="auto"/>
        <w:right w:val="none" w:sz="0" w:space="0" w:color="auto"/>
      </w:divBdr>
    </w:div>
    <w:div w:id="78143938">
      <w:bodyDiv w:val="1"/>
      <w:marLeft w:val="0"/>
      <w:marRight w:val="0"/>
      <w:marTop w:val="0"/>
      <w:marBottom w:val="0"/>
      <w:divBdr>
        <w:top w:val="none" w:sz="0" w:space="0" w:color="auto"/>
        <w:left w:val="none" w:sz="0" w:space="0" w:color="auto"/>
        <w:bottom w:val="none" w:sz="0" w:space="0" w:color="auto"/>
        <w:right w:val="none" w:sz="0" w:space="0" w:color="auto"/>
      </w:divBdr>
    </w:div>
    <w:div w:id="82186179">
      <w:bodyDiv w:val="1"/>
      <w:marLeft w:val="0"/>
      <w:marRight w:val="0"/>
      <w:marTop w:val="0"/>
      <w:marBottom w:val="0"/>
      <w:divBdr>
        <w:top w:val="none" w:sz="0" w:space="0" w:color="auto"/>
        <w:left w:val="none" w:sz="0" w:space="0" w:color="auto"/>
        <w:bottom w:val="none" w:sz="0" w:space="0" w:color="auto"/>
        <w:right w:val="none" w:sz="0" w:space="0" w:color="auto"/>
      </w:divBdr>
    </w:div>
    <w:div w:id="83305803">
      <w:bodyDiv w:val="1"/>
      <w:marLeft w:val="0"/>
      <w:marRight w:val="0"/>
      <w:marTop w:val="0"/>
      <w:marBottom w:val="0"/>
      <w:divBdr>
        <w:top w:val="none" w:sz="0" w:space="0" w:color="auto"/>
        <w:left w:val="none" w:sz="0" w:space="0" w:color="auto"/>
        <w:bottom w:val="none" w:sz="0" w:space="0" w:color="auto"/>
        <w:right w:val="none" w:sz="0" w:space="0" w:color="auto"/>
      </w:divBdr>
    </w:div>
    <w:div w:id="83691982">
      <w:bodyDiv w:val="1"/>
      <w:marLeft w:val="0"/>
      <w:marRight w:val="0"/>
      <w:marTop w:val="0"/>
      <w:marBottom w:val="0"/>
      <w:divBdr>
        <w:top w:val="none" w:sz="0" w:space="0" w:color="auto"/>
        <w:left w:val="none" w:sz="0" w:space="0" w:color="auto"/>
        <w:bottom w:val="none" w:sz="0" w:space="0" w:color="auto"/>
        <w:right w:val="none" w:sz="0" w:space="0" w:color="auto"/>
      </w:divBdr>
    </w:div>
    <w:div w:id="88433562">
      <w:bodyDiv w:val="1"/>
      <w:marLeft w:val="0"/>
      <w:marRight w:val="0"/>
      <w:marTop w:val="0"/>
      <w:marBottom w:val="0"/>
      <w:divBdr>
        <w:top w:val="none" w:sz="0" w:space="0" w:color="auto"/>
        <w:left w:val="none" w:sz="0" w:space="0" w:color="auto"/>
        <w:bottom w:val="none" w:sz="0" w:space="0" w:color="auto"/>
        <w:right w:val="none" w:sz="0" w:space="0" w:color="auto"/>
      </w:divBdr>
    </w:div>
    <w:div w:id="8939682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7914541">
      <w:bodyDiv w:val="1"/>
      <w:marLeft w:val="0"/>
      <w:marRight w:val="0"/>
      <w:marTop w:val="0"/>
      <w:marBottom w:val="0"/>
      <w:divBdr>
        <w:top w:val="none" w:sz="0" w:space="0" w:color="auto"/>
        <w:left w:val="none" w:sz="0" w:space="0" w:color="auto"/>
        <w:bottom w:val="none" w:sz="0" w:space="0" w:color="auto"/>
        <w:right w:val="none" w:sz="0" w:space="0" w:color="auto"/>
      </w:divBdr>
    </w:div>
    <w:div w:id="104202244">
      <w:bodyDiv w:val="1"/>
      <w:marLeft w:val="0"/>
      <w:marRight w:val="0"/>
      <w:marTop w:val="0"/>
      <w:marBottom w:val="0"/>
      <w:divBdr>
        <w:top w:val="none" w:sz="0" w:space="0" w:color="auto"/>
        <w:left w:val="none" w:sz="0" w:space="0" w:color="auto"/>
        <w:bottom w:val="none" w:sz="0" w:space="0" w:color="auto"/>
        <w:right w:val="none" w:sz="0" w:space="0" w:color="auto"/>
      </w:divBdr>
    </w:div>
    <w:div w:id="104430515">
      <w:bodyDiv w:val="1"/>
      <w:marLeft w:val="0"/>
      <w:marRight w:val="0"/>
      <w:marTop w:val="0"/>
      <w:marBottom w:val="0"/>
      <w:divBdr>
        <w:top w:val="none" w:sz="0" w:space="0" w:color="auto"/>
        <w:left w:val="none" w:sz="0" w:space="0" w:color="auto"/>
        <w:bottom w:val="none" w:sz="0" w:space="0" w:color="auto"/>
        <w:right w:val="none" w:sz="0" w:space="0" w:color="auto"/>
      </w:divBdr>
    </w:div>
    <w:div w:id="104815845">
      <w:bodyDiv w:val="1"/>
      <w:marLeft w:val="0"/>
      <w:marRight w:val="0"/>
      <w:marTop w:val="0"/>
      <w:marBottom w:val="0"/>
      <w:divBdr>
        <w:top w:val="none" w:sz="0" w:space="0" w:color="auto"/>
        <w:left w:val="none" w:sz="0" w:space="0" w:color="auto"/>
        <w:bottom w:val="none" w:sz="0" w:space="0" w:color="auto"/>
        <w:right w:val="none" w:sz="0" w:space="0" w:color="auto"/>
      </w:divBdr>
    </w:div>
    <w:div w:id="106236698">
      <w:bodyDiv w:val="1"/>
      <w:marLeft w:val="0"/>
      <w:marRight w:val="0"/>
      <w:marTop w:val="0"/>
      <w:marBottom w:val="0"/>
      <w:divBdr>
        <w:top w:val="none" w:sz="0" w:space="0" w:color="auto"/>
        <w:left w:val="none" w:sz="0" w:space="0" w:color="auto"/>
        <w:bottom w:val="none" w:sz="0" w:space="0" w:color="auto"/>
        <w:right w:val="none" w:sz="0" w:space="0" w:color="auto"/>
      </w:divBdr>
    </w:div>
    <w:div w:id="107819766">
      <w:bodyDiv w:val="1"/>
      <w:marLeft w:val="0"/>
      <w:marRight w:val="0"/>
      <w:marTop w:val="0"/>
      <w:marBottom w:val="0"/>
      <w:divBdr>
        <w:top w:val="none" w:sz="0" w:space="0" w:color="auto"/>
        <w:left w:val="none" w:sz="0" w:space="0" w:color="auto"/>
        <w:bottom w:val="none" w:sz="0" w:space="0" w:color="auto"/>
        <w:right w:val="none" w:sz="0" w:space="0" w:color="auto"/>
      </w:divBdr>
    </w:div>
    <w:div w:id="108553005">
      <w:bodyDiv w:val="1"/>
      <w:marLeft w:val="0"/>
      <w:marRight w:val="0"/>
      <w:marTop w:val="0"/>
      <w:marBottom w:val="0"/>
      <w:divBdr>
        <w:top w:val="none" w:sz="0" w:space="0" w:color="auto"/>
        <w:left w:val="none" w:sz="0" w:space="0" w:color="auto"/>
        <w:bottom w:val="none" w:sz="0" w:space="0" w:color="auto"/>
        <w:right w:val="none" w:sz="0" w:space="0" w:color="auto"/>
      </w:divBdr>
    </w:div>
    <w:div w:id="113446105">
      <w:bodyDiv w:val="1"/>
      <w:marLeft w:val="0"/>
      <w:marRight w:val="0"/>
      <w:marTop w:val="0"/>
      <w:marBottom w:val="0"/>
      <w:divBdr>
        <w:top w:val="none" w:sz="0" w:space="0" w:color="auto"/>
        <w:left w:val="none" w:sz="0" w:space="0" w:color="auto"/>
        <w:bottom w:val="none" w:sz="0" w:space="0" w:color="auto"/>
        <w:right w:val="none" w:sz="0" w:space="0" w:color="auto"/>
      </w:divBdr>
    </w:div>
    <w:div w:id="115224646">
      <w:bodyDiv w:val="1"/>
      <w:marLeft w:val="0"/>
      <w:marRight w:val="0"/>
      <w:marTop w:val="0"/>
      <w:marBottom w:val="0"/>
      <w:divBdr>
        <w:top w:val="none" w:sz="0" w:space="0" w:color="auto"/>
        <w:left w:val="none" w:sz="0" w:space="0" w:color="auto"/>
        <w:bottom w:val="none" w:sz="0" w:space="0" w:color="auto"/>
        <w:right w:val="none" w:sz="0" w:space="0" w:color="auto"/>
      </w:divBdr>
    </w:div>
    <w:div w:id="118108412">
      <w:bodyDiv w:val="1"/>
      <w:marLeft w:val="0"/>
      <w:marRight w:val="0"/>
      <w:marTop w:val="0"/>
      <w:marBottom w:val="0"/>
      <w:divBdr>
        <w:top w:val="none" w:sz="0" w:space="0" w:color="auto"/>
        <w:left w:val="none" w:sz="0" w:space="0" w:color="auto"/>
        <w:bottom w:val="none" w:sz="0" w:space="0" w:color="auto"/>
        <w:right w:val="none" w:sz="0" w:space="0" w:color="auto"/>
      </w:divBdr>
    </w:div>
    <w:div w:id="120922349">
      <w:bodyDiv w:val="1"/>
      <w:marLeft w:val="0"/>
      <w:marRight w:val="0"/>
      <w:marTop w:val="0"/>
      <w:marBottom w:val="0"/>
      <w:divBdr>
        <w:top w:val="none" w:sz="0" w:space="0" w:color="auto"/>
        <w:left w:val="none" w:sz="0" w:space="0" w:color="auto"/>
        <w:bottom w:val="none" w:sz="0" w:space="0" w:color="auto"/>
        <w:right w:val="none" w:sz="0" w:space="0" w:color="auto"/>
      </w:divBdr>
    </w:div>
    <w:div w:id="122191683">
      <w:bodyDiv w:val="1"/>
      <w:marLeft w:val="0"/>
      <w:marRight w:val="0"/>
      <w:marTop w:val="0"/>
      <w:marBottom w:val="0"/>
      <w:divBdr>
        <w:top w:val="none" w:sz="0" w:space="0" w:color="auto"/>
        <w:left w:val="none" w:sz="0" w:space="0" w:color="auto"/>
        <w:bottom w:val="none" w:sz="0" w:space="0" w:color="auto"/>
        <w:right w:val="none" w:sz="0" w:space="0" w:color="auto"/>
      </w:divBdr>
    </w:div>
    <w:div w:id="124927633">
      <w:bodyDiv w:val="1"/>
      <w:marLeft w:val="0"/>
      <w:marRight w:val="0"/>
      <w:marTop w:val="0"/>
      <w:marBottom w:val="0"/>
      <w:divBdr>
        <w:top w:val="none" w:sz="0" w:space="0" w:color="auto"/>
        <w:left w:val="none" w:sz="0" w:space="0" w:color="auto"/>
        <w:bottom w:val="none" w:sz="0" w:space="0" w:color="auto"/>
        <w:right w:val="none" w:sz="0" w:space="0" w:color="auto"/>
      </w:divBdr>
    </w:div>
    <w:div w:id="125588425">
      <w:bodyDiv w:val="1"/>
      <w:marLeft w:val="0"/>
      <w:marRight w:val="0"/>
      <w:marTop w:val="0"/>
      <w:marBottom w:val="0"/>
      <w:divBdr>
        <w:top w:val="none" w:sz="0" w:space="0" w:color="auto"/>
        <w:left w:val="none" w:sz="0" w:space="0" w:color="auto"/>
        <w:bottom w:val="none" w:sz="0" w:space="0" w:color="auto"/>
        <w:right w:val="none" w:sz="0" w:space="0" w:color="auto"/>
      </w:divBdr>
    </w:div>
    <w:div w:id="126123596">
      <w:bodyDiv w:val="1"/>
      <w:marLeft w:val="0"/>
      <w:marRight w:val="0"/>
      <w:marTop w:val="0"/>
      <w:marBottom w:val="0"/>
      <w:divBdr>
        <w:top w:val="none" w:sz="0" w:space="0" w:color="auto"/>
        <w:left w:val="none" w:sz="0" w:space="0" w:color="auto"/>
        <w:bottom w:val="none" w:sz="0" w:space="0" w:color="auto"/>
        <w:right w:val="none" w:sz="0" w:space="0" w:color="auto"/>
      </w:divBdr>
    </w:div>
    <w:div w:id="126364209">
      <w:bodyDiv w:val="1"/>
      <w:marLeft w:val="0"/>
      <w:marRight w:val="0"/>
      <w:marTop w:val="0"/>
      <w:marBottom w:val="0"/>
      <w:divBdr>
        <w:top w:val="none" w:sz="0" w:space="0" w:color="auto"/>
        <w:left w:val="none" w:sz="0" w:space="0" w:color="auto"/>
        <w:bottom w:val="none" w:sz="0" w:space="0" w:color="auto"/>
        <w:right w:val="none" w:sz="0" w:space="0" w:color="auto"/>
      </w:divBdr>
    </w:div>
    <w:div w:id="127019317">
      <w:bodyDiv w:val="1"/>
      <w:marLeft w:val="0"/>
      <w:marRight w:val="0"/>
      <w:marTop w:val="0"/>
      <w:marBottom w:val="0"/>
      <w:divBdr>
        <w:top w:val="none" w:sz="0" w:space="0" w:color="auto"/>
        <w:left w:val="none" w:sz="0" w:space="0" w:color="auto"/>
        <w:bottom w:val="none" w:sz="0" w:space="0" w:color="auto"/>
        <w:right w:val="none" w:sz="0" w:space="0" w:color="auto"/>
      </w:divBdr>
    </w:div>
    <w:div w:id="127867427">
      <w:bodyDiv w:val="1"/>
      <w:marLeft w:val="0"/>
      <w:marRight w:val="0"/>
      <w:marTop w:val="0"/>
      <w:marBottom w:val="0"/>
      <w:divBdr>
        <w:top w:val="none" w:sz="0" w:space="0" w:color="auto"/>
        <w:left w:val="none" w:sz="0" w:space="0" w:color="auto"/>
        <w:bottom w:val="none" w:sz="0" w:space="0" w:color="auto"/>
        <w:right w:val="none" w:sz="0" w:space="0" w:color="auto"/>
      </w:divBdr>
    </w:div>
    <w:div w:id="135492252">
      <w:bodyDiv w:val="1"/>
      <w:marLeft w:val="0"/>
      <w:marRight w:val="0"/>
      <w:marTop w:val="0"/>
      <w:marBottom w:val="0"/>
      <w:divBdr>
        <w:top w:val="none" w:sz="0" w:space="0" w:color="auto"/>
        <w:left w:val="none" w:sz="0" w:space="0" w:color="auto"/>
        <w:bottom w:val="none" w:sz="0" w:space="0" w:color="auto"/>
        <w:right w:val="none" w:sz="0" w:space="0" w:color="auto"/>
      </w:divBdr>
    </w:div>
    <w:div w:id="139733859">
      <w:bodyDiv w:val="1"/>
      <w:marLeft w:val="0"/>
      <w:marRight w:val="0"/>
      <w:marTop w:val="0"/>
      <w:marBottom w:val="0"/>
      <w:divBdr>
        <w:top w:val="none" w:sz="0" w:space="0" w:color="auto"/>
        <w:left w:val="none" w:sz="0" w:space="0" w:color="auto"/>
        <w:bottom w:val="none" w:sz="0" w:space="0" w:color="auto"/>
        <w:right w:val="none" w:sz="0" w:space="0" w:color="auto"/>
      </w:divBdr>
    </w:div>
    <w:div w:id="141433275">
      <w:bodyDiv w:val="1"/>
      <w:marLeft w:val="0"/>
      <w:marRight w:val="0"/>
      <w:marTop w:val="0"/>
      <w:marBottom w:val="0"/>
      <w:divBdr>
        <w:top w:val="none" w:sz="0" w:space="0" w:color="auto"/>
        <w:left w:val="none" w:sz="0" w:space="0" w:color="auto"/>
        <w:bottom w:val="none" w:sz="0" w:space="0" w:color="auto"/>
        <w:right w:val="none" w:sz="0" w:space="0" w:color="auto"/>
      </w:divBdr>
    </w:div>
    <w:div w:id="142308556">
      <w:bodyDiv w:val="1"/>
      <w:marLeft w:val="0"/>
      <w:marRight w:val="0"/>
      <w:marTop w:val="0"/>
      <w:marBottom w:val="0"/>
      <w:divBdr>
        <w:top w:val="none" w:sz="0" w:space="0" w:color="auto"/>
        <w:left w:val="none" w:sz="0" w:space="0" w:color="auto"/>
        <w:bottom w:val="none" w:sz="0" w:space="0" w:color="auto"/>
        <w:right w:val="none" w:sz="0" w:space="0" w:color="auto"/>
      </w:divBdr>
    </w:div>
    <w:div w:id="151220359">
      <w:bodyDiv w:val="1"/>
      <w:marLeft w:val="0"/>
      <w:marRight w:val="0"/>
      <w:marTop w:val="0"/>
      <w:marBottom w:val="0"/>
      <w:divBdr>
        <w:top w:val="none" w:sz="0" w:space="0" w:color="auto"/>
        <w:left w:val="none" w:sz="0" w:space="0" w:color="auto"/>
        <w:bottom w:val="none" w:sz="0" w:space="0" w:color="auto"/>
        <w:right w:val="none" w:sz="0" w:space="0" w:color="auto"/>
      </w:divBdr>
    </w:div>
    <w:div w:id="153031478">
      <w:bodyDiv w:val="1"/>
      <w:marLeft w:val="0"/>
      <w:marRight w:val="0"/>
      <w:marTop w:val="0"/>
      <w:marBottom w:val="0"/>
      <w:divBdr>
        <w:top w:val="none" w:sz="0" w:space="0" w:color="auto"/>
        <w:left w:val="none" w:sz="0" w:space="0" w:color="auto"/>
        <w:bottom w:val="none" w:sz="0" w:space="0" w:color="auto"/>
        <w:right w:val="none" w:sz="0" w:space="0" w:color="auto"/>
      </w:divBdr>
    </w:div>
    <w:div w:id="154538779">
      <w:bodyDiv w:val="1"/>
      <w:marLeft w:val="0"/>
      <w:marRight w:val="0"/>
      <w:marTop w:val="0"/>
      <w:marBottom w:val="0"/>
      <w:divBdr>
        <w:top w:val="none" w:sz="0" w:space="0" w:color="auto"/>
        <w:left w:val="none" w:sz="0" w:space="0" w:color="auto"/>
        <w:bottom w:val="none" w:sz="0" w:space="0" w:color="auto"/>
        <w:right w:val="none" w:sz="0" w:space="0" w:color="auto"/>
      </w:divBdr>
    </w:div>
    <w:div w:id="155925115">
      <w:bodyDiv w:val="1"/>
      <w:marLeft w:val="0"/>
      <w:marRight w:val="0"/>
      <w:marTop w:val="0"/>
      <w:marBottom w:val="0"/>
      <w:divBdr>
        <w:top w:val="none" w:sz="0" w:space="0" w:color="auto"/>
        <w:left w:val="none" w:sz="0" w:space="0" w:color="auto"/>
        <w:bottom w:val="none" w:sz="0" w:space="0" w:color="auto"/>
        <w:right w:val="none" w:sz="0" w:space="0" w:color="auto"/>
      </w:divBdr>
    </w:div>
    <w:div w:id="161431597">
      <w:bodyDiv w:val="1"/>
      <w:marLeft w:val="0"/>
      <w:marRight w:val="0"/>
      <w:marTop w:val="0"/>
      <w:marBottom w:val="0"/>
      <w:divBdr>
        <w:top w:val="none" w:sz="0" w:space="0" w:color="auto"/>
        <w:left w:val="none" w:sz="0" w:space="0" w:color="auto"/>
        <w:bottom w:val="none" w:sz="0" w:space="0" w:color="auto"/>
        <w:right w:val="none" w:sz="0" w:space="0" w:color="auto"/>
      </w:divBdr>
    </w:div>
    <w:div w:id="163976794">
      <w:bodyDiv w:val="1"/>
      <w:marLeft w:val="0"/>
      <w:marRight w:val="0"/>
      <w:marTop w:val="0"/>
      <w:marBottom w:val="0"/>
      <w:divBdr>
        <w:top w:val="none" w:sz="0" w:space="0" w:color="auto"/>
        <w:left w:val="none" w:sz="0" w:space="0" w:color="auto"/>
        <w:bottom w:val="none" w:sz="0" w:space="0" w:color="auto"/>
        <w:right w:val="none" w:sz="0" w:space="0" w:color="auto"/>
      </w:divBdr>
    </w:div>
    <w:div w:id="164168870">
      <w:bodyDiv w:val="1"/>
      <w:marLeft w:val="0"/>
      <w:marRight w:val="0"/>
      <w:marTop w:val="0"/>
      <w:marBottom w:val="0"/>
      <w:divBdr>
        <w:top w:val="none" w:sz="0" w:space="0" w:color="auto"/>
        <w:left w:val="none" w:sz="0" w:space="0" w:color="auto"/>
        <w:bottom w:val="none" w:sz="0" w:space="0" w:color="auto"/>
        <w:right w:val="none" w:sz="0" w:space="0" w:color="auto"/>
      </w:divBdr>
    </w:div>
    <w:div w:id="167597716">
      <w:bodyDiv w:val="1"/>
      <w:marLeft w:val="0"/>
      <w:marRight w:val="0"/>
      <w:marTop w:val="0"/>
      <w:marBottom w:val="0"/>
      <w:divBdr>
        <w:top w:val="none" w:sz="0" w:space="0" w:color="auto"/>
        <w:left w:val="none" w:sz="0" w:space="0" w:color="auto"/>
        <w:bottom w:val="none" w:sz="0" w:space="0" w:color="auto"/>
        <w:right w:val="none" w:sz="0" w:space="0" w:color="auto"/>
      </w:divBdr>
    </w:div>
    <w:div w:id="178350061">
      <w:bodyDiv w:val="1"/>
      <w:marLeft w:val="0"/>
      <w:marRight w:val="0"/>
      <w:marTop w:val="0"/>
      <w:marBottom w:val="0"/>
      <w:divBdr>
        <w:top w:val="none" w:sz="0" w:space="0" w:color="auto"/>
        <w:left w:val="none" w:sz="0" w:space="0" w:color="auto"/>
        <w:bottom w:val="none" w:sz="0" w:space="0" w:color="auto"/>
        <w:right w:val="none" w:sz="0" w:space="0" w:color="auto"/>
      </w:divBdr>
    </w:div>
    <w:div w:id="179243820">
      <w:bodyDiv w:val="1"/>
      <w:marLeft w:val="0"/>
      <w:marRight w:val="0"/>
      <w:marTop w:val="0"/>
      <w:marBottom w:val="0"/>
      <w:divBdr>
        <w:top w:val="none" w:sz="0" w:space="0" w:color="auto"/>
        <w:left w:val="none" w:sz="0" w:space="0" w:color="auto"/>
        <w:bottom w:val="none" w:sz="0" w:space="0" w:color="auto"/>
        <w:right w:val="none" w:sz="0" w:space="0" w:color="auto"/>
      </w:divBdr>
    </w:div>
    <w:div w:id="180093560">
      <w:bodyDiv w:val="1"/>
      <w:marLeft w:val="0"/>
      <w:marRight w:val="0"/>
      <w:marTop w:val="0"/>
      <w:marBottom w:val="0"/>
      <w:divBdr>
        <w:top w:val="none" w:sz="0" w:space="0" w:color="auto"/>
        <w:left w:val="none" w:sz="0" w:space="0" w:color="auto"/>
        <w:bottom w:val="none" w:sz="0" w:space="0" w:color="auto"/>
        <w:right w:val="none" w:sz="0" w:space="0" w:color="auto"/>
      </w:divBdr>
    </w:div>
    <w:div w:id="180436151">
      <w:bodyDiv w:val="1"/>
      <w:marLeft w:val="0"/>
      <w:marRight w:val="0"/>
      <w:marTop w:val="0"/>
      <w:marBottom w:val="0"/>
      <w:divBdr>
        <w:top w:val="none" w:sz="0" w:space="0" w:color="auto"/>
        <w:left w:val="none" w:sz="0" w:space="0" w:color="auto"/>
        <w:bottom w:val="none" w:sz="0" w:space="0" w:color="auto"/>
        <w:right w:val="none" w:sz="0" w:space="0" w:color="auto"/>
      </w:divBdr>
    </w:div>
    <w:div w:id="182403296">
      <w:bodyDiv w:val="1"/>
      <w:marLeft w:val="0"/>
      <w:marRight w:val="0"/>
      <w:marTop w:val="0"/>
      <w:marBottom w:val="0"/>
      <w:divBdr>
        <w:top w:val="none" w:sz="0" w:space="0" w:color="auto"/>
        <w:left w:val="none" w:sz="0" w:space="0" w:color="auto"/>
        <w:bottom w:val="none" w:sz="0" w:space="0" w:color="auto"/>
        <w:right w:val="none" w:sz="0" w:space="0" w:color="auto"/>
      </w:divBdr>
    </w:div>
    <w:div w:id="183177228">
      <w:bodyDiv w:val="1"/>
      <w:marLeft w:val="0"/>
      <w:marRight w:val="0"/>
      <w:marTop w:val="0"/>
      <w:marBottom w:val="0"/>
      <w:divBdr>
        <w:top w:val="none" w:sz="0" w:space="0" w:color="auto"/>
        <w:left w:val="none" w:sz="0" w:space="0" w:color="auto"/>
        <w:bottom w:val="none" w:sz="0" w:space="0" w:color="auto"/>
        <w:right w:val="none" w:sz="0" w:space="0" w:color="auto"/>
      </w:divBdr>
    </w:div>
    <w:div w:id="185752134">
      <w:bodyDiv w:val="1"/>
      <w:marLeft w:val="0"/>
      <w:marRight w:val="0"/>
      <w:marTop w:val="0"/>
      <w:marBottom w:val="0"/>
      <w:divBdr>
        <w:top w:val="none" w:sz="0" w:space="0" w:color="auto"/>
        <w:left w:val="none" w:sz="0" w:space="0" w:color="auto"/>
        <w:bottom w:val="none" w:sz="0" w:space="0" w:color="auto"/>
        <w:right w:val="none" w:sz="0" w:space="0" w:color="auto"/>
      </w:divBdr>
    </w:div>
    <w:div w:id="187065593">
      <w:bodyDiv w:val="1"/>
      <w:marLeft w:val="0"/>
      <w:marRight w:val="0"/>
      <w:marTop w:val="0"/>
      <w:marBottom w:val="0"/>
      <w:divBdr>
        <w:top w:val="none" w:sz="0" w:space="0" w:color="auto"/>
        <w:left w:val="none" w:sz="0" w:space="0" w:color="auto"/>
        <w:bottom w:val="none" w:sz="0" w:space="0" w:color="auto"/>
        <w:right w:val="none" w:sz="0" w:space="0" w:color="auto"/>
      </w:divBdr>
    </w:div>
    <w:div w:id="188224072">
      <w:bodyDiv w:val="1"/>
      <w:marLeft w:val="0"/>
      <w:marRight w:val="0"/>
      <w:marTop w:val="0"/>
      <w:marBottom w:val="0"/>
      <w:divBdr>
        <w:top w:val="none" w:sz="0" w:space="0" w:color="auto"/>
        <w:left w:val="none" w:sz="0" w:space="0" w:color="auto"/>
        <w:bottom w:val="none" w:sz="0" w:space="0" w:color="auto"/>
        <w:right w:val="none" w:sz="0" w:space="0" w:color="auto"/>
      </w:divBdr>
    </w:div>
    <w:div w:id="20174689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862570">
      <w:bodyDiv w:val="1"/>
      <w:marLeft w:val="0"/>
      <w:marRight w:val="0"/>
      <w:marTop w:val="0"/>
      <w:marBottom w:val="0"/>
      <w:divBdr>
        <w:top w:val="none" w:sz="0" w:space="0" w:color="auto"/>
        <w:left w:val="none" w:sz="0" w:space="0" w:color="auto"/>
        <w:bottom w:val="none" w:sz="0" w:space="0" w:color="auto"/>
        <w:right w:val="none" w:sz="0" w:space="0" w:color="auto"/>
      </w:divBdr>
    </w:div>
    <w:div w:id="218446234">
      <w:bodyDiv w:val="1"/>
      <w:marLeft w:val="0"/>
      <w:marRight w:val="0"/>
      <w:marTop w:val="0"/>
      <w:marBottom w:val="0"/>
      <w:divBdr>
        <w:top w:val="none" w:sz="0" w:space="0" w:color="auto"/>
        <w:left w:val="none" w:sz="0" w:space="0" w:color="auto"/>
        <w:bottom w:val="none" w:sz="0" w:space="0" w:color="auto"/>
        <w:right w:val="none" w:sz="0" w:space="0" w:color="auto"/>
      </w:divBdr>
    </w:div>
    <w:div w:id="221673885">
      <w:bodyDiv w:val="1"/>
      <w:marLeft w:val="0"/>
      <w:marRight w:val="0"/>
      <w:marTop w:val="0"/>
      <w:marBottom w:val="0"/>
      <w:divBdr>
        <w:top w:val="none" w:sz="0" w:space="0" w:color="auto"/>
        <w:left w:val="none" w:sz="0" w:space="0" w:color="auto"/>
        <w:bottom w:val="none" w:sz="0" w:space="0" w:color="auto"/>
        <w:right w:val="none" w:sz="0" w:space="0" w:color="auto"/>
      </w:divBdr>
    </w:div>
    <w:div w:id="221911956">
      <w:bodyDiv w:val="1"/>
      <w:marLeft w:val="0"/>
      <w:marRight w:val="0"/>
      <w:marTop w:val="0"/>
      <w:marBottom w:val="0"/>
      <w:divBdr>
        <w:top w:val="none" w:sz="0" w:space="0" w:color="auto"/>
        <w:left w:val="none" w:sz="0" w:space="0" w:color="auto"/>
        <w:bottom w:val="none" w:sz="0" w:space="0" w:color="auto"/>
        <w:right w:val="none" w:sz="0" w:space="0" w:color="auto"/>
      </w:divBdr>
    </w:div>
    <w:div w:id="222254312">
      <w:bodyDiv w:val="1"/>
      <w:marLeft w:val="0"/>
      <w:marRight w:val="0"/>
      <w:marTop w:val="0"/>
      <w:marBottom w:val="0"/>
      <w:divBdr>
        <w:top w:val="none" w:sz="0" w:space="0" w:color="auto"/>
        <w:left w:val="none" w:sz="0" w:space="0" w:color="auto"/>
        <w:bottom w:val="none" w:sz="0" w:space="0" w:color="auto"/>
        <w:right w:val="none" w:sz="0" w:space="0" w:color="auto"/>
      </w:divBdr>
    </w:div>
    <w:div w:id="223763244">
      <w:bodyDiv w:val="1"/>
      <w:marLeft w:val="0"/>
      <w:marRight w:val="0"/>
      <w:marTop w:val="0"/>
      <w:marBottom w:val="0"/>
      <w:divBdr>
        <w:top w:val="none" w:sz="0" w:space="0" w:color="auto"/>
        <w:left w:val="none" w:sz="0" w:space="0" w:color="auto"/>
        <w:bottom w:val="none" w:sz="0" w:space="0" w:color="auto"/>
        <w:right w:val="none" w:sz="0" w:space="0" w:color="auto"/>
      </w:divBdr>
    </w:div>
    <w:div w:id="226494982">
      <w:bodyDiv w:val="1"/>
      <w:marLeft w:val="0"/>
      <w:marRight w:val="0"/>
      <w:marTop w:val="0"/>
      <w:marBottom w:val="0"/>
      <w:divBdr>
        <w:top w:val="none" w:sz="0" w:space="0" w:color="auto"/>
        <w:left w:val="none" w:sz="0" w:space="0" w:color="auto"/>
        <w:bottom w:val="none" w:sz="0" w:space="0" w:color="auto"/>
        <w:right w:val="none" w:sz="0" w:space="0" w:color="auto"/>
      </w:divBdr>
    </w:div>
    <w:div w:id="228999085">
      <w:bodyDiv w:val="1"/>
      <w:marLeft w:val="0"/>
      <w:marRight w:val="0"/>
      <w:marTop w:val="0"/>
      <w:marBottom w:val="0"/>
      <w:divBdr>
        <w:top w:val="none" w:sz="0" w:space="0" w:color="auto"/>
        <w:left w:val="none" w:sz="0" w:space="0" w:color="auto"/>
        <w:bottom w:val="none" w:sz="0" w:space="0" w:color="auto"/>
        <w:right w:val="none" w:sz="0" w:space="0" w:color="auto"/>
      </w:divBdr>
    </w:div>
    <w:div w:id="233131420">
      <w:bodyDiv w:val="1"/>
      <w:marLeft w:val="0"/>
      <w:marRight w:val="0"/>
      <w:marTop w:val="0"/>
      <w:marBottom w:val="0"/>
      <w:divBdr>
        <w:top w:val="none" w:sz="0" w:space="0" w:color="auto"/>
        <w:left w:val="none" w:sz="0" w:space="0" w:color="auto"/>
        <w:bottom w:val="none" w:sz="0" w:space="0" w:color="auto"/>
        <w:right w:val="none" w:sz="0" w:space="0" w:color="auto"/>
      </w:divBdr>
    </w:div>
    <w:div w:id="233976315">
      <w:bodyDiv w:val="1"/>
      <w:marLeft w:val="0"/>
      <w:marRight w:val="0"/>
      <w:marTop w:val="0"/>
      <w:marBottom w:val="0"/>
      <w:divBdr>
        <w:top w:val="none" w:sz="0" w:space="0" w:color="auto"/>
        <w:left w:val="none" w:sz="0" w:space="0" w:color="auto"/>
        <w:bottom w:val="none" w:sz="0" w:space="0" w:color="auto"/>
        <w:right w:val="none" w:sz="0" w:space="0" w:color="auto"/>
      </w:divBdr>
    </w:div>
    <w:div w:id="234436551">
      <w:bodyDiv w:val="1"/>
      <w:marLeft w:val="0"/>
      <w:marRight w:val="0"/>
      <w:marTop w:val="0"/>
      <w:marBottom w:val="0"/>
      <w:divBdr>
        <w:top w:val="none" w:sz="0" w:space="0" w:color="auto"/>
        <w:left w:val="none" w:sz="0" w:space="0" w:color="auto"/>
        <w:bottom w:val="none" w:sz="0" w:space="0" w:color="auto"/>
        <w:right w:val="none" w:sz="0" w:space="0" w:color="auto"/>
      </w:divBdr>
    </w:div>
    <w:div w:id="237784654">
      <w:bodyDiv w:val="1"/>
      <w:marLeft w:val="0"/>
      <w:marRight w:val="0"/>
      <w:marTop w:val="0"/>
      <w:marBottom w:val="0"/>
      <w:divBdr>
        <w:top w:val="none" w:sz="0" w:space="0" w:color="auto"/>
        <w:left w:val="none" w:sz="0" w:space="0" w:color="auto"/>
        <w:bottom w:val="none" w:sz="0" w:space="0" w:color="auto"/>
        <w:right w:val="none" w:sz="0" w:space="0" w:color="auto"/>
      </w:divBdr>
    </w:div>
    <w:div w:id="240066585">
      <w:bodyDiv w:val="1"/>
      <w:marLeft w:val="0"/>
      <w:marRight w:val="0"/>
      <w:marTop w:val="0"/>
      <w:marBottom w:val="0"/>
      <w:divBdr>
        <w:top w:val="none" w:sz="0" w:space="0" w:color="auto"/>
        <w:left w:val="none" w:sz="0" w:space="0" w:color="auto"/>
        <w:bottom w:val="none" w:sz="0" w:space="0" w:color="auto"/>
        <w:right w:val="none" w:sz="0" w:space="0" w:color="auto"/>
      </w:divBdr>
    </w:div>
    <w:div w:id="241987409">
      <w:bodyDiv w:val="1"/>
      <w:marLeft w:val="0"/>
      <w:marRight w:val="0"/>
      <w:marTop w:val="0"/>
      <w:marBottom w:val="0"/>
      <w:divBdr>
        <w:top w:val="none" w:sz="0" w:space="0" w:color="auto"/>
        <w:left w:val="none" w:sz="0" w:space="0" w:color="auto"/>
        <w:bottom w:val="none" w:sz="0" w:space="0" w:color="auto"/>
        <w:right w:val="none" w:sz="0" w:space="0" w:color="auto"/>
      </w:divBdr>
    </w:div>
    <w:div w:id="241988583">
      <w:bodyDiv w:val="1"/>
      <w:marLeft w:val="0"/>
      <w:marRight w:val="0"/>
      <w:marTop w:val="0"/>
      <w:marBottom w:val="0"/>
      <w:divBdr>
        <w:top w:val="none" w:sz="0" w:space="0" w:color="auto"/>
        <w:left w:val="none" w:sz="0" w:space="0" w:color="auto"/>
        <w:bottom w:val="none" w:sz="0" w:space="0" w:color="auto"/>
        <w:right w:val="none" w:sz="0" w:space="0" w:color="auto"/>
      </w:divBdr>
    </w:div>
    <w:div w:id="244188474">
      <w:bodyDiv w:val="1"/>
      <w:marLeft w:val="0"/>
      <w:marRight w:val="0"/>
      <w:marTop w:val="0"/>
      <w:marBottom w:val="0"/>
      <w:divBdr>
        <w:top w:val="none" w:sz="0" w:space="0" w:color="auto"/>
        <w:left w:val="none" w:sz="0" w:space="0" w:color="auto"/>
        <w:bottom w:val="none" w:sz="0" w:space="0" w:color="auto"/>
        <w:right w:val="none" w:sz="0" w:space="0" w:color="auto"/>
      </w:divBdr>
    </w:div>
    <w:div w:id="244388685">
      <w:bodyDiv w:val="1"/>
      <w:marLeft w:val="0"/>
      <w:marRight w:val="0"/>
      <w:marTop w:val="0"/>
      <w:marBottom w:val="0"/>
      <w:divBdr>
        <w:top w:val="none" w:sz="0" w:space="0" w:color="auto"/>
        <w:left w:val="none" w:sz="0" w:space="0" w:color="auto"/>
        <w:bottom w:val="none" w:sz="0" w:space="0" w:color="auto"/>
        <w:right w:val="none" w:sz="0" w:space="0" w:color="auto"/>
      </w:divBdr>
    </w:div>
    <w:div w:id="248317058">
      <w:bodyDiv w:val="1"/>
      <w:marLeft w:val="0"/>
      <w:marRight w:val="0"/>
      <w:marTop w:val="0"/>
      <w:marBottom w:val="0"/>
      <w:divBdr>
        <w:top w:val="none" w:sz="0" w:space="0" w:color="auto"/>
        <w:left w:val="none" w:sz="0" w:space="0" w:color="auto"/>
        <w:bottom w:val="none" w:sz="0" w:space="0" w:color="auto"/>
        <w:right w:val="none" w:sz="0" w:space="0" w:color="auto"/>
      </w:divBdr>
    </w:div>
    <w:div w:id="255791052">
      <w:bodyDiv w:val="1"/>
      <w:marLeft w:val="0"/>
      <w:marRight w:val="0"/>
      <w:marTop w:val="0"/>
      <w:marBottom w:val="0"/>
      <w:divBdr>
        <w:top w:val="none" w:sz="0" w:space="0" w:color="auto"/>
        <w:left w:val="none" w:sz="0" w:space="0" w:color="auto"/>
        <w:bottom w:val="none" w:sz="0" w:space="0" w:color="auto"/>
        <w:right w:val="none" w:sz="0" w:space="0" w:color="auto"/>
      </w:divBdr>
    </w:div>
    <w:div w:id="256376852">
      <w:bodyDiv w:val="1"/>
      <w:marLeft w:val="0"/>
      <w:marRight w:val="0"/>
      <w:marTop w:val="0"/>
      <w:marBottom w:val="0"/>
      <w:divBdr>
        <w:top w:val="none" w:sz="0" w:space="0" w:color="auto"/>
        <w:left w:val="none" w:sz="0" w:space="0" w:color="auto"/>
        <w:bottom w:val="none" w:sz="0" w:space="0" w:color="auto"/>
        <w:right w:val="none" w:sz="0" w:space="0" w:color="auto"/>
      </w:divBdr>
    </w:div>
    <w:div w:id="256594588">
      <w:bodyDiv w:val="1"/>
      <w:marLeft w:val="0"/>
      <w:marRight w:val="0"/>
      <w:marTop w:val="0"/>
      <w:marBottom w:val="0"/>
      <w:divBdr>
        <w:top w:val="none" w:sz="0" w:space="0" w:color="auto"/>
        <w:left w:val="none" w:sz="0" w:space="0" w:color="auto"/>
        <w:bottom w:val="none" w:sz="0" w:space="0" w:color="auto"/>
        <w:right w:val="none" w:sz="0" w:space="0" w:color="auto"/>
      </w:divBdr>
    </w:div>
    <w:div w:id="258299300">
      <w:bodyDiv w:val="1"/>
      <w:marLeft w:val="0"/>
      <w:marRight w:val="0"/>
      <w:marTop w:val="0"/>
      <w:marBottom w:val="0"/>
      <w:divBdr>
        <w:top w:val="none" w:sz="0" w:space="0" w:color="auto"/>
        <w:left w:val="none" w:sz="0" w:space="0" w:color="auto"/>
        <w:bottom w:val="none" w:sz="0" w:space="0" w:color="auto"/>
        <w:right w:val="none" w:sz="0" w:space="0" w:color="auto"/>
      </w:divBdr>
    </w:div>
    <w:div w:id="278075299">
      <w:bodyDiv w:val="1"/>
      <w:marLeft w:val="0"/>
      <w:marRight w:val="0"/>
      <w:marTop w:val="0"/>
      <w:marBottom w:val="0"/>
      <w:divBdr>
        <w:top w:val="none" w:sz="0" w:space="0" w:color="auto"/>
        <w:left w:val="none" w:sz="0" w:space="0" w:color="auto"/>
        <w:bottom w:val="none" w:sz="0" w:space="0" w:color="auto"/>
        <w:right w:val="none" w:sz="0" w:space="0" w:color="auto"/>
      </w:divBdr>
    </w:div>
    <w:div w:id="280499812">
      <w:bodyDiv w:val="1"/>
      <w:marLeft w:val="0"/>
      <w:marRight w:val="0"/>
      <w:marTop w:val="0"/>
      <w:marBottom w:val="0"/>
      <w:divBdr>
        <w:top w:val="none" w:sz="0" w:space="0" w:color="auto"/>
        <w:left w:val="none" w:sz="0" w:space="0" w:color="auto"/>
        <w:bottom w:val="none" w:sz="0" w:space="0" w:color="auto"/>
        <w:right w:val="none" w:sz="0" w:space="0" w:color="auto"/>
      </w:divBdr>
    </w:div>
    <w:div w:id="283384800">
      <w:bodyDiv w:val="1"/>
      <w:marLeft w:val="0"/>
      <w:marRight w:val="0"/>
      <w:marTop w:val="0"/>
      <w:marBottom w:val="0"/>
      <w:divBdr>
        <w:top w:val="none" w:sz="0" w:space="0" w:color="auto"/>
        <w:left w:val="none" w:sz="0" w:space="0" w:color="auto"/>
        <w:bottom w:val="none" w:sz="0" w:space="0" w:color="auto"/>
        <w:right w:val="none" w:sz="0" w:space="0" w:color="auto"/>
      </w:divBdr>
    </w:div>
    <w:div w:id="284042455">
      <w:bodyDiv w:val="1"/>
      <w:marLeft w:val="0"/>
      <w:marRight w:val="0"/>
      <w:marTop w:val="0"/>
      <w:marBottom w:val="0"/>
      <w:divBdr>
        <w:top w:val="none" w:sz="0" w:space="0" w:color="auto"/>
        <w:left w:val="none" w:sz="0" w:space="0" w:color="auto"/>
        <w:bottom w:val="none" w:sz="0" w:space="0" w:color="auto"/>
        <w:right w:val="none" w:sz="0" w:space="0" w:color="auto"/>
      </w:divBdr>
    </w:div>
    <w:div w:id="285241588">
      <w:bodyDiv w:val="1"/>
      <w:marLeft w:val="0"/>
      <w:marRight w:val="0"/>
      <w:marTop w:val="0"/>
      <w:marBottom w:val="0"/>
      <w:divBdr>
        <w:top w:val="none" w:sz="0" w:space="0" w:color="auto"/>
        <w:left w:val="none" w:sz="0" w:space="0" w:color="auto"/>
        <w:bottom w:val="none" w:sz="0" w:space="0" w:color="auto"/>
        <w:right w:val="none" w:sz="0" w:space="0" w:color="auto"/>
      </w:divBdr>
    </w:div>
    <w:div w:id="293291266">
      <w:bodyDiv w:val="1"/>
      <w:marLeft w:val="0"/>
      <w:marRight w:val="0"/>
      <w:marTop w:val="0"/>
      <w:marBottom w:val="0"/>
      <w:divBdr>
        <w:top w:val="none" w:sz="0" w:space="0" w:color="auto"/>
        <w:left w:val="none" w:sz="0" w:space="0" w:color="auto"/>
        <w:bottom w:val="none" w:sz="0" w:space="0" w:color="auto"/>
        <w:right w:val="none" w:sz="0" w:space="0" w:color="auto"/>
      </w:divBdr>
    </w:div>
    <w:div w:id="300303850">
      <w:bodyDiv w:val="1"/>
      <w:marLeft w:val="0"/>
      <w:marRight w:val="0"/>
      <w:marTop w:val="0"/>
      <w:marBottom w:val="0"/>
      <w:divBdr>
        <w:top w:val="none" w:sz="0" w:space="0" w:color="auto"/>
        <w:left w:val="none" w:sz="0" w:space="0" w:color="auto"/>
        <w:bottom w:val="none" w:sz="0" w:space="0" w:color="auto"/>
        <w:right w:val="none" w:sz="0" w:space="0" w:color="auto"/>
      </w:divBdr>
    </w:div>
    <w:div w:id="300889511">
      <w:bodyDiv w:val="1"/>
      <w:marLeft w:val="0"/>
      <w:marRight w:val="0"/>
      <w:marTop w:val="0"/>
      <w:marBottom w:val="0"/>
      <w:divBdr>
        <w:top w:val="none" w:sz="0" w:space="0" w:color="auto"/>
        <w:left w:val="none" w:sz="0" w:space="0" w:color="auto"/>
        <w:bottom w:val="none" w:sz="0" w:space="0" w:color="auto"/>
        <w:right w:val="none" w:sz="0" w:space="0" w:color="auto"/>
      </w:divBdr>
    </w:div>
    <w:div w:id="305790997">
      <w:bodyDiv w:val="1"/>
      <w:marLeft w:val="0"/>
      <w:marRight w:val="0"/>
      <w:marTop w:val="0"/>
      <w:marBottom w:val="0"/>
      <w:divBdr>
        <w:top w:val="none" w:sz="0" w:space="0" w:color="auto"/>
        <w:left w:val="none" w:sz="0" w:space="0" w:color="auto"/>
        <w:bottom w:val="none" w:sz="0" w:space="0" w:color="auto"/>
        <w:right w:val="none" w:sz="0" w:space="0" w:color="auto"/>
      </w:divBdr>
    </w:div>
    <w:div w:id="308677827">
      <w:bodyDiv w:val="1"/>
      <w:marLeft w:val="0"/>
      <w:marRight w:val="0"/>
      <w:marTop w:val="0"/>
      <w:marBottom w:val="0"/>
      <w:divBdr>
        <w:top w:val="none" w:sz="0" w:space="0" w:color="auto"/>
        <w:left w:val="none" w:sz="0" w:space="0" w:color="auto"/>
        <w:bottom w:val="none" w:sz="0" w:space="0" w:color="auto"/>
        <w:right w:val="none" w:sz="0" w:space="0" w:color="auto"/>
      </w:divBdr>
    </w:div>
    <w:div w:id="308946351">
      <w:bodyDiv w:val="1"/>
      <w:marLeft w:val="0"/>
      <w:marRight w:val="0"/>
      <w:marTop w:val="0"/>
      <w:marBottom w:val="0"/>
      <w:divBdr>
        <w:top w:val="none" w:sz="0" w:space="0" w:color="auto"/>
        <w:left w:val="none" w:sz="0" w:space="0" w:color="auto"/>
        <w:bottom w:val="none" w:sz="0" w:space="0" w:color="auto"/>
        <w:right w:val="none" w:sz="0" w:space="0" w:color="auto"/>
      </w:divBdr>
    </w:div>
    <w:div w:id="310449388">
      <w:bodyDiv w:val="1"/>
      <w:marLeft w:val="0"/>
      <w:marRight w:val="0"/>
      <w:marTop w:val="0"/>
      <w:marBottom w:val="0"/>
      <w:divBdr>
        <w:top w:val="none" w:sz="0" w:space="0" w:color="auto"/>
        <w:left w:val="none" w:sz="0" w:space="0" w:color="auto"/>
        <w:bottom w:val="none" w:sz="0" w:space="0" w:color="auto"/>
        <w:right w:val="none" w:sz="0" w:space="0" w:color="auto"/>
      </w:divBdr>
    </w:div>
    <w:div w:id="316495525">
      <w:bodyDiv w:val="1"/>
      <w:marLeft w:val="0"/>
      <w:marRight w:val="0"/>
      <w:marTop w:val="0"/>
      <w:marBottom w:val="0"/>
      <w:divBdr>
        <w:top w:val="none" w:sz="0" w:space="0" w:color="auto"/>
        <w:left w:val="none" w:sz="0" w:space="0" w:color="auto"/>
        <w:bottom w:val="none" w:sz="0" w:space="0" w:color="auto"/>
        <w:right w:val="none" w:sz="0" w:space="0" w:color="auto"/>
      </w:divBdr>
    </w:div>
    <w:div w:id="317148626">
      <w:bodyDiv w:val="1"/>
      <w:marLeft w:val="0"/>
      <w:marRight w:val="0"/>
      <w:marTop w:val="0"/>
      <w:marBottom w:val="0"/>
      <w:divBdr>
        <w:top w:val="none" w:sz="0" w:space="0" w:color="auto"/>
        <w:left w:val="none" w:sz="0" w:space="0" w:color="auto"/>
        <w:bottom w:val="none" w:sz="0" w:space="0" w:color="auto"/>
        <w:right w:val="none" w:sz="0" w:space="0" w:color="auto"/>
      </w:divBdr>
    </w:div>
    <w:div w:id="317928028">
      <w:bodyDiv w:val="1"/>
      <w:marLeft w:val="0"/>
      <w:marRight w:val="0"/>
      <w:marTop w:val="0"/>
      <w:marBottom w:val="0"/>
      <w:divBdr>
        <w:top w:val="none" w:sz="0" w:space="0" w:color="auto"/>
        <w:left w:val="none" w:sz="0" w:space="0" w:color="auto"/>
        <w:bottom w:val="none" w:sz="0" w:space="0" w:color="auto"/>
        <w:right w:val="none" w:sz="0" w:space="0" w:color="auto"/>
      </w:divBdr>
    </w:div>
    <w:div w:id="324482900">
      <w:bodyDiv w:val="1"/>
      <w:marLeft w:val="0"/>
      <w:marRight w:val="0"/>
      <w:marTop w:val="0"/>
      <w:marBottom w:val="0"/>
      <w:divBdr>
        <w:top w:val="none" w:sz="0" w:space="0" w:color="auto"/>
        <w:left w:val="none" w:sz="0" w:space="0" w:color="auto"/>
        <w:bottom w:val="none" w:sz="0" w:space="0" w:color="auto"/>
        <w:right w:val="none" w:sz="0" w:space="0" w:color="auto"/>
      </w:divBdr>
    </w:div>
    <w:div w:id="325090879">
      <w:bodyDiv w:val="1"/>
      <w:marLeft w:val="0"/>
      <w:marRight w:val="0"/>
      <w:marTop w:val="0"/>
      <w:marBottom w:val="0"/>
      <w:divBdr>
        <w:top w:val="none" w:sz="0" w:space="0" w:color="auto"/>
        <w:left w:val="none" w:sz="0" w:space="0" w:color="auto"/>
        <w:bottom w:val="none" w:sz="0" w:space="0" w:color="auto"/>
        <w:right w:val="none" w:sz="0" w:space="0" w:color="auto"/>
      </w:divBdr>
    </w:div>
    <w:div w:id="326172676">
      <w:bodyDiv w:val="1"/>
      <w:marLeft w:val="0"/>
      <w:marRight w:val="0"/>
      <w:marTop w:val="0"/>
      <w:marBottom w:val="0"/>
      <w:divBdr>
        <w:top w:val="none" w:sz="0" w:space="0" w:color="auto"/>
        <w:left w:val="none" w:sz="0" w:space="0" w:color="auto"/>
        <w:bottom w:val="none" w:sz="0" w:space="0" w:color="auto"/>
        <w:right w:val="none" w:sz="0" w:space="0" w:color="auto"/>
      </w:divBdr>
    </w:div>
    <w:div w:id="331491005">
      <w:bodyDiv w:val="1"/>
      <w:marLeft w:val="0"/>
      <w:marRight w:val="0"/>
      <w:marTop w:val="0"/>
      <w:marBottom w:val="0"/>
      <w:divBdr>
        <w:top w:val="none" w:sz="0" w:space="0" w:color="auto"/>
        <w:left w:val="none" w:sz="0" w:space="0" w:color="auto"/>
        <w:bottom w:val="none" w:sz="0" w:space="0" w:color="auto"/>
        <w:right w:val="none" w:sz="0" w:space="0" w:color="auto"/>
      </w:divBdr>
    </w:div>
    <w:div w:id="33156542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158526">
      <w:bodyDiv w:val="1"/>
      <w:marLeft w:val="0"/>
      <w:marRight w:val="0"/>
      <w:marTop w:val="0"/>
      <w:marBottom w:val="0"/>
      <w:divBdr>
        <w:top w:val="none" w:sz="0" w:space="0" w:color="auto"/>
        <w:left w:val="none" w:sz="0" w:space="0" w:color="auto"/>
        <w:bottom w:val="none" w:sz="0" w:space="0" w:color="auto"/>
        <w:right w:val="none" w:sz="0" w:space="0" w:color="auto"/>
      </w:divBdr>
    </w:div>
    <w:div w:id="342975591">
      <w:bodyDiv w:val="1"/>
      <w:marLeft w:val="0"/>
      <w:marRight w:val="0"/>
      <w:marTop w:val="0"/>
      <w:marBottom w:val="0"/>
      <w:divBdr>
        <w:top w:val="none" w:sz="0" w:space="0" w:color="auto"/>
        <w:left w:val="none" w:sz="0" w:space="0" w:color="auto"/>
        <w:bottom w:val="none" w:sz="0" w:space="0" w:color="auto"/>
        <w:right w:val="none" w:sz="0" w:space="0" w:color="auto"/>
      </w:divBdr>
    </w:div>
    <w:div w:id="343361177">
      <w:bodyDiv w:val="1"/>
      <w:marLeft w:val="0"/>
      <w:marRight w:val="0"/>
      <w:marTop w:val="0"/>
      <w:marBottom w:val="0"/>
      <w:divBdr>
        <w:top w:val="none" w:sz="0" w:space="0" w:color="auto"/>
        <w:left w:val="none" w:sz="0" w:space="0" w:color="auto"/>
        <w:bottom w:val="none" w:sz="0" w:space="0" w:color="auto"/>
        <w:right w:val="none" w:sz="0" w:space="0" w:color="auto"/>
      </w:divBdr>
    </w:div>
    <w:div w:id="343900057">
      <w:bodyDiv w:val="1"/>
      <w:marLeft w:val="0"/>
      <w:marRight w:val="0"/>
      <w:marTop w:val="0"/>
      <w:marBottom w:val="0"/>
      <w:divBdr>
        <w:top w:val="none" w:sz="0" w:space="0" w:color="auto"/>
        <w:left w:val="none" w:sz="0" w:space="0" w:color="auto"/>
        <w:bottom w:val="none" w:sz="0" w:space="0" w:color="auto"/>
        <w:right w:val="none" w:sz="0" w:space="0" w:color="auto"/>
      </w:divBdr>
    </w:div>
    <w:div w:id="346296037">
      <w:bodyDiv w:val="1"/>
      <w:marLeft w:val="0"/>
      <w:marRight w:val="0"/>
      <w:marTop w:val="0"/>
      <w:marBottom w:val="0"/>
      <w:divBdr>
        <w:top w:val="none" w:sz="0" w:space="0" w:color="auto"/>
        <w:left w:val="none" w:sz="0" w:space="0" w:color="auto"/>
        <w:bottom w:val="none" w:sz="0" w:space="0" w:color="auto"/>
        <w:right w:val="none" w:sz="0" w:space="0" w:color="auto"/>
      </w:divBdr>
    </w:div>
    <w:div w:id="347219791">
      <w:bodyDiv w:val="1"/>
      <w:marLeft w:val="0"/>
      <w:marRight w:val="0"/>
      <w:marTop w:val="0"/>
      <w:marBottom w:val="0"/>
      <w:divBdr>
        <w:top w:val="none" w:sz="0" w:space="0" w:color="auto"/>
        <w:left w:val="none" w:sz="0" w:space="0" w:color="auto"/>
        <w:bottom w:val="none" w:sz="0" w:space="0" w:color="auto"/>
        <w:right w:val="none" w:sz="0" w:space="0" w:color="auto"/>
      </w:divBdr>
    </w:div>
    <w:div w:id="347874000">
      <w:bodyDiv w:val="1"/>
      <w:marLeft w:val="0"/>
      <w:marRight w:val="0"/>
      <w:marTop w:val="0"/>
      <w:marBottom w:val="0"/>
      <w:divBdr>
        <w:top w:val="none" w:sz="0" w:space="0" w:color="auto"/>
        <w:left w:val="none" w:sz="0" w:space="0" w:color="auto"/>
        <w:bottom w:val="none" w:sz="0" w:space="0" w:color="auto"/>
        <w:right w:val="none" w:sz="0" w:space="0" w:color="auto"/>
      </w:divBdr>
    </w:div>
    <w:div w:id="353655999">
      <w:bodyDiv w:val="1"/>
      <w:marLeft w:val="0"/>
      <w:marRight w:val="0"/>
      <w:marTop w:val="0"/>
      <w:marBottom w:val="0"/>
      <w:divBdr>
        <w:top w:val="none" w:sz="0" w:space="0" w:color="auto"/>
        <w:left w:val="none" w:sz="0" w:space="0" w:color="auto"/>
        <w:bottom w:val="none" w:sz="0" w:space="0" w:color="auto"/>
        <w:right w:val="none" w:sz="0" w:space="0" w:color="auto"/>
      </w:divBdr>
    </w:div>
    <w:div w:id="358776211">
      <w:bodyDiv w:val="1"/>
      <w:marLeft w:val="0"/>
      <w:marRight w:val="0"/>
      <w:marTop w:val="0"/>
      <w:marBottom w:val="0"/>
      <w:divBdr>
        <w:top w:val="none" w:sz="0" w:space="0" w:color="auto"/>
        <w:left w:val="none" w:sz="0" w:space="0" w:color="auto"/>
        <w:bottom w:val="none" w:sz="0" w:space="0" w:color="auto"/>
        <w:right w:val="none" w:sz="0" w:space="0" w:color="auto"/>
      </w:divBdr>
    </w:div>
    <w:div w:id="359597539">
      <w:bodyDiv w:val="1"/>
      <w:marLeft w:val="0"/>
      <w:marRight w:val="0"/>
      <w:marTop w:val="0"/>
      <w:marBottom w:val="0"/>
      <w:divBdr>
        <w:top w:val="none" w:sz="0" w:space="0" w:color="auto"/>
        <w:left w:val="none" w:sz="0" w:space="0" w:color="auto"/>
        <w:bottom w:val="none" w:sz="0" w:space="0" w:color="auto"/>
        <w:right w:val="none" w:sz="0" w:space="0" w:color="auto"/>
      </w:divBdr>
    </w:div>
    <w:div w:id="367489924">
      <w:bodyDiv w:val="1"/>
      <w:marLeft w:val="0"/>
      <w:marRight w:val="0"/>
      <w:marTop w:val="0"/>
      <w:marBottom w:val="0"/>
      <w:divBdr>
        <w:top w:val="none" w:sz="0" w:space="0" w:color="auto"/>
        <w:left w:val="none" w:sz="0" w:space="0" w:color="auto"/>
        <w:bottom w:val="none" w:sz="0" w:space="0" w:color="auto"/>
        <w:right w:val="none" w:sz="0" w:space="0" w:color="auto"/>
      </w:divBdr>
    </w:div>
    <w:div w:id="371148996">
      <w:bodyDiv w:val="1"/>
      <w:marLeft w:val="0"/>
      <w:marRight w:val="0"/>
      <w:marTop w:val="0"/>
      <w:marBottom w:val="0"/>
      <w:divBdr>
        <w:top w:val="none" w:sz="0" w:space="0" w:color="auto"/>
        <w:left w:val="none" w:sz="0" w:space="0" w:color="auto"/>
        <w:bottom w:val="none" w:sz="0" w:space="0" w:color="auto"/>
        <w:right w:val="none" w:sz="0" w:space="0" w:color="auto"/>
      </w:divBdr>
    </w:div>
    <w:div w:id="371200362">
      <w:bodyDiv w:val="1"/>
      <w:marLeft w:val="0"/>
      <w:marRight w:val="0"/>
      <w:marTop w:val="0"/>
      <w:marBottom w:val="0"/>
      <w:divBdr>
        <w:top w:val="none" w:sz="0" w:space="0" w:color="auto"/>
        <w:left w:val="none" w:sz="0" w:space="0" w:color="auto"/>
        <w:bottom w:val="none" w:sz="0" w:space="0" w:color="auto"/>
        <w:right w:val="none" w:sz="0" w:space="0" w:color="auto"/>
      </w:divBdr>
    </w:div>
    <w:div w:id="373652099">
      <w:bodyDiv w:val="1"/>
      <w:marLeft w:val="0"/>
      <w:marRight w:val="0"/>
      <w:marTop w:val="0"/>
      <w:marBottom w:val="0"/>
      <w:divBdr>
        <w:top w:val="none" w:sz="0" w:space="0" w:color="auto"/>
        <w:left w:val="none" w:sz="0" w:space="0" w:color="auto"/>
        <w:bottom w:val="none" w:sz="0" w:space="0" w:color="auto"/>
        <w:right w:val="none" w:sz="0" w:space="0" w:color="auto"/>
      </w:divBdr>
    </w:div>
    <w:div w:id="374473029">
      <w:bodyDiv w:val="1"/>
      <w:marLeft w:val="0"/>
      <w:marRight w:val="0"/>
      <w:marTop w:val="0"/>
      <w:marBottom w:val="0"/>
      <w:divBdr>
        <w:top w:val="none" w:sz="0" w:space="0" w:color="auto"/>
        <w:left w:val="none" w:sz="0" w:space="0" w:color="auto"/>
        <w:bottom w:val="none" w:sz="0" w:space="0" w:color="auto"/>
        <w:right w:val="none" w:sz="0" w:space="0" w:color="auto"/>
      </w:divBdr>
    </w:div>
    <w:div w:id="375080417">
      <w:bodyDiv w:val="1"/>
      <w:marLeft w:val="0"/>
      <w:marRight w:val="0"/>
      <w:marTop w:val="0"/>
      <w:marBottom w:val="0"/>
      <w:divBdr>
        <w:top w:val="none" w:sz="0" w:space="0" w:color="auto"/>
        <w:left w:val="none" w:sz="0" w:space="0" w:color="auto"/>
        <w:bottom w:val="none" w:sz="0" w:space="0" w:color="auto"/>
        <w:right w:val="none" w:sz="0" w:space="0" w:color="auto"/>
      </w:divBdr>
    </w:div>
    <w:div w:id="382993414">
      <w:bodyDiv w:val="1"/>
      <w:marLeft w:val="0"/>
      <w:marRight w:val="0"/>
      <w:marTop w:val="0"/>
      <w:marBottom w:val="0"/>
      <w:divBdr>
        <w:top w:val="none" w:sz="0" w:space="0" w:color="auto"/>
        <w:left w:val="none" w:sz="0" w:space="0" w:color="auto"/>
        <w:bottom w:val="none" w:sz="0" w:space="0" w:color="auto"/>
        <w:right w:val="none" w:sz="0" w:space="0" w:color="auto"/>
      </w:divBdr>
    </w:div>
    <w:div w:id="384642085">
      <w:bodyDiv w:val="1"/>
      <w:marLeft w:val="0"/>
      <w:marRight w:val="0"/>
      <w:marTop w:val="0"/>
      <w:marBottom w:val="0"/>
      <w:divBdr>
        <w:top w:val="none" w:sz="0" w:space="0" w:color="auto"/>
        <w:left w:val="none" w:sz="0" w:space="0" w:color="auto"/>
        <w:bottom w:val="none" w:sz="0" w:space="0" w:color="auto"/>
        <w:right w:val="none" w:sz="0" w:space="0" w:color="auto"/>
      </w:divBdr>
    </w:div>
    <w:div w:id="384645305">
      <w:bodyDiv w:val="1"/>
      <w:marLeft w:val="0"/>
      <w:marRight w:val="0"/>
      <w:marTop w:val="0"/>
      <w:marBottom w:val="0"/>
      <w:divBdr>
        <w:top w:val="none" w:sz="0" w:space="0" w:color="auto"/>
        <w:left w:val="none" w:sz="0" w:space="0" w:color="auto"/>
        <w:bottom w:val="none" w:sz="0" w:space="0" w:color="auto"/>
        <w:right w:val="none" w:sz="0" w:space="0" w:color="auto"/>
      </w:divBdr>
    </w:div>
    <w:div w:id="389117487">
      <w:bodyDiv w:val="1"/>
      <w:marLeft w:val="0"/>
      <w:marRight w:val="0"/>
      <w:marTop w:val="0"/>
      <w:marBottom w:val="0"/>
      <w:divBdr>
        <w:top w:val="none" w:sz="0" w:space="0" w:color="auto"/>
        <w:left w:val="none" w:sz="0" w:space="0" w:color="auto"/>
        <w:bottom w:val="none" w:sz="0" w:space="0" w:color="auto"/>
        <w:right w:val="none" w:sz="0" w:space="0" w:color="auto"/>
      </w:divBdr>
    </w:div>
    <w:div w:id="389504156">
      <w:bodyDiv w:val="1"/>
      <w:marLeft w:val="0"/>
      <w:marRight w:val="0"/>
      <w:marTop w:val="0"/>
      <w:marBottom w:val="0"/>
      <w:divBdr>
        <w:top w:val="none" w:sz="0" w:space="0" w:color="auto"/>
        <w:left w:val="none" w:sz="0" w:space="0" w:color="auto"/>
        <w:bottom w:val="none" w:sz="0" w:space="0" w:color="auto"/>
        <w:right w:val="none" w:sz="0" w:space="0" w:color="auto"/>
      </w:divBdr>
    </w:div>
    <w:div w:id="392000114">
      <w:bodyDiv w:val="1"/>
      <w:marLeft w:val="0"/>
      <w:marRight w:val="0"/>
      <w:marTop w:val="0"/>
      <w:marBottom w:val="0"/>
      <w:divBdr>
        <w:top w:val="none" w:sz="0" w:space="0" w:color="auto"/>
        <w:left w:val="none" w:sz="0" w:space="0" w:color="auto"/>
        <w:bottom w:val="none" w:sz="0" w:space="0" w:color="auto"/>
        <w:right w:val="none" w:sz="0" w:space="0" w:color="auto"/>
      </w:divBdr>
    </w:div>
    <w:div w:id="392310282">
      <w:bodyDiv w:val="1"/>
      <w:marLeft w:val="0"/>
      <w:marRight w:val="0"/>
      <w:marTop w:val="0"/>
      <w:marBottom w:val="0"/>
      <w:divBdr>
        <w:top w:val="none" w:sz="0" w:space="0" w:color="auto"/>
        <w:left w:val="none" w:sz="0" w:space="0" w:color="auto"/>
        <w:bottom w:val="none" w:sz="0" w:space="0" w:color="auto"/>
        <w:right w:val="none" w:sz="0" w:space="0" w:color="auto"/>
      </w:divBdr>
    </w:div>
    <w:div w:id="394284235">
      <w:bodyDiv w:val="1"/>
      <w:marLeft w:val="0"/>
      <w:marRight w:val="0"/>
      <w:marTop w:val="0"/>
      <w:marBottom w:val="0"/>
      <w:divBdr>
        <w:top w:val="none" w:sz="0" w:space="0" w:color="auto"/>
        <w:left w:val="none" w:sz="0" w:space="0" w:color="auto"/>
        <w:bottom w:val="none" w:sz="0" w:space="0" w:color="auto"/>
        <w:right w:val="none" w:sz="0" w:space="0" w:color="auto"/>
      </w:divBdr>
    </w:div>
    <w:div w:id="394820232">
      <w:bodyDiv w:val="1"/>
      <w:marLeft w:val="0"/>
      <w:marRight w:val="0"/>
      <w:marTop w:val="0"/>
      <w:marBottom w:val="0"/>
      <w:divBdr>
        <w:top w:val="none" w:sz="0" w:space="0" w:color="auto"/>
        <w:left w:val="none" w:sz="0" w:space="0" w:color="auto"/>
        <w:bottom w:val="none" w:sz="0" w:space="0" w:color="auto"/>
        <w:right w:val="none" w:sz="0" w:space="0" w:color="auto"/>
      </w:divBdr>
    </w:div>
    <w:div w:id="399330173">
      <w:bodyDiv w:val="1"/>
      <w:marLeft w:val="0"/>
      <w:marRight w:val="0"/>
      <w:marTop w:val="0"/>
      <w:marBottom w:val="0"/>
      <w:divBdr>
        <w:top w:val="none" w:sz="0" w:space="0" w:color="auto"/>
        <w:left w:val="none" w:sz="0" w:space="0" w:color="auto"/>
        <w:bottom w:val="none" w:sz="0" w:space="0" w:color="auto"/>
        <w:right w:val="none" w:sz="0" w:space="0" w:color="auto"/>
      </w:divBdr>
    </w:div>
    <w:div w:id="399788247">
      <w:bodyDiv w:val="1"/>
      <w:marLeft w:val="0"/>
      <w:marRight w:val="0"/>
      <w:marTop w:val="0"/>
      <w:marBottom w:val="0"/>
      <w:divBdr>
        <w:top w:val="none" w:sz="0" w:space="0" w:color="auto"/>
        <w:left w:val="none" w:sz="0" w:space="0" w:color="auto"/>
        <w:bottom w:val="none" w:sz="0" w:space="0" w:color="auto"/>
        <w:right w:val="none" w:sz="0" w:space="0" w:color="auto"/>
      </w:divBdr>
    </w:div>
    <w:div w:id="400949345">
      <w:bodyDiv w:val="1"/>
      <w:marLeft w:val="0"/>
      <w:marRight w:val="0"/>
      <w:marTop w:val="0"/>
      <w:marBottom w:val="0"/>
      <w:divBdr>
        <w:top w:val="none" w:sz="0" w:space="0" w:color="auto"/>
        <w:left w:val="none" w:sz="0" w:space="0" w:color="auto"/>
        <w:bottom w:val="none" w:sz="0" w:space="0" w:color="auto"/>
        <w:right w:val="none" w:sz="0" w:space="0" w:color="auto"/>
      </w:divBdr>
    </w:div>
    <w:div w:id="405995745">
      <w:bodyDiv w:val="1"/>
      <w:marLeft w:val="0"/>
      <w:marRight w:val="0"/>
      <w:marTop w:val="0"/>
      <w:marBottom w:val="0"/>
      <w:divBdr>
        <w:top w:val="none" w:sz="0" w:space="0" w:color="auto"/>
        <w:left w:val="none" w:sz="0" w:space="0" w:color="auto"/>
        <w:bottom w:val="none" w:sz="0" w:space="0" w:color="auto"/>
        <w:right w:val="none" w:sz="0" w:space="0" w:color="auto"/>
      </w:divBdr>
    </w:div>
    <w:div w:id="414594771">
      <w:bodyDiv w:val="1"/>
      <w:marLeft w:val="0"/>
      <w:marRight w:val="0"/>
      <w:marTop w:val="0"/>
      <w:marBottom w:val="0"/>
      <w:divBdr>
        <w:top w:val="none" w:sz="0" w:space="0" w:color="auto"/>
        <w:left w:val="none" w:sz="0" w:space="0" w:color="auto"/>
        <w:bottom w:val="none" w:sz="0" w:space="0" w:color="auto"/>
        <w:right w:val="none" w:sz="0" w:space="0" w:color="auto"/>
      </w:divBdr>
    </w:div>
    <w:div w:id="415057660">
      <w:bodyDiv w:val="1"/>
      <w:marLeft w:val="0"/>
      <w:marRight w:val="0"/>
      <w:marTop w:val="0"/>
      <w:marBottom w:val="0"/>
      <w:divBdr>
        <w:top w:val="none" w:sz="0" w:space="0" w:color="auto"/>
        <w:left w:val="none" w:sz="0" w:space="0" w:color="auto"/>
        <w:bottom w:val="none" w:sz="0" w:space="0" w:color="auto"/>
        <w:right w:val="none" w:sz="0" w:space="0" w:color="auto"/>
      </w:divBdr>
    </w:div>
    <w:div w:id="415513510">
      <w:bodyDiv w:val="1"/>
      <w:marLeft w:val="0"/>
      <w:marRight w:val="0"/>
      <w:marTop w:val="0"/>
      <w:marBottom w:val="0"/>
      <w:divBdr>
        <w:top w:val="none" w:sz="0" w:space="0" w:color="auto"/>
        <w:left w:val="none" w:sz="0" w:space="0" w:color="auto"/>
        <w:bottom w:val="none" w:sz="0" w:space="0" w:color="auto"/>
        <w:right w:val="none" w:sz="0" w:space="0" w:color="auto"/>
      </w:divBdr>
    </w:div>
    <w:div w:id="415827601">
      <w:bodyDiv w:val="1"/>
      <w:marLeft w:val="0"/>
      <w:marRight w:val="0"/>
      <w:marTop w:val="0"/>
      <w:marBottom w:val="0"/>
      <w:divBdr>
        <w:top w:val="none" w:sz="0" w:space="0" w:color="auto"/>
        <w:left w:val="none" w:sz="0" w:space="0" w:color="auto"/>
        <w:bottom w:val="none" w:sz="0" w:space="0" w:color="auto"/>
        <w:right w:val="none" w:sz="0" w:space="0" w:color="auto"/>
      </w:divBdr>
    </w:div>
    <w:div w:id="416024281">
      <w:bodyDiv w:val="1"/>
      <w:marLeft w:val="0"/>
      <w:marRight w:val="0"/>
      <w:marTop w:val="0"/>
      <w:marBottom w:val="0"/>
      <w:divBdr>
        <w:top w:val="none" w:sz="0" w:space="0" w:color="auto"/>
        <w:left w:val="none" w:sz="0" w:space="0" w:color="auto"/>
        <w:bottom w:val="none" w:sz="0" w:space="0" w:color="auto"/>
        <w:right w:val="none" w:sz="0" w:space="0" w:color="auto"/>
      </w:divBdr>
    </w:div>
    <w:div w:id="419714393">
      <w:bodyDiv w:val="1"/>
      <w:marLeft w:val="0"/>
      <w:marRight w:val="0"/>
      <w:marTop w:val="0"/>
      <w:marBottom w:val="0"/>
      <w:divBdr>
        <w:top w:val="none" w:sz="0" w:space="0" w:color="auto"/>
        <w:left w:val="none" w:sz="0" w:space="0" w:color="auto"/>
        <w:bottom w:val="none" w:sz="0" w:space="0" w:color="auto"/>
        <w:right w:val="none" w:sz="0" w:space="0" w:color="auto"/>
      </w:divBdr>
    </w:div>
    <w:div w:id="428698679">
      <w:bodyDiv w:val="1"/>
      <w:marLeft w:val="0"/>
      <w:marRight w:val="0"/>
      <w:marTop w:val="0"/>
      <w:marBottom w:val="0"/>
      <w:divBdr>
        <w:top w:val="none" w:sz="0" w:space="0" w:color="auto"/>
        <w:left w:val="none" w:sz="0" w:space="0" w:color="auto"/>
        <w:bottom w:val="none" w:sz="0" w:space="0" w:color="auto"/>
        <w:right w:val="none" w:sz="0" w:space="0" w:color="auto"/>
      </w:divBdr>
    </w:div>
    <w:div w:id="431434764">
      <w:bodyDiv w:val="1"/>
      <w:marLeft w:val="0"/>
      <w:marRight w:val="0"/>
      <w:marTop w:val="0"/>
      <w:marBottom w:val="0"/>
      <w:divBdr>
        <w:top w:val="none" w:sz="0" w:space="0" w:color="auto"/>
        <w:left w:val="none" w:sz="0" w:space="0" w:color="auto"/>
        <w:bottom w:val="none" w:sz="0" w:space="0" w:color="auto"/>
        <w:right w:val="none" w:sz="0" w:space="0" w:color="auto"/>
      </w:divBdr>
    </w:div>
    <w:div w:id="433550516">
      <w:bodyDiv w:val="1"/>
      <w:marLeft w:val="0"/>
      <w:marRight w:val="0"/>
      <w:marTop w:val="0"/>
      <w:marBottom w:val="0"/>
      <w:divBdr>
        <w:top w:val="none" w:sz="0" w:space="0" w:color="auto"/>
        <w:left w:val="none" w:sz="0" w:space="0" w:color="auto"/>
        <w:bottom w:val="none" w:sz="0" w:space="0" w:color="auto"/>
        <w:right w:val="none" w:sz="0" w:space="0" w:color="auto"/>
      </w:divBdr>
    </w:div>
    <w:div w:id="437065084">
      <w:bodyDiv w:val="1"/>
      <w:marLeft w:val="0"/>
      <w:marRight w:val="0"/>
      <w:marTop w:val="0"/>
      <w:marBottom w:val="0"/>
      <w:divBdr>
        <w:top w:val="none" w:sz="0" w:space="0" w:color="auto"/>
        <w:left w:val="none" w:sz="0" w:space="0" w:color="auto"/>
        <w:bottom w:val="none" w:sz="0" w:space="0" w:color="auto"/>
        <w:right w:val="none" w:sz="0" w:space="0" w:color="auto"/>
      </w:divBdr>
    </w:div>
    <w:div w:id="438259470">
      <w:bodyDiv w:val="1"/>
      <w:marLeft w:val="0"/>
      <w:marRight w:val="0"/>
      <w:marTop w:val="0"/>
      <w:marBottom w:val="0"/>
      <w:divBdr>
        <w:top w:val="none" w:sz="0" w:space="0" w:color="auto"/>
        <w:left w:val="none" w:sz="0" w:space="0" w:color="auto"/>
        <w:bottom w:val="none" w:sz="0" w:space="0" w:color="auto"/>
        <w:right w:val="none" w:sz="0" w:space="0" w:color="auto"/>
      </w:divBdr>
    </w:div>
    <w:div w:id="439565171">
      <w:bodyDiv w:val="1"/>
      <w:marLeft w:val="0"/>
      <w:marRight w:val="0"/>
      <w:marTop w:val="0"/>
      <w:marBottom w:val="0"/>
      <w:divBdr>
        <w:top w:val="none" w:sz="0" w:space="0" w:color="auto"/>
        <w:left w:val="none" w:sz="0" w:space="0" w:color="auto"/>
        <w:bottom w:val="none" w:sz="0" w:space="0" w:color="auto"/>
        <w:right w:val="none" w:sz="0" w:space="0" w:color="auto"/>
      </w:divBdr>
    </w:div>
    <w:div w:id="439571954">
      <w:bodyDiv w:val="1"/>
      <w:marLeft w:val="0"/>
      <w:marRight w:val="0"/>
      <w:marTop w:val="0"/>
      <w:marBottom w:val="0"/>
      <w:divBdr>
        <w:top w:val="none" w:sz="0" w:space="0" w:color="auto"/>
        <w:left w:val="none" w:sz="0" w:space="0" w:color="auto"/>
        <w:bottom w:val="none" w:sz="0" w:space="0" w:color="auto"/>
        <w:right w:val="none" w:sz="0" w:space="0" w:color="auto"/>
      </w:divBdr>
    </w:div>
    <w:div w:id="448399633">
      <w:bodyDiv w:val="1"/>
      <w:marLeft w:val="0"/>
      <w:marRight w:val="0"/>
      <w:marTop w:val="0"/>
      <w:marBottom w:val="0"/>
      <w:divBdr>
        <w:top w:val="none" w:sz="0" w:space="0" w:color="auto"/>
        <w:left w:val="none" w:sz="0" w:space="0" w:color="auto"/>
        <w:bottom w:val="none" w:sz="0" w:space="0" w:color="auto"/>
        <w:right w:val="none" w:sz="0" w:space="0" w:color="auto"/>
      </w:divBdr>
    </w:div>
    <w:div w:id="449401577">
      <w:bodyDiv w:val="1"/>
      <w:marLeft w:val="0"/>
      <w:marRight w:val="0"/>
      <w:marTop w:val="0"/>
      <w:marBottom w:val="0"/>
      <w:divBdr>
        <w:top w:val="none" w:sz="0" w:space="0" w:color="auto"/>
        <w:left w:val="none" w:sz="0" w:space="0" w:color="auto"/>
        <w:bottom w:val="none" w:sz="0" w:space="0" w:color="auto"/>
        <w:right w:val="none" w:sz="0" w:space="0" w:color="auto"/>
      </w:divBdr>
    </w:div>
    <w:div w:id="45517880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3180398">
      <w:bodyDiv w:val="1"/>
      <w:marLeft w:val="0"/>
      <w:marRight w:val="0"/>
      <w:marTop w:val="0"/>
      <w:marBottom w:val="0"/>
      <w:divBdr>
        <w:top w:val="none" w:sz="0" w:space="0" w:color="auto"/>
        <w:left w:val="none" w:sz="0" w:space="0" w:color="auto"/>
        <w:bottom w:val="none" w:sz="0" w:space="0" w:color="auto"/>
        <w:right w:val="none" w:sz="0" w:space="0" w:color="auto"/>
      </w:divBdr>
    </w:div>
    <w:div w:id="482624089">
      <w:bodyDiv w:val="1"/>
      <w:marLeft w:val="0"/>
      <w:marRight w:val="0"/>
      <w:marTop w:val="0"/>
      <w:marBottom w:val="0"/>
      <w:divBdr>
        <w:top w:val="none" w:sz="0" w:space="0" w:color="auto"/>
        <w:left w:val="none" w:sz="0" w:space="0" w:color="auto"/>
        <w:bottom w:val="none" w:sz="0" w:space="0" w:color="auto"/>
        <w:right w:val="none" w:sz="0" w:space="0" w:color="auto"/>
      </w:divBdr>
    </w:div>
    <w:div w:id="482819072">
      <w:bodyDiv w:val="1"/>
      <w:marLeft w:val="0"/>
      <w:marRight w:val="0"/>
      <w:marTop w:val="0"/>
      <w:marBottom w:val="0"/>
      <w:divBdr>
        <w:top w:val="none" w:sz="0" w:space="0" w:color="auto"/>
        <w:left w:val="none" w:sz="0" w:space="0" w:color="auto"/>
        <w:bottom w:val="none" w:sz="0" w:space="0" w:color="auto"/>
        <w:right w:val="none" w:sz="0" w:space="0" w:color="auto"/>
      </w:divBdr>
    </w:div>
    <w:div w:id="483552337">
      <w:bodyDiv w:val="1"/>
      <w:marLeft w:val="0"/>
      <w:marRight w:val="0"/>
      <w:marTop w:val="0"/>
      <w:marBottom w:val="0"/>
      <w:divBdr>
        <w:top w:val="none" w:sz="0" w:space="0" w:color="auto"/>
        <w:left w:val="none" w:sz="0" w:space="0" w:color="auto"/>
        <w:bottom w:val="none" w:sz="0" w:space="0" w:color="auto"/>
        <w:right w:val="none" w:sz="0" w:space="0" w:color="auto"/>
      </w:divBdr>
    </w:div>
    <w:div w:id="486361428">
      <w:bodyDiv w:val="1"/>
      <w:marLeft w:val="0"/>
      <w:marRight w:val="0"/>
      <w:marTop w:val="0"/>
      <w:marBottom w:val="0"/>
      <w:divBdr>
        <w:top w:val="none" w:sz="0" w:space="0" w:color="auto"/>
        <w:left w:val="none" w:sz="0" w:space="0" w:color="auto"/>
        <w:bottom w:val="none" w:sz="0" w:space="0" w:color="auto"/>
        <w:right w:val="none" w:sz="0" w:space="0" w:color="auto"/>
      </w:divBdr>
    </w:div>
    <w:div w:id="486555186">
      <w:bodyDiv w:val="1"/>
      <w:marLeft w:val="0"/>
      <w:marRight w:val="0"/>
      <w:marTop w:val="0"/>
      <w:marBottom w:val="0"/>
      <w:divBdr>
        <w:top w:val="none" w:sz="0" w:space="0" w:color="auto"/>
        <w:left w:val="none" w:sz="0" w:space="0" w:color="auto"/>
        <w:bottom w:val="none" w:sz="0" w:space="0" w:color="auto"/>
        <w:right w:val="none" w:sz="0" w:space="0" w:color="auto"/>
      </w:divBdr>
    </w:div>
    <w:div w:id="486943580">
      <w:bodyDiv w:val="1"/>
      <w:marLeft w:val="0"/>
      <w:marRight w:val="0"/>
      <w:marTop w:val="0"/>
      <w:marBottom w:val="0"/>
      <w:divBdr>
        <w:top w:val="none" w:sz="0" w:space="0" w:color="auto"/>
        <w:left w:val="none" w:sz="0" w:space="0" w:color="auto"/>
        <w:bottom w:val="none" w:sz="0" w:space="0" w:color="auto"/>
        <w:right w:val="none" w:sz="0" w:space="0" w:color="auto"/>
      </w:divBdr>
    </w:div>
    <w:div w:id="487787748">
      <w:bodyDiv w:val="1"/>
      <w:marLeft w:val="0"/>
      <w:marRight w:val="0"/>
      <w:marTop w:val="0"/>
      <w:marBottom w:val="0"/>
      <w:divBdr>
        <w:top w:val="none" w:sz="0" w:space="0" w:color="auto"/>
        <w:left w:val="none" w:sz="0" w:space="0" w:color="auto"/>
        <w:bottom w:val="none" w:sz="0" w:space="0" w:color="auto"/>
        <w:right w:val="none" w:sz="0" w:space="0" w:color="auto"/>
      </w:divBdr>
    </w:div>
    <w:div w:id="493034857">
      <w:bodyDiv w:val="1"/>
      <w:marLeft w:val="0"/>
      <w:marRight w:val="0"/>
      <w:marTop w:val="0"/>
      <w:marBottom w:val="0"/>
      <w:divBdr>
        <w:top w:val="none" w:sz="0" w:space="0" w:color="auto"/>
        <w:left w:val="none" w:sz="0" w:space="0" w:color="auto"/>
        <w:bottom w:val="none" w:sz="0" w:space="0" w:color="auto"/>
        <w:right w:val="none" w:sz="0" w:space="0" w:color="auto"/>
      </w:divBdr>
    </w:div>
    <w:div w:id="495002707">
      <w:bodyDiv w:val="1"/>
      <w:marLeft w:val="0"/>
      <w:marRight w:val="0"/>
      <w:marTop w:val="0"/>
      <w:marBottom w:val="0"/>
      <w:divBdr>
        <w:top w:val="none" w:sz="0" w:space="0" w:color="auto"/>
        <w:left w:val="none" w:sz="0" w:space="0" w:color="auto"/>
        <w:bottom w:val="none" w:sz="0" w:space="0" w:color="auto"/>
        <w:right w:val="none" w:sz="0" w:space="0" w:color="auto"/>
      </w:divBdr>
    </w:div>
    <w:div w:id="496968689">
      <w:bodyDiv w:val="1"/>
      <w:marLeft w:val="0"/>
      <w:marRight w:val="0"/>
      <w:marTop w:val="0"/>
      <w:marBottom w:val="0"/>
      <w:divBdr>
        <w:top w:val="none" w:sz="0" w:space="0" w:color="auto"/>
        <w:left w:val="none" w:sz="0" w:space="0" w:color="auto"/>
        <w:bottom w:val="none" w:sz="0" w:space="0" w:color="auto"/>
        <w:right w:val="none" w:sz="0" w:space="0" w:color="auto"/>
      </w:divBdr>
    </w:div>
    <w:div w:id="500897277">
      <w:bodyDiv w:val="1"/>
      <w:marLeft w:val="0"/>
      <w:marRight w:val="0"/>
      <w:marTop w:val="0"/>
      <w:marBottom w:val="0"/>
      <w:divBdr>
        <w:top w:val="none" w:sz="0" w:space="0" w:color="auto"/>
        <w:left w:val="none" w:sz="0" w:space="0" w:color="auto"/>
        <w:bottom w:val="none" w:sz="0" w:space="0" w:color="auto"/>
        <w:right w:val="none" w:sz="0" w:space="0" w:color="auto"/>
      </w:divBdr>
    </w:div>
    <w:div w:id="503086243">
      <w:bodyDiv w:val="1"/>
      <w:marLeft w:val="0"/>
      <w:marRight w:val="0"/>
      <w:marTop w:val="0"/>
      <w:marBottom w:val="0"/>
      <w:divBdr>
        <w:top w:val="none" w:sz="0" w:space="0" w:color="auto"/>
        <w:left w:val="none" w:sz="0" w:space="0" w:color="auto"/>
        <w:bottom w:val="none" w:sz="0" w:space="0" w:color="auto"/>
        <w:right w:val="none" w:sz="0" w:space="0" w:color="auto"/>
      </w:divBdr>
    </w:div>
    <w:div w:id="504515037">
      <w:bodyDiv w:val="1"/>
      <w:marLeft w:val="0"/>
      <w:marRight w:val="0"/>
      <w:marTop w:val="0"/>
      <w:marBottom w:val="0"/>
      <w:divBdr>
        <w:top w:val="none" w:sz="0" w:space="0" w:color="auto"/>
        <w:left w:val="none" w:sz="0" w:space="0" w:color="auto"/>
        <w:bottom w:val="none" w:sz="0" w:space="0" w:color="auto"/>
        <w:right w:val="none" w:sz="0" w:space="0" w:color="auto"/>
      </w:divBdr>
    </w:div>
    <w:div w:id="506023687">
      <w:bodyDiv w:val="1"/>
      <w:marLeft w:val="0"/>
      <w:marRight w:val="0"/>
      <w:marTop w:val="0"/>
      <w:marBottom w:val="0"/>
      <w:divBdr>
        <w:top w:val="none" w:sz="0" w:space="0" w:color="auto"/>
        <w:left w:val="none" w:sz="0" w:space="0" w:color="auto"/>
        <w:bottom w:val="none" w:sz="0" w:space="0" w:color="auto"/>
        <w:right w:val="none" w:sz="0" w:space="0" w:color="auto"/>
      </w:divBdr>
    </w:div>
    <w:div w:id="506137180">
      <w:bodyDiv w:val="1"/>
      <w:marLeft w:val="0"/>
      <w:marRight w:val="0"/>
      <w:marTop w:val="0"/>
      <w:marBottom w:val="0"/>
      <w:divBdr>
        <w:top w:val="none" w:sz="0" w:space="0" w:color="auto"/>
        <w:left w:val="none" w:sz="0" w:space="0" w:color="auto"/>
        <w:bottom w:val="none" w:sz="0" w:space="0" w:color="auto"/>
        <w:right w:val="none" w:sz="0" w:space="0" w:color="auto"/>
      </w:divBdr>
    </w:div>
    <w:div w:id="507404541">
      <w:bodyDiv w:val="1"/>
      <w:marLeft w:val="0"/>
      <w:marRight w:val="0"/>
      <w:marTop w:val="0"/>
      <w:marBottom w:val="0"/>
      <w:divBdr>
        <w:top w:val="none" w:sz="0" w:space="0" w:color="auto"/>
        <w:left w:val="none" w:sz="0" w:space="0" w:color="auto"/>
        <w:bottom w:val="none" w:sz="0" w:space="0" w:color="auto"/>
        <w:right w:val="none" w:sz="0" w:space="0" w:color="auto"/>
      </w:divBdr>
    </w:div>
    <w:div w:id="507913807">
      <w:bodyDiv w:val="1"/>
      <w:marLeft w:val="0"/>
      <w:marRight w:val="0"/>
      <w:marTop w:val="0"/>
      <w:marBottom w:val="0"/>
      <w:divBdr>
        <w:top w:val="none" w:sz="0" w:space="0" w:color="auto"/>
        <w:left w:val="none" w:sz="0" w:space="0" w:color="auto"/>
        <w:bottom w:val="none" w:sz="0" w:space="0" w:color="auto"/>
        <w:right w:val="none" w:sz="0" w:space="0" w:color="auto"/>
      </w:divBdr>
    </w:div>
    <w:div w:id="507989403">
      <w:bodyDiv w:val="1"/>
      <w:marLeft w:val="0"/>
      <w:marRight w:val="0"/>
      <w:marTop w:val="0"/>
      <w:marBottom w:val="0"/>
      <w:divBdr>
        <w:top w:val="none" w:sz="0" w:space="0" w:color="auto"/>
        <w:left w:val="none" w:sz="0" w:space="0" w:color="auto"/>
        <w:bottom w:val="none" w:sz="0" w:space="0" w:color="auto"/>
        <w:right w:val="none" w:sz="0" w:space="0" w:color="auto"/>
      </w:divBdr>
    </w:div>
    <w:div w:id="519783400">
      <w:bodyDiv w:val="1"/>
      <w:marLeft w:val="0"/>
      <w:marRight w:val="0"/>
      <w:marTop w:val="0"/>
      <w:marBottom w:val="0"/>
      <w:divBdr>
        <w:top w:val="none" w:sz="0" w:space="0" w:color="auto"/>
        <w:left w:val="none" w:sz="0" w:space="0" w:color="auto"/>
        <w:bottom w:val="none" w:sz="0" w:space="0" w:color="auto"/>
        <w:right w:val="none" w:sz="0" w:space="0" w:color="auto"/>
      </w:divBdr>
    </w:div>
    <w:div w:id="519853441">
      <w:bodyDiv w:val="1"/>
      <w:marLeft w:val="0"/>
      <w:marRight w:val="0"/>
      <w:marTop w:val="0"/>
      <w:marBottom w:val="0"/>
      <w:divBdr>
        <w:top w:val="none" w:sz="0" w:space="0" w:color="auto"/>
        <w:left w:val="none" w:sz="0" w:space="0" w:color="auto"/>
        <w:bottom w:val="none" w:sz="0" w:space="0" w:color="auto"/>
        <w:right w:val="none" w:sz="0" w:space="0" w:color="auto"/>
      </w:divBdr>
    </w:div>
    <w:div w:id="520320575">
      <w:bodyDiv w:val="1"/>
      <w:marLeft w:val="0"/>
      <w:marRight w:val="0"/>
      <w:marTop w:val="0"/>
      <w:marBottom w:val="0"/>
      <w:divBdr>
        <w:top w:val="none" w:sz="0" w:space="0" w:color="auto"/>
        <w:left w:val="none" w:sz="0" w:space="0" w:color="auto"/>
        <w:bottom w:val="none" w:sz="0" w:space="0" w:color="auto"/>
        <w:right w:val="none" w:sz="0" w:space="0" w:color="auto"/>
      </w:divBdr>
    </w:div>
    <w:div w:id="523516942">
      <w:bodyDiv w:val="1"/>
      <w:marLeft w:val="0"/>
      <w:marRight w:val="0"/>
      <w:marTop w:val="0"/>
      <w:marBottom w:val="0"/>
      <w:divBdr>
        <w:top w:val="none" w:sz="0" w:space="0" w:color="auto"/>
        <w:left w:val="none" w:sz="0" w:space="0" w:color="auto"/>
        <w:bottom w:val="none" w:sz="0" w:space="0" w:color="auto"/>
        <w:right w:val="none" w:sz="0" w:space="0" w:color="auto"/>
      </w:divBdr>
    </w:div>
    <w:div w:id="523981163">
      <w:bodyDiv w:val="1"/>
      <w:marLeft w:val="0"/>
      <w:marRight w:val="0"/>
      <w:marTop w:val="0"/>
      <w:marBottom w:val="0"/>
      <w:divBdr>
        <w:top w:val="none" w:sz="0" w:space="0" w:color="auto"/>
        <w:left w:val="none" w:sz="0" w:space="0" w:color="auto"/>
        <w:bottom w:val="none" w:sz="0" w:space="0" w:color="auto"/>
        <w:right w:val="none" w:sz="0" w:space="0" w:color="auto"/>
      </w:divBdr>
    </w:div>
    <w:div w:id="526989943">
      <w:bodyDiv w:val="1"/>
      <w:marLeft w:val="0"/>
      <w:marRight w:val="0"/>
      <w:marTop w:val="0"/>
      <w:marBottom w:val="0"/>
      <w:divBdr>
        <w:top w:val="none" w:sz="0" w:space="0" w:color="auto"/>
        <w:left w:val="none" w:sz="0" w:space="0" w:color="auto"/>
        <w:bottom w:val="none" w:sz="0" w:space="0" w:color="auto"/>
        <w:right w:val="none" w:sz="0" w:space="0" w:color="auto"/>
      </w:divBdr>
    </w:div>
    <w:div w:id="527529218">
      <w:bodyDiv w:val="1"/>
      <w:marLeft w:val="0"/>
      <w:marRight w:val="0"/>
      <w:marTop w:val="0"/>
      <w:marBottom w:val="0"/>
      <w:divBdr>
        <w:top w:val="none" w:sz="0" w:space="0" w:color="auto"/>
        <w:left w:val="none" w:sz="0" w:space="0" w:color="auto"/>
        <w:bottom w:val="none" w:sz="0" w:space="0" w:color="auto"/>
        <w:right w:val="none" w:sz="0" w:space="0" w:color="auto"/>
      </w:divBdr>
    </w:div>
    <w:div w:id="529419937">
      <w:bodyDiv w:val="1"/>
      <w:marLeft w:val="0"/>
      <w:marRight w:val="0"/>
      <w:marTop w:val="0"/>
      <w:marBottom w:val="0"/>
      <w:divBdr>
        <w:top w:val="none" w:sz="0" w:space="0" w:color="auto"/>
        <w:left w:val="none" w:sz="0" w:space="0" w:color="auto"/>
        <w:bottom w:val="none" w:sz="0" w:space="0" w:color="auto"/>
        <w:right w:val="none" w:sz="0" w:space="0" w:color="auto"/>
      </w:divBdr>
    </w:div>
    <w:div w:id="530265594">
      <w:bodyDiv w:val="1"/>
      <w:marLeft w:val="0"/>
      <w:marRight w:val="0"/>
      <w:marTop w:val="0"/>
      <w:marBottom w:val="0"/>
      <w:divBdr>
        <w:top w:val="none" w:sz="0" w:space="0" w:color="auto"/>
        <w:left w:val="none" w:sz="0" w:space="0" w:color="auto"/>
        <w:bottom w:val="none" w:sz="0" w:space="0" w:color="auto"/>
        <w:right w:val="none" w:sz="0" w:space="0" w:color="auto"/>
      </w:divBdr>
    </w:div>
    <w:div w:id="53257207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191937">
      <w:bodyDiv w:val="1"/>
      <w:marLeft w:val="0"/>
      <w:marRight w:val="0"/>
      <w:marTop w:val="0"/>
      <w:marBottom w:val="0"/>
      <w:divBdr>
        <w:top w:val="none" w:sz="0" w:space="0" w:color="auto"/>
        <w:left w:val="none" w:sz="0" w:space="0" w:color="auto"/>
        <w:bottom w:val="none" w:sz="0" w:space="0" w:color="auto"/>
        <w:right w:val="none" w:sz="0" w:space="0" w:color="auto"/>
      </w:divBdr>
    </w:div>
    <w:div w:id="542912037">
      <w:bodyDiv w:val="1"/>
      <w:marLeft w:val="0"/>
      <w:marRight w:val="0"/>
      <w:marTop w:val="0"/>
      <w:marBottom w:val="0"/>
      <w:divBdr>
        <w:top w:val="none" w:sz="0" w:space="0" w:color="auto"/>
        <w:left w:val="none" w:sz="0" w:space="0" w:color="auto"/>
        <w:bottom w:val="none" w:sz="0" w:space="0" w:color="auto"/>
        <w:right w:val="none" w:sz="0" w:space="0" w:color="auto"/>
      </w:divBdr>
    </w:div>
    <w:div w:id="544145543">
      <w:bodyDiv w:val="1"/>
      <w:marLeft w:val="0"/>
      <w:marRight w:val="0"/>
      <w:marTop w:val="0"/>
      <w:marBottom w:val="0"/>
      <w:divBdr>
        <w:top w:val="none" w:sz="0" w:space="0" w:color="auto"/>
        <w:left w:val="none" w:sz="0" w:space="0" w:color="auto"/>
        <w:bottom w:val="none" w:sz="0" w:space="0" w:color="auto"/>
        <w:right w:val="none" w:sz="0" w:space="0" w:color="auto"/>
      </w:divBdr>
    </w:div>
    <w:div w:id="548227853">
      <w:bodyDiv w:val="1"/>
      <w:marLeft w:val="0"/>
      <w:marRight w:val="0"/>
      <w:marTop w:val="0"/>
      <w:marBottom w:val="0"/>
      <w:divBdr>
        <w:top w:val="none" w:sz="0" w:space="0" w:color="auto"/>
        <w:left w:val="none" w:sz="0" w:space="0" w:color="auto"/>
        <w:bottom w:val="none" w:sz="0" w:space="0" w:color="auto"/>
        <w:right w:val="none" w:sz="0" w:space="0" w:color="auto"/>
      </w:divBdr>
    </w:div>
    <w:div w:id="548957656">
      <w:bodyDiv w:val="1"/>
      <w:marLeft w:val="0"/>
      <w:marRight w:val="0"/>
      <w:marTop w:val="0"/>
      <w:marBottom w:val="0"/>
      <w:divBdr>
        <w:top w:val="none" w:sz="0" w:space="0" w:color="auto"/>
        <w:left w:val="none" w:sz="0" w:space="0" w:color="auto"/>
        <w:bottom w:val="none" w:sz="0" w:space="0" w:color="auto"/>
        <w:right w:val="none" w:sz="0" w:space="0" w:color="auto"/>
      </w:divBdr>
    </w:div>
    <w:div w:id="553198001">
      <w:bodyDiv w:val="1"/>
      <w:marLeft w:val="0"/>
      <w:marRight w:val="0"/>
      <w:marTop w:val="0"/>
      <w:marBottom w:val="0"/>
      <w:divBdr>
        <w:top w:val="none" w:sz="0" w:space="0" w:color="auto"/>
        <w:left w:val="none" w:sz="0" w:space="0" w:color="auto"/>
        <w:bottom w:val="none" w:sz="0" w:space="0" w:color="auto"/>
        <w:right w:val="none" w:sz="0" w:space="0" w:color="auto"/>
      </w:divBdr>
    </w:div>
    <w:div w:id="554007709">
      <w:bodyDiv w:val="1"/>
      <w:marLeft w:val="0"/>
      <w:marRight w:val="0"/>
      <w:marTop w:val="0"/>
      <w:marBottom w:val="0"/>
      <w:divBdr>
        <w:top w:val="none" w:sz="0" w:space="0" w:color="auto"/>
        <w:left w:val="none" w:sz="0" w:space="0" w:color="auto"/>
        <w:bottom w:val="none" w:sz="0" w:space="0" w:color="auto"/>
        <w:right w:val="none" w:sz="0" w:space="0" w:color="auto"/>
      </w:divBdr>
    </w:div>
    <w:div w:id="554242023">
      <w:bodyDiv w:val="1"/>
      <w:marLeft w:val="0"/>
      <w:marRight w:val="0"/>
      <w:marTop w:val="0"/>
      <w:marBottom w:val="0"/>
      <w:divBdr>
        <w:top w:val="none" w:sz="0" w:space="0" w:color="auto"/>
        <w:left w:val="none" w:sz="0" w:space="0" w:color="auto"/>
        <w:bottom w:val="none" w:sz="0" w:space="0" w:color="auto"/>
        <w:right w:val="none" w:sz="0" w:space="0" w:color="auto"/>
      </w:divBdr>
    </w:div>
    <w:div w:id="559370516">
      <w:bodyDiv w:val="1"/>
      <w:marLeft w:val="0"/>
      <w:marRight w:val="0"/>
      <w:marTop w:val="0"/>
      <w:marBottom w:val="0"/>
      <w:divBdr>
        <w:top w:val="none" w:sz="0" w:space="0" w:color="auto"/>
        <w:left w:val="none" w:sz="0" w:space="0" w:color="auto"/>
        <w:bottom w:val="none" w:sz="0" w:space="0" w:color="auto"/>
        <w:right w:val="none" w:sz="0" w:space="0" w:color="auto"/>
      </w:divBdr>
    </w:div>
    <w:div w:id="565186520">
      <w:bodyDiv w:val="1"/>
      <w:marLeft w:val="0"/>
      <w:marRight w:val="0"/>
      <w:marTop w:val="0"/>
      <w:marBottom w:val="0"/>
      <w:divBdr>
        <w:top w:val="none" w:sz="0" w:space="0" w:color="auto"/>
        <w:left w:val="none" w:sz="0" w:space="0" w:color="auto"/>
        <w:bottom w:val="none" w:sz="0" w:space="0" w:color="auto"/>
        <w:right w:val="none" w:sz="0" w:space="0" w:color="auto"/>
      </w:divBdr>
    </w:div>
    <w:div w:id="566457188">
      <w:bodyDiv w:val="1"/>
      <w:marLeft w:val="0"/>
      <w:marRight w:val="0"/>
      <w:marTop w:val="0"/>
      <w:marBottom w:val="0"/>
      <w:divBdr>
        <w:top w:val="none" w:sz="0" w:space="0" w:color="auto"/>
        <w:left w:val="none" w:sz="0" w:space="0" w:color="auto"/>
        <w:bottom w:val="none" w:sz="0" w:space="0" w:color="auto"/>
        <w:right w:val="none" w:sz="0" w:space="0" w:color="auto"/>
      </w:divBdr>
    </w:div>
    <w:div w:id="566960258">
      <w:bodyDiv w:val="1"/>
      <w:marLeft w:val="0"/>
      <w:marRight w:val="0"/>
      <w:marTop w:val="0"/>
      <w:marBottom w:val="0"/>
      <w:divBdr>
        <w:top w:val="none" w:sz="0" w:space="0" w:color="auto"/>
        <w:left w:val="none" w:sz="0" w:space="0" w:color="auto"/>
        <w:bottom w:val="none" w:sz="0" w:space="0" w:color="auto"/>
        <w:right w:val="none" w:sz="0" w:space="0" w:color="auto"/>
      </w:divBdr>
    </w:div>
    <w:div w:id="569462497">
      <w:bodyDiv w:val="1"/>
      <w:marLeft w:val="0"/>
      <w:marRight w:val="0"/>
      <w:marTop w:val="0"/>
      <w:marBottom w:val="0"/>
      <w:divBdr>
        <w:top w:val="none" w:sz="0" w:space="0" w:color="auto"/>
        <w:left w:val="none" w:sz="0" w:space="0" w:color="auto"/>
        <w:bottom w:val="none" w:sz="0" w:space="0" w:color="auto"/>
        <w:right w:val="none" w:sz="0" w:space="0" w:color="auto"/>
      </w:divBdr>
    </w:div>
    <w:div w:id="571355632">
      <w:bodyDiv w:val="1"/>
      <w:marLeft w:val="0"/>
      <w:marRight w:val="0"/>
      <w:marTop w:val="0"/>
      <w:marBottom w:val="0"/>
      <w:divBdr>
        <w:top w:val="none" w:sz="0" w:space="0" w:color="auto"/>
        <w:left w:val="none" w:sz="0" w:space="0" w:color="auto"/>
        <w:bottom w:val="none" w:sz="0" w:space="0" w:color="auto"/>
        <w:right w:val="none" w:sz="0" w:space="0" w:color="auto"/>
      </w:divBdr>
    </w:div>
    <w:div w:id="577207514">
      <w:bodyDiv w:val="1"/>
      <w:marLeft w:val="0"/>
      <w:marRight w:val="0"/>
      <w:marTop w:val="0"/>
      <w:marBottom w:val="0"/>
      <w:divBdr>
        <w:top w:val="none" w:sz="0" w:space="0" w:color="auto"/>
        <w:left w:val="none" w:sz="0" w:space="0" w:color="auto"/>
        <w:bottom w:val="none" w:sz="0" w:space="0" w:color="auto"/>
        <w:right w:val="none" w:sz="0" w:space="0" w:color="auto"/>
      </w:divBdr>
    </w:div>
    <w:div w:id="578365573">
      <w:bodyDiv w:val="1"/>
      <w:marLeft w:val="0"/>
      <w:marRight w:val="0"/>
      <w:marTop w:val="0"/>
      <w:marBottom w:val="0"/>
      <w:divBdr>
        <w:top w:val="none" w:sz="0" w:space="0" w:color="auto"/>
        <w:left w:val="none" w:sz="0" w:space="0" w:color="auto"/>
        <w:bottom w:val="none" w:sz="0" w:space="0" w:color="auto"/>
        <w:right w:val="none" w:sz="0" w:space="0" w:color="auto"/>
      </w:divBdr>
    </w:div>
    <w:div w:id="578834758">
      <w:bodyDiv w:val="1"/>
      <w:marLeft w:val="0"/>
      <w:marRight w:val="0"/>
      <w:marTop w:val="0"/>
      <w:marBottom w:val="0"/>
      <w:divBdr>
        <w:top w:val="none" w:sz="0" w:space="0" w:color="auto"/>
        <w:left w:val="none" w:sz="0" w:space="0" w:color="auto"/>
        <w:bottom w:val="none" w:sz="0" w:space="0" w:color="auto"/>
        <w:right w:val="none" w:sz="0" w:space="0" w:color="auto"/>
      </w:divBdr>
    </w:div>
    <w:div w:id="582838887">
      <w:bodyDiv w:val="1"/>
      <w:marLeft w:val="0"/>
      <w:marRight w:val="0"/>
      <w:marTop w:val="0"/>
      <w:marBottom w:val="0"/>
      <w:divBdr>
        <w:top w:val="none" w:sz="0" w:space="0" w:color="auto"/>
        <w:left w:val="none" w:sz="0" w:space="0" w:color="auto"/>
        <w:bottom w:val="none" w:sz="0" w:space="0" w:color="auto"/>
        <w:right w:val="none" w:sz="0" w:space="0" w:color="auto"/>
      </w:divBdr>
    </w:div>
    <w:div w:id="583075179">
      <w:bodyDiv w:val="1"/>
      <w:marLeft w:val="0"/>
      <w:marRight w:val="0"/>
      <w:marTop w:val="0"/>
      <w:marBottom w:val="0"/>
      <w:divBdr>
        <w:top w:val="none" w:sz="0" w:space="0" w:color="auto"/>
        <w:left w:val="none" w:sz="0" w:space="0" w:color="auto"/>
        <w:bottom w:val="none" w:sz="0" w:space="0" w:color="auto"/>
        <w:right w:val="none" w:sz="0" w:space="0" w:color="auto"/>
      </w:divBdr>
    </w:div>
    <w:div w:id="587815669">
      <w:bodyDiv w:val="1"/>
      <w:marLeft w:val="0"/>
      <w:marRight w:val="0"/>
      <w:marTop w:val="0"/>
      <w:marBottom w:val="0"/>
      <w:divBdr>
        <w:top w:val="none" w:sz="0" w:space="0" w:color="auto"/>
        <w:left w:val="none" w:sz="0" w:space="0" w:color="auto"/>
        <w:bottom w:val="none" w:sz="0" w:space="0" w:color="auto"/>
        <w:right w:val="none" w:sz="0" w:space="0" w:color="auto"/>
      </w:divBdr>
    </w:div>
    <w:div w:id="590239828">
      <w:bodyDiv w:val="1"/>
      <w:marLeft w:val="0"/>
      <w:marRight w:val="0"/>
      <w:marTop w:val="0"/>
      <w:marBottom w:val="0"/>
      <w:divBdr>
        <w:top w:val="none" w:sz="0" w:space="0" w:color="auto"/>
        <w:left w:val="none" w:sz="0" w:space="0" w:color="auto"/>
        <w:bottom w:val="none" w:sz="0" w:space="0" w:color="auto"/>
        <w:right w:val="none" w:sz="0" w:space="0" w:color="auto"/>
      </w:divBdr>
    </w:div>
    <w:div w:id="592477906">
      <w:bodyDiv w:val="1"/>
      <w:marLeft w:val="0"/>
      <w:marRight w:val="0"/>
      <w:marTop w:val="0"/>
      <w:marBottom w:val="0"/>
      <w:divBdr>
        <w:top w:val="none" w:sz="0" w:space="0" w:color="auto"/>
        <w:left w:val="none" w:sz="0" w:space="0" w:color="auto"/>
        <w:bottom w:val="none" w:sz="0" w:space="0" w:color="auto"/>
        <w:right w:val="none" w:sz="0" w:space="0" w:color="auto"/>
      </w:divBdr>
    </w:div>
    <w:div w:id="597173648">
      <w:bodyDiv w:val="1"/>
      <w:marLeft w:val="0"/>
      <w:marRight w:val="0"/>
      <w:marTop w:val="0"/>
      <w:marBottom w:val="0"/>
      <w:divBdr>
        <w:top w:val="none" w:sz="0" w:space="0" w:color="auto"/>
        <w:left w:val="none" w:sz="0" w:space="0" w:color="auto"/>
        <w:bottom w:val="none" w:sz="0" w:space="0" w:color="auto"/>
        <w:right w:val="none" w:sz="0" w:space="0" w:color="auto"/>
      </w:divBdr>
    </w:div>
    <w:div w:id="597638134">
      <w:bodyDiv w:val="1"/>
      <w:marLeft w:val="0"/>
      <w:marRight w:val="0"/>
      <w:marTop w:val="0"/>
      <w:marBottom w:val="0"/>
      <w:divBdr>
        <w:top w:val="none" w:sz="0" w:space="0" w:color="auto"/>
        <w:left w:val="none" w:sz="0" w:space="0" w:color="auto"/>
        <w:bottom w:val="none" w:sz="0" w:space="0" w:color="auto"/>
        <w:right w:val="none" w:sz="0" w:space="0" w:color="auto"/>
      </w:divBdr>
    </w:div>
    <w:div w:id="598563346">
      <w:bodyDiv w:val="1"/>
      <w:marLeft w:val="0"/>
      <w:marRight w:val="0"/>
      <w:marTop w:val="0"/>
      <w:marBottom w:val="0"/>
      <w:divBdr>
        <w:top w:val="none" w:sz="0" w:space="0" w:color="auto"/>
        <w:left w:val="none" w:sz="0" w:space="0" w:color="auto"/>
        <w:bottom w:val="none" w:sz="0" w:space="0" w:color="auto"/>
        <w:right w:val="none" w:sz="0" w:space="0" w:color="auto"/>
      </w:divBdr>
    </w:div>
    <w:div w:id="603851307">
      <w:bodyDiv w:val="1"/>
      <w:marLeft w:val="0"/>
      <w:marRight w:val="0"/>
      <w:marTop w:val="0"/>
      <w:marBottom w:val="0"/>
      <w:divBdr>
        <w:top w:val="none" w:sz="0" w:space="0" w:color="auto"/>
        <w:left w:val="none" w:sz="0" w:space="0" w:color="auto"/>
        <w:bottom w:val="none" w:sz="0" w:space="0" w:color="auto"/>
        <w:right w:val="none" w:sz="0" w:space="0" w:color="auto"/>
      </w:divBdr>
    </w:div>
    <w:div w:id="604767889">
      <w:bodyDiv w:val="1"/>
      <w:marLeft w:val="0"/>
      <w:marRight w:val="0"/>
      <w:marTop w:val="0"/>
      <w:marBottom w:val="0"/>
      <w:divBdr>
        <w:top w:val="none" w:sz="0" w:space="0" w:color="auto"/>
        <w:left w:val="none" w:sz="0" w:space="0" w:color="auto"/>
        <w:bottom w:val="none" w:sz="0" w:space="0" w:color="auto"/>
        <w:right w:val="none" w:sz="0" w:space="0" w:color="auto"/>
      </w:divBdr>
    </w:div>
    <w:div w:id="605429405">
      <w:bodyDiv w:val="1"/>
      <w:marLeft w:val="0"/>
      <w:marRight w:val="0"/>
      <w:marTop w:val="0"/>
      <w:marBottom w:val="0"/>
      <w:divBdr>
        <w:top w:val="none" w:sz="0" w:space="0" w:color="auto"/>
        <w:left w:val="none" w:sz="0" w:space="0" w:color="auto"/>
        <w:bottom w:val="none" w:sz="0" w:space="0" w:color="auto"/>
        <w:right w:val="none" w:sz="0" w:space="0" w:color="auto"/>
      </w:divBdr>
    </w:div>
    <w:div w:id="610012640">
      <w:bodyDiv w:val="1"/>
      <w:marLeft w:val="0"/>
      <w:marRight w:val="0"/>
      <w:marTop w:val="0"/>
      <w:marBottom w:val="0"/>
      <w:divBdr>
        <w:top w:val="none" w:sz="0" w:space="0" w:color="auto"/>
        <w:left w:val="none" w:sz="0" w:space="0" w:color="auto"/>
        <w:bottom w:val="none" w:sz="0" w:space="0" w:color="auto"/>
        <w:right w:val="none" w:sz="0" w:space="0" w:color="auto"/>
      </w:divBdr>
    </w:div>
    <w:div w:id="619723732">
      <w:bodyDiv w:val="1"/>
      <w:marLeft w:val="0"/>
      <w:marRight w:val="0"/>
      <w:marTop w:val="0"/>
      <w:marBottom w:val="0"/>
      <w:divBdr>
        <w:top w:val="none" w:sz="0" w:space="0" w:color="auto"/>
        <w:left w:val="none" w:sz="0" w:space="0" w:color="auto"/>
        <w:bottom w:val="none" w:sz="0" w:space="0" w:color="auto"/>
        <w:right w:val="none" w:sz="0" w:space="0" w:color="auto"/>
      </w:divBdr>
    </w:div>
    <w:div w:id="621619370">
      <w:bodyDiv w:val="1"/>
      <w:marLeft w:val="0"/>
      <w:marRight w:val="0"/>
      <w:marTop w:val="0"/>
      <w:marBottom w:val="0"/>
      <w:divBdr>
        <w:top w:val="none" w:sz="0" w:space="0" w:color="auto"/>
        <w:left w:val="none" w:sz="0" w:space="0" w:color="auto"/>
        <w:bottom w:val="none" w:sz="0" w:space="0" w:color="auto"/>
        <w:right w:val="none" w:sz="0" w:space="0" w:color="auto"/>
      </w:divBdr>
    </w:div>
    <w:div w:id="624433488">
      <w:bodyDiv w:val="1"/>
      <w:marLeft w:val="0"/>
      <w:marRight w:val="0"/>
      <w:marTop w:val="0"/>
      <w:marBottom w:val="0"/>
      <w:divBdr>
        <w:top w:val="none" w:sz="0" w:space="0" w:color="auto"/>
        <w:left w:val="none" w:sz="0" w:space="0" w:color="auto"/>
        <w:bottom w:val="none" w:sz="0" w:space="0" w:color="auto"/>
        <w:right w:val="none" w:sz="0" w:space="0" w:color="auto"/>
      </w:divBdr>
    </w:div>
    <w:div w:id="630131325">
      <w:bodyDiv w:val="1"/>
      <w:marLeft w:val="0"/>
      <w:marRight w:val="0"/>
      <w:marTop w:val="0"/>
      <w:marBottom w:val="0"/>
      <w:divBdr>
        <w:top w:val="none" w:sz="0" w:space="0" w:color="auto"/>
        <w:left w:val="none" w:sz="0" w:space="0" w:color="auto"/>
        <w:bottom w:val="none" w:sz="0" w:space="0" w:color="auto"/>
        <w:right w:val="none" w:sz="0" w:space="0" w:color="auto"/>
      </w:divBdr>
    </w:div>
    <w:div w:id="633407954">
      <w:bodyDiv w:val="1"/>
      <w:marLeft w:val="0"/>
      <w:marRight w:val="0"/>
      <w:marTop w:val="0"/>
      <w:marBottom w:val="0"/>
      <w:divBdr>
        <w:top w:val="none" w:sz="0" w:space="0" w:color="auto"/>
        <w:left w:val="none" w:sz="0" w:space="0" w:color="auto"/>
        <w:bottom w:val="none" w:sz="0" w:space="0" w:color="auto"/>
        <w:right w:val="none" w:sz="0" w:space="0" w:color="auto"/>
      </w:divBdr>
    </w:div>
    <w:div w:id="635260258">
      <w:bodyDiv w:val="1"/>
      <w:marLeft w:val="0"/>
      <w:marRight w:val="0"/>
      <w:marTop w:val="0"/>
      <w:marBottom w:val="0"/>
      <w:divBdr>
        <w:top w:val="none" w:sz="0" w:space="0" w:color="auto"/>
        <w:left w:val="none" w:sz="0" w:space="0" w:color="auto"/>
        <w:bottom w:val="none" w:sz="0" w:space="0" w:color="auto"/>
        <w:right w:val="none" w:sz="0" w:space="0" w:color="auto"/>
      </w:divBdr>
    </w:div>
    <w:div w:id="638001421">
      <w:bodyDiv w:val="1"/>
      <w:marLeft w:val="0"/>
      <w:marRight w:val="0"/>
      <w:marTop w:val="0"/>
      <w:marBottom w:val="0"/>
      <w:divBdr>
        <w:top w:val="none" w:sz="0" w:space="0" w:color="auto"/>
        <w:left w:val="none" w:sz="0" w:space="0" w:color="auto"/>
        <w:bottom w:val="none" w:sz="0" w:space="0" w:color="auto"/>
        <w:right w:val="none" w:sz="0" w:space="0" w:color="auto"/>
      </w:divBdr>
    </w:div>
    <w:div w:id="638730009">
      <w:bodyDiv w:val="1"/>
      <w:marLeft w:val="0"/>
      <w:marRight w:val="0"/>
      <w:marTop w:val="0"/>
      <w:marBottom w:val="0"/>
      <w:divBdr>
        <w:top w:val="none" w:sz="0" w:space="0" w:color="auto"/>
        <w:left w:val="none" w:sz="0" w:space="0" w:color="auto"/>
        <w:bottom w:val="none" w:sz="0" w:space="0" w:color="auto"/>
        <w:right w:val="none" w:sz="0" w:space="0" w:color="auto"/>
      </w:divBdr>
    </w:div>
    <w:div w:id="639461101">
      <w:bodyDiv w:val="1"/>
      <w:marLeft w:val="0"/>
      <w:marRight w:val="0"/>
      <w:marTop w:val="0"/>
      <w:marBottom w:val="0"/>
      <w:divBdr>
        <w:top w:val="none" w:sz="0" w:space="0" w:color="auto"/>
        <w:left w:val="none" w:sz="0" w:space="0" w:color="auto"/>
        <w:bottom w:val="none" w:sz="0" w:space="0" w:color="auto"/>
        <w:right w:val="none" w:sz="0" w:space="0" w:color="auto"/>
      </w:divBdr>
    </w:div>
    <w:div w:id="641008727">
      <w:bodyDiv w:val="1"/>
      <w:marLeft w:val="0"/>
      <w:marRight w:val="0"/>
      <w:marTop w:val="0"/>
      <w:marBottom w:val="0"/>
      <w:divBdr>
        <w:top w:val="none" w:sz="0" w:space="0" w:color="auto"/>
        <w:left w:val="none" w:sz="0" w:space="0" w:color="auto"/>
        <w:bottom w:val="none" w:sz="0" w:space="0" w:color="auto"/>
        <w:right w:val="none" w:sz="0" w:space="0" w:color="auto"/>
      </w:divBdr>
    </w:div>
    <w:div w:id="641928742">
      <w:bodyDiv w:val="1"/>
      <w:marLeft w:val="0"/>
      <w:marRight w:val="0"/>
      <w:marTop w:val="0"/>
      <w:marBottom w:val="0"/>
      <w:divBdr>
        <w:top w:val="none" w:sz="0" w:space="0" w:color="auto"/>
        <w:left w:val="none" w:sz="0" w:space="0" w:color="auto"/>
        <w:bottom w:val="none" w:sz="0" w:space="0" w:color="auto"/>
        <w:right w:val="none" w:sz="0" w:space="0" w:color="auto"/>
      </w:divBdr>
    </w:div>
    <w:div w:id="643122768">
      <w:bodyDiv w:val="1"/>
      <w:marLeft w:val="0"/>
      <w:marRight w:val="0"/>
      <w:marTop w:val="0"/>
      <w:marBottom w:val="0"/>
      <w:divBdr>
        <w:top w:val="none" w:sz="0" w:space="0" w:color="auto"/>
        <w:left w:val="none" w:sz="0" w:space="0" w:color="auto"/>
        <w:bottom w:val="none" w:sz="0" w:space="0" w:color="auto"/>
        <w:right w:val="none" w:sz="0" w:space="0" w:color="auto"/>
      </w:divBdr>
    </w:div>
    <w:div w:id="644317064">
      <w:bodyDiv w:val="1"/>
      <w:marLeft w:val="0"/>
      <w:marRight w:val="0"/>
      <w:marTop w:val="0"/>
      <w:marBottom w:val="0"/>
      <w:divBdr>
        <w:top w:val="none" w:sz="0" w:space="0" w:color="auto"/>
        <w:left w:val="none" w:sz="0" w:space="0" w:color="auto"/>
        <w:bottom w:val="none" w:sz="0" w:space="0" w:color="auto"/>
        <w:right w:val="none" w:sz="0" w:space="0" w:color="auto"/>
      </w:divBdr>
    </w:div>
    <w:div w:id="645398536">
      <w:bodyDiv w:val="1"/>
      <w:marLeft w:val="0"/>
      <w:marRight w:val="0"/>
      <w:marTop w:val="0"/>
      <w:marBottom w:val="0"/>
      <w:divBdr>
        <w:top w:val="none" w:sz="0" w:space="0" w:color="auto"/>
        <w:left w:val="none" w:sz="0" w:space="0" w:color="auto"/>
        <w:bottom w:val="none" w:sz="0" w:space="0" w:color="auto"/>
        <w:right w:val="none" w:sz="0" w:space="0" w:color="auto"/>
      </w:divBdr>
    </w:div>
    <w:div w:id="649134151">
      <w:bodyDiv w:val="1"/>
      <w:marLeft w:val="0"/>
      <w:marRight w:val="0"/>
      <w:marTop w:val="0"/>
      <w:marBottom w:val="0"/>
      <w:divBdr>
        <w:top w:val="none" w:sz="0" w:space="0" w:color="auto"/>
        <w:left w:val="none" w:sz="0" w:space="0" w:color="auto"/>
        <w:bottom w:val="none" w:sz="0" w:space="0" w:color="auto"/>
        <w:right w:val="none" w:sz="0" w:space="0" w:color="auto"/>
      </w:divBdr>
    </w:div>
    <w:div w:id="649139793">
      <w:bodyDiv w:val="1"/>
      <w:marLeft w:val="0"/>
      <w:marRight w:val="0"/>
      <w:marTop w:val="0"/>
      <w:marBottom w:val="0"/>
      <w:divBdr>
        <w:top w:val="none" w:sz="0" w:space="0" w:color="auto"/>
        <w:left w:val="none" w:sz="0" w:space="0" w:color="auto"/>
        <w:bottom w:val="none" w:sz="0" w:space="0" w:color="auto"/>
        <w:right w:val="none" w:sz="0" w:space="0" w:color="auto"/>
      </w:divBdr>
    </w:div>
    <w:div w:id="650794143">
      <w:bodyDiv w:val="1"/>
      <w:marLeft w:val="0"/>
      <w:marRight w:val="0"/>
      <w:marTop w:val="0"/>
      <w:marBottom w:val="0"/>
      <w:divBdr>
        <w:top w:val="none" w:sz="0" w:space="0" w:color="auto"/>
        <w:left w:val="none" w:sz="0" w:space="0" w:color="auto"/>
        <w:bottom w:val="none" w:sz="0" w:space="0" w:color="auto"/>
        <w:right w:val="none" w:sz="0" w:space="0" w:color="auto"/>
      </w:divBdr>
    </w:div>
    <w:div w:id="655914806">
      <w:bodyDiv w:val="1"/>
      <w:marLeft w:val="0"/>
      <w:marRight w:val="0"/>
      <w:marTop w:val="0"/>
      <w:marBottom w:val="0"/>
      <w:divBdr>
        <w:top w:val="none" w:sz="0" w:space="0" w:color="auto"/>
        <w:left w:val="none" w:sz="0" w:space="0" w:color="auto"/>
        <w:bottom w:val="none" w:sz="0" w:space="0" w:color="auto"/>
        <w:right w:val="none" w:sz="0" w:space="0" w:color="auto"/>
      </w:divBdr>
    </w:div>
    <w:div w:id="657000883">
      <w:bodyDiv w:val="1"/>
      <w:marLeft w:val="0"/>
      <w:marRight w:val="0"/>
      <w:marTop w:val="0"/>
      <w:marBottom w:val="0"/>
      <w:divBdr>
        <w:top w:val="none" w:sz="0" w:space="0" w:color="auto"/>
        <w:left w:val="none" w:sz="0" w:space="0" w:color="auto"/>
        <w:bottom w:val="none" w:sz="0" w:space="0" w:color="auto"/>
        <w:right w:val="none" w:sz="0" w:space="0" w:color="auto"/>
      </w:divBdr>
    </w:div>
    <w:div w:id="662970072">
      <w:bodyDiv w:val="1"/>
      <w:marLeft w:val="0"/>
      <w:marRight w:val="0"/>
      <w:marTop w:val="0"/>
      <w:marBottom w:val="0"/>
      <w:divBdr>
        <w:top w:val="none" w:sz="0" w:space="0" w:color="auto"/>
        <w:left w:val="none" w:sz="0" w:space="0" w:color="auto"/>
        <w:bottom w:val="none" w:sz="0" w:space="0" w:color="auto"/>
        <w:right w:val="none" w:sz="0" w:space="0" w:color="auto"/>
      </w:divBdr>
    </w:div>
    <w:div w:id="663169235">
      <w:bodyDiv w:val="1"/>
      <w:marLeft w:val="0"/>
      <w:marRight w:val="0"/>
      <w:marTop w:val="0"/>
      <w:marBottom w:val="0"/>
      <w:divBdr>
        <w:top w:val="none" w:sz="0" w:space="0" w:color="auto"/>
        <w:left w:val="none" w:sz="0" w:space="0" w:color="auto"/>
        <w:bottom w:val="none" w:sz="0" w:space="0" w:color="auto"/>
        <w:right w:val="none" w:sz="0" w:space="0" w:color="auto"/>
      </w:divBdr>
    </w:div>
    <w:div w:id="663358868">
      <w:bodyDiv w:val="1"/>
      <w:marLeft w:val="0"/>
      <w:marRight w:val="0"/>
      <w:marTop w:val="0"/>
      <w:marBottom w:val="0"/>
      <w:divBdr>
        <w:top w:val="none" w:sz="0" w:space="0" w:color="auto"/>
        <w:left w:val="none" w:sz="0" w:space="0" w:color="auto"/>
        <w:bottom w:val="none" w:sz="0" w:space="0" w:color="auto"/>
        <w:right w:val="none" w:sz="0" w:space="0" w:color="auto"/>
      </w:divBdr>
    </w:div>
    <w:div w:id="668944725">
      <w:bodyDiv w:val="1"/>
      <w:marLeft w:val="0"/>
      <w:marRight w:val="0"/>
      <w:marTop w:val="0"/>
      <w:marBottom w:val="0"/>
      <w:divBdr>
        <w:top w:val="none" w:sz="0" w:space="0" w:color="auto"/>
        <w:left w:val="none" w:sz="0" w:space="0" w:color="auto"/>
        <w:bottom w:val="none" w:sz="0" w:space="0" w:color="auto"/>
        <w:right w:val="none" w:sz="0" w:space="0" w:color="auto"/>
      </w:divBdr>
    </w:div>
    <w:div w:id="675962070">
      <w:bodyDiv w:val="1"/>
      <w:marLeft w:val="0"/>
      <w:marRight w:val="0"/>
      <w:marTop w:val="0"/>
      <w:marBottom w:val="0"/>
      <w:divBdr>
        <w:top w:val="none" w:sz="0" w:space="0" w:color="auto"/>
        <w:left w:val="none" w:sz="0" w:space="0" w:color="auto"/>
        <w:bottom w:val="none" w:sz="0" w:space="0" w:color="auto"/>
        <w:right w:val="none" w:sz="0" w:space="0" w:color="auto"/>
      </w:divBdr>
    </w:div>
    <w:div w:id="683165291">
      <w:bodyDiv w:val="1"/>
      <w:marLeft w:val="0"/>
      <w:marRight w:val="0"/>
      <w:marTop w:val="0"/>
      <w:marBottom w:val="0"/>
      <w:divBdr>
        <w:top w:val="none" w:sz="0" w:space="0" w:color="auto"/>
        <w:left w:val="none" w:sz="0" w:space="0" w:color="auto"/>
        <w:bottom w:val="none" w:sz="0" w:space="0" w:color="auto"/>
        <w:right w:val="none" w:sz="0" w:space="0" w:color="auto"/>
      </w:divBdr>
    </w:div>
    <w:div w:id="684867884">
      <w:bodyDiv w:val="1"/>
      <w:marLeft w:val="0"/>
      <w:marRight w:val="0"/>
      <w:marTop w:val="0"/>
      <w:marBottom w:val="0"/>
      <w:divBdr>
        <w:top w:val="none" w:sz="0" w:space="0" w:color="auto"/>
        <w:left w:val="none" w:sz="0" w:space="0" w:color="auto"/>
        <w:bottom w:val="none" w:sz="0" w:space="0" w:color="auto"/>
        <w:right w:val="none" w:sz="0" w:space="0" w:color="auto"/>
      </w:divBdr>
    </w:div>
    <w:div w:id="684941207">
      <w:bodyDiv w:val="1"/>
      <w:marLeft w:val="0"/>
      <w:marRight w:val="0"/>
      <w:marTop w:val="0"/>
      <w:marBottom w:val="0"/>
      <w:divBdr>
        <w:top w:val="none" w:sz="0" w:space="0" w:color="auto"/>
        <w:left w:val="none" w:sz="0" w:space="0" w:color="auto"/>
        <w:bottom w:val="none" w:sz="0" w:space="0" w:color="auto"/>
        <w:right w:val="none" w:sz="0" w:space="0" w:color="auto"/>
      </w:divBdr>
    </w:div>
    <w:div w:id="695425125">
      <w:bodyDiv w:val="1"/>
      <w:marLeft w:val="0"/>
      <w:marRight w:val="0"/>
      <w:marTop w:val="0"/>
      <w:marBottom w:val="0"/>
      <w:divBdr>
        <w:top w:val="none" w:sz="0" w:space="0" w:color="auto"/>
        <w:left w:val="none" w:sz="0" w:space="0" w:color="auto"/>
        <w:bottom w:val="none" w:sz="0" w:space="0" w:color="auto"/>
        <w:right w:val="none" w:sz="0" w:space="0" w:color="auto"/>
      </w:divBdr>
    </w:div>
    <w:div w:id="697044907">
      <w:bodyDiv w:val="1"/>
      <w:marLeft w:val="0"/>
      <w:marRight w:val="0"/>
      <w:marTop w:val="0"/>
      <w:marBottom w:val="0"/>
      <w:divBdr>
        <w:top w:val="none" w:sz="0" w:space="0" w:color="auto"/>
        <w:left w:val="none" w:sz="0" w:space="0" w:color="auto"/>
        <w:bottom w:val="none" w:sz="0" w:space="0" w:color="auto"/>
        <w:right w:val="none" w:sz="0" w:space="0" w:color="auto"/>
      </w:divBdr>
    </w:div>
    <w:div w:id="697462394">
      <w:bodyDiv w:val="1"/>
      <w:marLeft w:val="0"/>
      <w:marRight w:val="0"/>
      <w:marTop w:val="0"/>
      <w:marBottom w:val="0"/>
      <w:divBdr>
        <w:top w:val="none" w:sz="0" w:space="0" w:color="auto"/>
        <w:left w:val="none" w:sz="0" w:space="0" w:color="auto"/>
        <w:bottom w:val="none" w:sz="0" w:space="0" w:color="auto"/>
        <w:right w:val="none" w:sz="0" w:space="0" w:color="auto"/>
      </w:divBdr>
    </w:div>
    <w:div w:id="702250754">
      <w:bodyDiv w:val="1"/>
      <w:marLeft w:val="0"/>
      <w:marRight w:val="0"/>
      <w:marTop w:val="0"/>
      <w:marBottom w:val="0"/>
      <w:divBdr>
        <w:top w:val="none" w:sz="0" w:space="0" w:color="auto"/>
        <w:left w:val="none" w:sz="0" w:space="0" w:color="auto"/>
        <w:bottom w:val="none" w:sz="0" w:space="0" w:color="auto"/>
        <w:right w:val="none" w:sz="0" w:space="0" w:color="auto"/>
      </w:divBdr>
    </w:div>
    <w:div w:id="704595394">
      <w:bodyDiv w:val="1"/>
      <w:marLeft w:val="0"/>
      <w:marRight w:val="0"/>
      <w:marTop w:val="0"/>
      <w:marBottom w:val="0"/>
      <w:divBdr>
        <w:top w:val="none" w:sz="0" w:space="0" w:color="auto"/>
        <w:left w:val="none" w:sz="0" w:space="0" w:color="auto"/>
        <w:bottom w:val="none" w:sz="0" w:space="0" w:color="auto"/>
        <w:right w:val="none" w:sz="0" w:space="0" w:color="auto"/>
      </w:divBdr>
    </w:div>
    <w:div w:id="705254631">
      <w:bodyDiv w:val="1"/>
      <w:marLeft w:val="0"/>
      <w:marRight w:val="0"/>
      <w:marTop w:val="0"/>
      <w:marBottom w:val="0"/>
      <w:divBdr>
        <w:top w:val="none" w:sz="0" w:space="0" w:color="auto"/>
        <w:left w:val="none" w:sz="0" w:space="0" w:color="auto"/>
        <w:bottom w:val="none" w:sz="0" w:space="0" w:color="auto"/>
        <w:right w:val="none" w:sz="0" w:space="0" w:color="auto"/>
      </w:divBdr>
    </w:div>
    <w:div w:id="706611880">
      <w:bodyDiv w:val="1"/>
      <w:marLeft w:val="0"/>
      <w:marRight w:val="0"/>
      <w:marTop w:val="0"/>
      <w:marBottom w:val="0"/>
      <w:divBdr>
        <w:top w:val="none" w:sz="0" w:space="0" w:color="auto"/>
        <w:left w:val="none" w:sz="0" w:space="0" w:color="auto"/>
        <w:bottom w:val="none" w:sz="0" w:space="0" w:color="auto"/>
        <w:right w:val="none" w:sz="0" w:space="0" w:color="auto"/>
      </w:divBdr>
    </w:div>
    <w:div w:id="708604267">
      <w:bodyDiv w:val="1"/>
      <w:marLeft w:val="0"/>
      <w:marRight w:val="0"/>
      <w:marTop w:val="0"/>
      <w:marBottom w:val="0"/>
      <w:divBdr>
        <w:top w:val="none" w:sz="0" w:space="0" w:color="auto"/>
        <w:left w:val="none" w:sz="0" w:space="0" w:color="auto"/>
        <w:bottom w:val="none" w:sz="0" w:space="0" w:color="auto"/>
        <w:right w:val="none" w:sz="0" w:space="0" w:color="auto"/>
      </w:divBdr>
    </w:div>
    <w:div w:id="711538327">
      <w:bodyDiv w:val="1"/>
      <w:marLeft w:val="0"/>
      <w:marRight w:val="0"/>
      <w:marTop w:val="0"/>
      <w:marBottom w:val="0"/>
      <w:divBdr>
        <w:top w:val="none" w:sz="0" w:space="0" w:color="auto"/>
        <w:left w:val="none" w:sz="0" w:space="0" w:color="auto"/>
        <w:bottom w:val="none" w:sz="0" w:space="0" w:color="auto"/>
        <w:right w:val="none" w:sz="0" w:space="0" w:color="auto"/>
      </w:divBdr>
    </w:div>
    <w:div w:id="712971162">
      <w:bodyDiv w:val="1"/>
      <w:marLeft w:val="0"/>
      <w:marRight w:val="0"/>
      <w:marTop w:val="0"/>
      <w:marBottom w:val="0"/>
      <w:divBdr>
        <w:top w:val="none" w:sz="0" w:space="0" w:color="auto"/>
        <w:left w:val="none" w:sz="0" w:space="0" w:color="auto"/>
        <w:bottom w:val="none" w:sz="0" w:space="0" w:color="auto"/>
        <w:right w:val="none" w:sz="0" w:space="0" w:color="auto"/>
      </w:divBdr>
    </w:div>
    <w:div w:id="716246900">
      <w:bodyDiv w:val="1"/>
      <w:marLeft w:val="0"/>
      <w:marRight w:val="0"/>
      <w:marTop w:val="0"/>
      <w:marBottom w:val="0"/>
      <w:divBdr>
        <w:top w:val="none" w:sz="0" w:space="0" w:color="auto"/>
        <w:left w:val="none" w:sz="0" w:space="0" w:color="auto"/>
        <w:bottom w:val="none" w:sz="0" w:space="0" w:color="auto"/>
        <w:right w:val="none" w:sz="0" w:space="0" w:color="auto"/>
      </w:divBdr>
    </w:div>
    <w:div w:id="717974640">
      <w:bodyDiv w:val="1"/>
      <w:marLeft w:val="0"/>
      <w:marRight w:val="0"/>
      <w:marTop w:val="0"/>
      <w:marBottom w:val="0"/>
      <w:divBdr>
        <w:top w:val="none" w:sz="0" w:space="0" w:color="auto"/>
        <w:left w:val="none" w:sz="0" w:space="0" w:color="auto"/>
        <w:bottom w:val="none" w:sz="0" w:space="0" w:color="auto"/>
        <w:right w:val="none" w:sz="0" w:space="0" w:color="auto"/>
      </w:divBdr>
    </w:div>
    <w:div w:id="718625692">
      <w:bodyDiv w:val="1"/>
      <w:marLeft w:val="0"/>
      <w:marRight w:val="0"/>
      <w:marTop w:val="0"/>
      <w:marBottom w:val="0"/>
      <w:divBdr>
        <w:top w:val="none" w:sz="0" w:space="0" w:color="auto"/>
        <w:left w:val="none" w:sz="0" w:space="0" w:color="auto"/>
        <w:bottom w:val="none" w:sz="0" w:space="0" w:color="auto"/>
        <w:right w:val="none" w:sz="0" w:space="0" w:color="auto"/>
      </w:divBdr>
    </w:div>
    <w:div w:id="726496445">
      <w:bodyDiv w:val="1"/>
      <w:marLeft w:val="0"/>
      <w:marRight w:val="0"/>
      <w:marTop w:val="0"/>
      <w:marBottom w:val="0"/>
      <w:divBdr>
        <w:top w:val="none" w:sz="0" w:space="0" w:color="auto"/>
        <w:left w:val="none" w:sz="0" w:space="0" w:color="auto"/>
        <w:bottom w:val="none" w:sz="0" w:space="0" w:color="auto"/>
        <w:right w:val="none" w:sz="0" w:space="0" w:color="auto"/>
      </w:divBdr>
    </w:div>
    <w:div w:id="726606696">
      <w:bodyDiv w:val="1"/>
      <w:marLeft w:val="0"/>
      <w:marRight w:val="0"/>
      <w:marTop w:val="0"/>
      <w:marBottom w:val="0"/>
      <w:divBdr>
        <w:top w:val="none" w:sz="0" w:space="0" w:color="auto"/>
        <w:left w:val="none" w:sz="0" w:space="0" w:color="auto"/>
        <w:bottom w:val="none" w:sz="0" w:space="0" w:color="auto"/>
        <w:right w:val="none" w:sz="0" w:space="0" w:color="auto"/>
      </w:divBdr>
    </w:div>
    <w:div w:id="727922477">
      <w:bodyDiv w:val="1"/>
      <w:marLeft w:val="0"/>
      <w:marRight w:val="0"/>
      <w:marTop w:val="0"/>
      <w:marBottom w:val="0"/>
      <w:divBdr>
        <w:top w:val="none" w:sz="0" w:space="0" w:color="auto"/>
        <w:left w:val="none" w:sz="0" w:space="0" w:color="auto"/>
        <w:bottom w:val="none" w:sz="0" w:space="0" w:color="auto"/>
        <w:right w:val="none" w:sz="0" w:space="0" w:color="auto"/>
      </w:divBdr>
    </w:div>
    <w:div w:id="729110781">
      <w:bodyDiv w:val="1"/>
      <w:marLeft w:val="0"/>
      <w:marRight w:val="0"/>
      <w:marTop w:val="0"/>
      <w:marBottom w:val="0"/>
      <w:divBdr>
        <w:top w:val="none" w:sz="0" w:space="0" w:color="auto"/>
        <w:left w:val="none" w:sz="0" w:space="0" w:color="auto"/>
        <w:bottom w:val="none" w:sz="0" w:space="0" w:color="auto"/>
        <w:right w:val="none" w:sz="0" w:space="0" w:color="auto"/>
      </w:divBdr>
    </w:div>
    <w:div w:id="731389143">
      <w:bodyDiv w:val="1"/>
      <w:marLeft w:val="0"/>
      <w:marRight w:val="0"/>
      <w:marTop w:val="0"/>
      <w:marBottom w:val="0"/>
      <w:divBdr>
        <w:top w:val="none" w:sz="0" w:space="0" w:color="auto"/>
        <w:left w:val="none" w:sz="0" w:space="0" w:color="auto"/>
        <w:bottom w:val="none" w:sz="0" w:space="0" w:color="auto"/>
        <w:right w:val="none" w:sz="0" w:space="0" w:color="auto"/>
      </w:divBdr>
    </w:div>
    <w:div w:id="736324552">
      <w:bodyDiv w:val="1"/>
      <w:marLeft w:val="0"/>
      <w:marRight w:val="0"/>
      <w:marTop w:val="0"/>
      <w:marBottom w:val="0"/>
      <w:divBdr>
        <w:top w:val="none" w:sz="0" w:space="0" w:color="auto"/>
        <w:left w:val="none" w:sz="0" w:space="0" w:color="auto"/>
        <w:bottom w:val="none" w:sz="0" w:space="0" w:color="auto"/>
        <w:right w:val="none" w:sz="0" w:space="0" w:color="auto"/>
      </w:divBdr>
    </w:div>
    <w:div w:id="739792458">
      <w:bodyDiv w:val="1"/>
      <w:marLeft w:val="0"/>
      <w:marRight w:val="0"/>
      <w:marTop w:val="0"/>
      <w:marBottom w:val="0"/>
      <w:divBdr>
        <w:top w:val="none" w:sz="0" w:space="0" w:color="auto"/>
        <w:left w:val="none" w:sz="0" w:space="0" w:color="auto"/>
        <w:bottom w:val="none" w:sz="0" w:space="0" w:color="auto"/>
        <w:right w:val="none" w:sz="0" w:space="0" w:color="auto"/>
      </w:divBdr>
    </w:div>
    <w:div w:id="742600822">
      <w:bodyDiv w:val="1"/>
      <w:marLeft w:val="0"/>
      <w:marRight w:val="0"/>
      <w:marTop w:val="0"/>
      <w:marBottom w:val="0"/>
      <w:divBdr>
        <w:top w:val="none" w:sz="0" w:space="0" w:color="auto"/>
        <w:left w:val="none" w:sz="0" w:space="0" w:color="auto"/>
        <w:bottom w:val="none" w:sz="0" w:space="0" w:color="auto"/>
        <w:right w:val="none" w:sz="0" w:space="0" w:color="auto"/>
      </w:divBdr>
    </w:div>
    <w:div w:id="742948662">
      <w:bodyDiv w:val="1"/>
      <w:marLeft w:val="0"/>
      <w:marRight w:val="0"/>
      <w:marTop w:val="0"/>
      <w:marBottom w:val="0"/>
      <w:divBdr>
        <w:top w:val="none" w:sz="0" w:space="0" w:color="auto"/>
        <w:left w:val="none" w:sz="0" w:space="0" w:color="auto"/>
        <w:bottom w:val="none" w:sz="0" w:space="0" w:color="auto"/>
        <w:right w:val="none" w:sz="0" w:space="0" w:color="auto"/>
      </w:divBdr>
    </w:div>
    <w:div w:id="744111661">
      <w:bodyDiv w:val="1"/>
      <w:marLeft w:val="0"/>
      <w:marRight w:val="0"/>
      <w:marTop w:val="0"/>
      <w:marBottom w:val="0"/>
      <w:divBdr>
        <w:top w:val="none" w:sz="0" w:space="0" w:color="auto"/>
        <w:left w:val="none" w:sz="0" w:space="0" w:color="auto"/>
        <w:bottom w:val="none" w:sz="0" w:space="0" w:color="auto"/>
        <w:right w:val="none" w:sz="0" w:space="0" w:color="auto"/>
      </w:divBdr>
    </w:div>
    <w:div w:id="752166737">
      <w:bodyDiv w:val="1"/>
      <w:marLeft w:val="0"/>
      <w:marRight w:val="0"/>
      <w:marTop w:val="0"/>
      <w:marBottom w:val="0"/>
      <w:divBdr>
        <w:top w:val="none" w:sz="0" w:space="0" w:color="auto"/>
        <w:left w:val="none" w:sz="0" w:space="0" w:color="auto"/>
        <w:bottom w:val="none" w:sz="0" w:space="0" w:color="auto"/>
        <w:right w:val="none" w:sz="0" w:space="0" w:color="auto"/>
      </w:divBdr>
    </w:div>
    <w:div w:id="753552518">
      <w:bodyDiv w:val="1"/>
      <w:marLeft w:val="0"/>
      <w:marRight w:val="0"/>
      <w:marTop w:val="0"/>
      <w:marBottom w:val="0"/>
      <w:divBdr>
        <w:top w:val="none" w:sz="0" w:space="0" w:color="auto"/>
        <w:left w:val="none" w:sz="0" w:space="0" w:color="auto"/>
        <w:bottom w:val="none" w:sz="0" w:space="0" w:color="auto"/>
        <w:right w:val="none" w:sz="0" w:space="0" w:color="auto"/>
      </w:divBdr>
    </w:div>
    <w:div w:id="757288112">
      <w:bodyDiv w:val="1"/>
      <w:marLeft w:val="0"/>
      <w:marRight w:val="0"/>
      <w:marTop w:val="0"/>
      <w:marBottom w:val="0"/>
      <w:divBdr>
        <w:top w:val="none" w:sz="0" w:space="0" w:color="auto"/>
        <w:left w:val="none" w:sz="0" w:space="0" w:color="auto"/>
        <w:bottom w:val="none" w:sz="0" w:space="0" w:color="auto"/>
        <w:right w:val="none" w:sz="0" w:space="0" w:color="auto"/>
      </w:divBdr>
    </w:div>
    <w:div w:id="759835571">
      <w:bodyDiv w:val="1"/>
      <w:marLeft w:val="0"/>
      <w:marRight w:val="0"/>
      <w:marTop w:val="0"/>
      <w:marBottom w:val="0"/>
      <w:divBdr>
        <w:top w:val="none" w:sz="0" w:space="0" w:color="auto"/>
        <w:left w:val="none" w:sz="0" w:space="0" w:color="auto"/>
        <w:bottom w:val="none" w:sz="0" w:space="0" w:color="auto"/>
        <w:right w:val="none" w:sz="0" w:space="0" w:color="auto"/>
      </w:divBdr>
    </w:div>
    <w:div w:id="760493265">
      <w:bodyDiv w:val="1"/>
      <w:marLeft w:val="0"/>
      <w:marRight w:val="0"/>
      <w:marTop w:val="0"/>
      <w:marBottom w:val="0"/>
      <w:divBdr>
        <w:top w:val="none" w:sz="0" w:space="0" w:color="auto"/>
        <w:left w:val="none" w:sz="0" w:space="0" w:color="auto"/>
        <w:bottom w:val="none" w:sz="0" w:space="0" w:color="auto"/>
        <w:right w:val="none" w:sz="0" w:space="0" w:color="auto"/>
      </w:divBdr>
    </w:div>
    <w:div w:id="760637898">
      <w:bodyDiv w:val="1"/>
      <w:marLeft w:val="0"/>
      <w:marRight w:val="0"/>
      <w:marTop w:val="0"/>
      <w:marBottom w:val="0"/>
      <w:divBdr>
        <w:top w:val="none" w:sz="0" w:space="0" w:color="auto"/>
        <w:left w:val="none" w:sz="0" w:space="0" w:color="auto"/>
        <w:bottom w:val="none" w:sz="0" w:space="0" w:color="auto"/>
        <w:right w:val="none" w:sz="0" w:space="0" w:color="auto"/>
      </w:divBdr>
    </w:div>
    <w:div w:id="762841093">
      <w:bodyDiv w:val="1"/>
      <w:marLeft w:val="0"/>
      <w:marRight w:val="0"/>
      <w:marTop w:val="0"/>
      <w:marBottom w:val="0"/>
      <w:divBdr>
        <w:top w:val="none" w:sz="0" w:space="0" w:color="auto"/>
        <w:left w:val="none" w:sz="0" w:space="0" w:color="auto"/>
        <w:bottom w:val="none" w:sz="0" w:space="0" w:color="auto"/>
        <w:right w:val="none" w:sz="0" w:space="0" w:color="auto"/>
      </w:divBdr>
    </w:div>
    <w:div w:id="763190619">
      <w:bodyDiv w:val="1"/>
      <w:marLeft w:val="0"/>
      <w:marRight w:val="0"/>
      <w:marTop w:val="0"/>
      <w:marBottom w:val="0"/>
      <w:divBdr>
        <w:top w:val="none" w:sz="0" w:space="0" w:color="auto"/>
        <w:left w:val="none" w:sz="0" w:space="0" w:color="auto"/>
        <w:bottom w:val="none" w:sz="0" w:space="0" w:color="auto"/>
        <w:right w:val="none" w:sz="0" w:space="0" w:color="auto"/>
      </w:divBdr>
    </w:div>
    <w:div w:id="764348663">
      <w:bodyDiv w:val="1"/>
      <w:marLeft w:val="0"/>
      <w:marRight w:val="0"/>
      <w:marTop w:val="0"/>
      <w:marBottom w:val="0"/>
      <w:divBdr>
        <w:top w:val="none" w:sz="0" w:space="0" w:color="auto"/>
        <w:left w:val="none" w:sz="0" w:space="0" w:color="auto"/>
        <w:bottom w:val="none" w:sz="0" w:space="0" w:color="auto"/>
        <w:right w:val="none" w:sz="0" w:space="0" w:color="auto"/>
      </w:divBdr>
    </w:div>
    <w:div w:id="765343205">
      <w:bodyDiv w:val="1"/>
      <w:marLeft w:val="0"/>
      <w:marRight w:val="0"/>
      <w:marTop w:val="0"/>
      <w:marBottom w:val="0"/>
      <w:divBdr>
        <w:top w:val="none" w:sz="0" w:space="0" w:color="auto"/>
        <w:left w:val="none" w:sz="0" w:space="0" w:color="auto"/>
        <w:bottom w:val="none" w:sz="0" w:space="0" w:color="auto"/>
        <w:right w:val="none" w:sz="0" w:space="0" w:color="auto"/>
      </w:divBdr>
    </w:div>
    <w:div w:id="768768864">
      <w:bodyDiv w:val="1"/>
      <w:marLeft w:val="0"/>
      <w:marRight w:val="0"/>
      <w:marTop w:val="0"/>
      <w:marBottom w:val="0"/>
      <w:divBdr>
        <w:top w:val="none" w:sz="0" w:space="0" w:color="auto"/>
        <w:left w:val="none" w:sz="0" w:space="0" w:color="auto"/>
        <w:bottom w:val="none" w:sz="0" w:space="0" w:color="auto"/>
        <w:right w:val="none" w:sz="0" w:space="0" w:color="auto"/>
      </w:divBdr>
    </w:div>
    <w:div w:id="775179527">
      <w:bodyDiv w:val="1"/>
      <w:marLeft w:val="0"/>
      <w:marRight w:val="0"/>
      <w:marTop w:val="0"/>
      <w:marBottom w:val="0"/>
      <w:divBdr>
        <w:top w:val="none" w:sz="0" w:space="0" w:color="auto"/>
        <w:left w:val="none" w:sz="0" w:space="0" w:color="auto"/>
        <w:bottom w:val="none" w:sz="0" w:space="0" w:color="auto"/>
        <w:right w:val="none" w:sz="0" w:space="0" w:color="auto"/>
      </w:divBdr>
    </w:div>
    <w:div w:id="776565064">
      <w:bodyDiv w:val="1"/>
      <w:marLeft w:val="0"/>
      <w:marRight w:val="0"/>
      <w:marTop w:val="0"/>
      <w:marBottom w:val="0"/>
      <w:divBdr>
        <w:top w:val="none" w:sz="0" w:space="0" w:color="auto"/>
        <w:left w:val="none" w:sz="0" w:space="0" w:color="auto"/>
        <w:bottom w:val="none" w:sz="0" w:space="0" w:color="auto"/>
        <w:right w:val="none" w:sz="0" w:space="0" w:color="auto"/>
      </w:divBdr>
    </w:div>
    <w:div w:id="777872527">
      <w:bodyDiv w:val="1"/>
      <w:marLeft w:val="0"/>
      <w:marRight w:val="0"/>
      <w:marTop w:val="0"/>
      <w:marBottom w:val="0"/>
      <w:divBdr>
        <w:top w:val="none" w:sz="0" w:space="0" w:color="auto"/>
        <w:left w:val="none" w:sz="0" w:space="0" w:color="auto"/>
        <w:bottom w:val="none" w:sz="0" w:space="0" w:color="auto"/>
        <w:right w:val="none" w:sz="0" w:space="0" w:color="auto"/>
      </w:divBdr>
    </w:div>
    <w:div w:id="778573718">
      <w:bodyDiv w:val="1"/>
      <w:marLeft w:val="0"/>
      <w:marRight w:val="0"/>
      <w:marTop w:val="0"/>
      <w:marBottom w:val="0"/>
      <w:divBdr>
        <w:top w:val="none" w:sz="0" w:space="0" w:color="auto"/>
        <w:left w:val="none" w:sz="0" w:space="0" w:color="auto"/>
        <w:bottom w:val="none" w:sz="0" w:space="0" w:color="auto"/>
        <w:right w:val="none" w:sz="0" w:space="0" w:color="auto"/>
      </w:divBdr>
    </w:div>
    <w:div w:id="779647731">
      <w:bodyDiv w:val="1"/>
      <w:marLeft w:val="0"/>
      <w:marRight w:val="0"/>
      <w:marTop w:val="0"/>
      <w:marBottom w:val="0"/>
      <w:divBdr>
        <w:top w:val="none" w:sz="0" w:space="0" w:color="auto"/>
        <w:left w:val="none" w:sz="0" w:space="0" w:color="auto"/>
        <w:bottom w:val="none" w:sz="0" w:space="0" w:color="auto"/>
        <w:right w:val="none" w:sz="0" w:space="0" w:color="auto"/>
      </w:divBdr>
    </w:div>
    <w:div w:id="781650837">
      <w:bodyDiv w:val="1"/>
      <w:marLeft w:val="0"/>
      <w:marRight w:val="0"/>
      <w:marTop w:val="0"/>
      <w:marBottom w:val="0"/>
      <w:divBdr>
        <w:top w:val="none" w:sz="0" w:space="0" w:color="auto"/>
        <w:left w:val="none" w:sz="0" w:space="0" w:color="auto"/>
        <w:bottom w:val="none" w:sz="0" w:space="0" w:color="auto"/>
        <w:right w:val="none" w:sz="0" w:space="0" w:color="auto"/>
      </w:divBdr>
    </w:div>
    <w:div w:id="781850811">
      <w:bodyDiv w:val="1"/>
      <w:marLeft w:val="0"/>
      <w:marRight w:val="0"/>
      <w:marTop w:val="0"/>
      <w:marBottom w:val="0"/>
      <w:divBdr>
        <w:top w:val="none" w:sz="0" w:space="0" w:color="auto"/>
        <w:left w:val="none" w:sz="0" w:space="0" w:color="auto"/>
        <w:bottom w:val="none" w:sz="0" w:space="0" w:color="auto"/>
        <w:right w:val="none" w:sz="0" w:space="0" w:color="auto"/>
      </w:divBdr>
    </w:div>
    <w:div w:id="789933460">
      <w:bodyDiv w:val="1"/>
      <w:marLeft w:val="0"/>
      <w:marRight w:val="0"/>
      <w:marTop w:val="0"/>
      <w:marBottom w:val="0"/>
      <w:divBdr>
        <w:top w:val="none" w:sz="0" w:space="0" w:color="auto"/>
        <w:left w:val="none" w:sz="0" w:space="0" w:color="auto"/>
        <w:bottom w:val="none" w:sz="0" w:space="0" w:color="auto"/>
        <w:right w:val="none" w:sz="0" w:space="0" w:color="auto"/>
      </w:divBdr>
    </w:div>
    <w:div w:id="792670589">
      <w:bodyDiv w:val="1"/>
      <w:marLeft w:val="0"/>
      <w:marRight w:val="0"/>
      <w:marTop w:val="0"/>
      <w:marBottom w:val="0"/>
      <w:divBdr>
        <w:top w:val="none" w:sz="0" w:space="0" w:color="auto"/>
        <w:left w:val="none" w:sz="0" w:space="0" w:color="auto"/>
        <w:bottom w:val="none" w:sz="0" w:space="0" w:color="auto"/>
        <w:right w:val="none" w:sz="0" w:space="0" w:color="auto"/>
      </w:divBdr>
    </w:div>
    <w:div w:id="798457289">
      <w:bodyDiv w:val="1"/>
      <w:marLeft w:val="0"/>
      <w:marRight w:val="0"/>
      <w:marTop w:val="0"/>
      <w:marBottom w:val="0"/>
      <w:divBdr>
        <w:top w:val="none" w:sz="0" w:space="0" w:color="auto"/>
        <w:left w:val="none" w:sz="0" w:space="0" w:color="auto"/>
        <w:bottom w:val="none" w:sz="0" w:space="0" w:color="auto"/>
        <w:right w:val="none" w:sz="0" w:space="0" w:color="auto"/>
      </w:divBdr>
    </w:div>
    <w:div w:id="803354186">
      <w:bodyDiv w:val="1"/>
      <w:marLeft w:val="0"/>
      <w:marRight w:val="0"/>
      <w:marTop w:val="0"/>
      <w:marBottom w:val="0"/>
      <w:divBdr>
        <w:top w:val="none" w:sz="0" w:space="0" w:color="auto"/>
        <w:left w:val="none" w:sz="0" w:space="0" w:color="auto"/>
        <w:bottom w:val="none" w:sz="0" w:space="0" w:color="auto"/>
        <w:right w:val="none" w:sz="0" w:space="0" w:color="auto"/>
      </w:divBdr>
    </w:div>
    <w:div w:id="808321040">
      <w:bodyDiv w:val="1"/>
      <w:marLeft w:val="0"/>
      <w:marRight w:val="0"/>
      <w:marTop w:val="0"/>
      <w:marBottom w:val="0"/>
      <w:divBdr>
        <w:top w:val="none" w:sz="0" w:space="0" w:color="auto"/>
        <w:left w:val="none" w:sz="0" w:space="0" w:color="auto"/>
        <w:bottom w:val="none" w:sz="0" w:space="0" w:color="auto"/>
        <w:right w:val="none" w:sz="0" w:space="0" w:color="auto"/>
      </w:divBdr>
    </w:div>
    <w:div w:id="809977573">
      <w:bodyDiv w:val="1"/>
      <w:marLeft w:val="0"/>
      <w:marRight w:val="0"/>
      <w:marTop w:val="0"/>
      <w:marBottom w:val="0"/>
      <w:divBdr>
        <w:top w:val="none" w:sz="0" w:space="0" w:color="auto"/>
        <w:left w:val="none" w:sz="0" w:space="0" w:color="auto"/>
        <w:bottom w:val="none" w:sz="0" w:space="0" w:color="auto"/>
        <w:right w:val="none" w:sz="0" w:space="0" w:color="auto"/>
      </w:divBdr>
    </w:div>
    <w:div w:id="810826934">
      <w:bodyDiv w:val="1"/>
      <w:marLeft w:val="0"/>
      <w:marRight w:val="0"/>
      <w:marTop w:val="0"/>
      <w:marBottom w:val="0"/>
      <w:divBdr>
        <w:top w:val="none" w:sz="0" w:space="0" w:color="auto"/>
        <w:left w:val="none" w:sz="0" w:space="0" w:color="auto"/>
        <w:bottom w:val="none" w:sz="0" w:space="0" w:color="auto"/>
        <w:right w:val="none" w:sz="0" w:space="0" w:color="auto"/>
      </w:divBdr>
    </w:div>
    <w:div w:id="811754386">
      <w:bodyDiv w:val="1"/>
      <w:marLeft w:val="0"/>
      <w:marRight w:val="0"/>
      <w:marTop w:val="0"/>
      <w:marBottom w:val="0"/>
      <w:divBdr>
        <w:top w:val="none" w:sz="0" w:space="0" w:color="auto"/>
        <w:left w:val="none" w:sz="0" w:space="0" w:color="auto"/>
        <w:bottom w:val="none" w:sz="0" w:space="0" w:color="auto"/>
        <w:right w:val="none" w:sz="0" w:space="0" w:color="auto"/>
      </w:divBdr>
    </w:div>
    <w:div w:id="818686958">
      <w:bodyDiv w:val="1"/>
      <w:marLeft w:val="0"/>
      <w:marRight w:val="0"/>
      <w:marTop w:val="0"/>
      <w:marBottom w:val="0"/>
      <w:divBdr>
        <w:top w:val="none" w:sz="0" w:space="0" w:color="auto"/>
        <w:left w:val="none" w:sz="0" w:space="0" w:color="auto"/>
        <w:bottom w:val="none" w:sz="0" w:space="0" w:color="auto"/>
        <w:right w:val="none" w:sz="0" w:space="0" w:color="auto"/>
      </w:divBdr>
    </w:div>
    <w:div w:id="818693568">
      <w:bodyDiv w:val="1"/>
      <w:marLeft w:val="0"/>
      <w:marRight w:val="0"/>
      <w:marTop w:val="0"/>
      <w:marBottom w:val="0"/>
      <w:divBdr>
        <w:top w:val="none" w:sz="0" w:space="0" w:color="auto"/>
        <w:left w:val="none" w:sz="0" w:space="0" w:color="auto"/>
        <w:bottom w:val="none" w:sz="0" w:space="0" w:color="auto"/>
        <w:right w:val="none" w:sz="0" w:space="0" w:color="auto"/>
      </w:divBdr>
    </w:div>
    <w:div w:id="818962611">
      <w:bodyDiv w:val="1"/>
      <w:marLeft w:val="0"/>
      <w:marRight w:val="0"/>
      <w:marTop w:val="0"/>
      <w:marBottom w:val="0"/>
      <w:divBdr>
        <w:top w:val="none" w:sz="0" w:space="0" w:color="auto"/>
        <w:left w:val="none" w:sz="0" w:space="0" w:color="auto"/>
        <w:bottom w:val="none" w:sz="0" w:space="0" w:color="auto"/>
        <w:right w:val="none" w:sz="0" w:space="0" w:color="auto"/>
      </w:divBdr>
    </w:div>
    <w:div w:id="828518894">
      <w:bodyDiv w:val="1"/>
      <w:marLeft w:val="0"/>
      <w:marRight w:val="0"/>
      <w:marTop w:val="0"/>
      <w:marBottom w:val="0"/>
      <w:divBdr>
        <w:top w:val="none" w:sz="0" w:space="0" w:color="auto"/>
        <w:left w:val="none" w:sz="0" w:space="0" w:color="auto"/>
        <w:bottom w:val="none" w:sz="0" w:space="0" w:color="auto"/>
        <w:right w:val="none" w:sz="0" w:space="0" w:color="auto"/>
      </w:divBdr>
    </w:div>
    <w:div w:id="834802265">
      <w:bodyDiv w:val="1"/>
      <w:marLeft w:val="0"/>
      <w:marRight w:val="0"/>
      <w:marTop w:val="0"/>
      <w:marBottom w:val="0"/>
      <w:divBdr>
        <w:top w:val="none" w:sz="0" w:space="0" w:color="auto"/>
        <w:left w:val="none" w:sz="0" w:space="0" w:color="auto"/>
        <w:bottom w:val="none" w:sz="0" w:space="0" w:color="auto"/>
        <w:right w:val="none" w:sz="0" w:space="0" w:color="auto"/>
      </w:divBdr>
    </w:div>
    <w:div w:id="842821728">
      <w:bodyDiv w:val="1"/>
      <w:marLeft w:val="0"/>
      <w:marRight w:val="0"/>
      <w:marTop w:val="0"/>
      <w:marBottom w:val="0"/>
      <w:divBdr>
        <w:top w:val="none" w:sz="0" w:space="0" w:color="auto"/>
        <w:left w:val="none" w:sz="0" w:space="0" w:color="auto"/>
        <w:bottom w:val="none" w:sz="0" w:space="0" w:color="auto"/>
        <w:right w:val="none" w:sz="0" w:space="0" w:color="auto"/>
      </w:divBdr>
    </w:div>
    <w:div w:id="847060726">
      <w:bodyDiv w:val="1"/>
      <w:marLeft w:val="0"/>
      <w:marRight w:val="0"/>
      <w:marTop w:val="0"/>
      <w:marBottom w:val="0"/>
      <w:divBdr>
        <w:top w:val="none" w:sz="0" w:space="0" w:color="auto"/>
        <w:left w:val="none" w:sz="0" w:space="0" w:color="auto"/>
        <w:bottom w:val="none" w:sz="0" w:space="0" w:color="auto"/>
        <w:right w:val="none" w:sz="0" w:space="0" w:color="auto"/>
      </w:divBdr>
    </w:div>
    <w:div w:id="848982018">
      <w:bodyDiv w:val="1"/>
      <w:marLeft w:val="0"/>
      <w:marRight w:val="0"/>
      <w:marTop w:val="0"/>
      <w:marBottom w:val="0"/>
      <w:divBdr>
        <w:top w:val="none" w:sz="0" w:space="0" w:color="auto"/>
        <w:left w:val="none" w:sz="0" w:space="0" w:color="auto"/>
        <w:bottom w:val="none" w:sz="0" w:space="0" w:color="auto"/>
        <w:right w:val="none" w:sz="0" w:space="0" w:color="auto"/>
      </w:divBdr>
    </w:div>
    <w:div w:id="852036500">
      <w:bodyDiv w:val="1"/>
      <w:marLeft w:val="0"/>
      <w:marRight w:val="0"/>
      <w:marTop w:val="0"/>
      <w:marBottom w:val="0"/>
      <w:divBdr>
        <w:top w:val="none" w:sz="0" w:space="0" w:color="auto"/>
        <w:left w:val="none" w:sz="0" w:space="0" w:color="auto"/>
        <w:bottom w:val="none" w:sz="0" w:space="0" w:color="auto"/>
        <w:right w:val="none" w:sz="0" w:space="0" w:color="auto"/>
      </w:divBdr>
    </w:div>
    <w:div w:id="852959768">
      <w:bodyDiv w:val="1"/>
      <w:marLeft w:val="0"/>
      <w:marRight w:val="0"/>
      <w:marTop w:val="0"/>
      <w:marBottom w:val="0"/>
      <w:divBdr>
        <w:top w:val="none" w:sz="0" w:space="0" w:color="auto"/>
        <w:left w:val="none" w:sz="0" w:space="0" w:color="auto"/>
        <w:bottom w:val="none" w:sz="0" w:space="0" w:color="auto"/>
        <w:right w:val="none" w:sz="0" w:space="0" w:color="auto"/>
      </w:divBdr>
    </w:div>
    <w:div w:id="853542114">
      <w:bodyDiv w:val="1"/>
      <w:marLeft w:val="0"/>
      <w:marRight w:val="0"/>
      <w:marTop w:val="0"/>
      <w:marBottom w:val="0"/>
      <w:divBdr>
        <w:top w:val="none" w:sz="0" w:space="0" w:color="auto"/>
        <w:left w:val="none" w:sz="0" w:space="0" w:color="auto"/>
        <w:bottom w:val="none" w:sz="0" w:space="0" w:color="auto"/>
        <w:right w:val="none" w:sz="0" w:space="0" w:color="auto"/>
      </w:divBdr>
    </w:div>
    <w:div w:id="854031065">
      <w:bodyDiv w:val="1"/>
      <w:marLeft w:val="0"/>
      <w:marRight w:val="0"/>
      <w:marTop w:val="0"/>
      <w:marBottom w:val="0"/>
      <w:divBdr>
        <w:top w:val="none" w:sz="0" w:space="0" w:color="auto"/>
        <w:left w:val="none" w:sz="0" w:space="0" w:color="auto"/>
        <w:bottom w:val="none" w:sz="0" w:space="0" w:color="auto"/>
        <w:right w:val="none" w:sz="0" w:space="0" w:color="auto"/>
      </w:divBdr>
    </w:div>
    <w:div w:id="855002223">
      <w:bodyDiv w:val="1"/>
      <w:marLeft w:val="0"/>
      <w:marRight w:val="0"/>
      <w:marTop w:val="0"/>
      <w:marBottom w:val="0"/>
      <w:divBdr>
        <w:top w:val="none" w:sz="0" w:space="0" w:color="auto"/>
        <w:left w:val="none" w:sz="0" w:space="0" w:color="auto"/>
        <w:bottom w:val="none" w:sz="0" w:space="0" w:color="auto"/>
        <w:right w:val="none" w:sz="0" w:space="0" w:color="auto"/>
      </w:divBdr>
    </w:div>
    <w:div w:id="858396787">
      <w:bodyDiv w:val="1"/>
      <w:marLeft w:val="0"/>
      <w:marRight w:val="0"/>
      <w:marTop w:val="0"/>
      <w:marBottom w:val="0"/>
      <w:divBdr>
        <w:top w:val="none" w:sz="0" w:space="0" w:color="auto"/>
        <w:left w:val="none" w:sz="0" w:space="0" w:color="auto"/>
        <w:bottom w:val="none" w:sz="0" w:space="0" w:color="auto"/>
        <w:right w:val="none" w:sz="0" w:space="0" w:color="auto"/>
      </w:divBdr>
    </w:div>
    <w:div w:id="864293511">
      <w:bodyDiv w:val="1"/>
      <w:marLeft w:val="0"/>
      <w:marRight w:val="0"/>
      <w:marTop w:val="0"/>
      <w:marBottom w:val="0"/>
      <w:divBdr>
        <w:top w:val="none" w:sz="0" w:space="0" w:color="auto"/>
        <w:left w:val="none" w:sz="0" w:space="0" w:color="auto"/>
        <w:bottom w:val="none" w:sz="0" w:space="0" w:color="auto"/>
        <w:right w:val="none" w:sz="0" w:space="0" w:color="auto"/>
      </w:divBdr>
    </w:div>
    <w:div w:id="866022390">
      <w:bodyDiv w:val="1"/>
      <w:marLeft w:val="0"/>
      <w:marRight w:val="0"/>
      <w:marTop w:val="0"/>
      <w:marBottom w:val="0"/>
      <w:divBdr>
        <w:top w:val="none" w:sz="0" w:space="0" w:color="auto"/>
        <w:left w:val="none" w:sz="0" w:space="0" w:color="auto"/>
        <w:bottom w:val="none" w:sz="0" w:space="0" w:color="auto"/>
        <w:right w:val="none" w:sz="0" w:space="0" w:color="auto"/>
      </w:divBdr>
    </w:div>
    <w:div w:id="873157957">
      <w:bodyDiv w:val="1"/>
      <w:marLeft w:val="0"/>
      <w:marRight w:val="0"/>
      <w:marTop w:val="0"/>
      <w:marBottom w:val="0"/>
      <w:divBdr>
        <w:top w:val="none" w:sz="0" w:space="0" w:color="auto"/>
        <w:left w:val="none" w:sz="0" w:space="0" w:color="auto"/>
        <w:bottom w:val="none" w:sz="0" w:space="0" w:color="auto"/>
        <w:right w:val="none" w:sz="0" w:space="0" w:color="auto"/>
      </w:divBdr>
    </w:div>
    <w:div w:id="873730350">
      <w:bodyDiv w:val="1"/>
      <w:marLeft w:val="0"/>
      <w:marRight w:val="0"/>
      <w:marTop w:val="0"/>
      <w:marBottom w:val="0"/>
      <w:divBdr>
        <w:top w:val="none" w:sz="0" w:space="0" w:color="auto"/>
        <w:left w:val="none" w:sz="0" w:space="0" w:color="auto"/>
        <w:bottom w:val="none" w:sz="0" w:space="0" w:color="auto"/>
        <w:right w:val="none" w:sz="0" w:space="0" w:color="auto"/>
      </w:divBdr>
    </w:div>
    <w:div w:id="882599854">
      <w:bodyDiv w:val="1"/>
      <w:marLeft w:val="0"/>
      <w:marRight w:val="0"/>
      <w:marTop w:val="0"/>
      <w:marBottom w:val="0"/>
      <w:divBdr>
        <w:top w:val="none" w:sz="0" w:space="0" w:color="auto"/>
        <w:left w:val="none" w:sz="0" w:space="0" w:color="auto"/>
        <w:bottom w:val="none" w:sz="0" w:space="0" w:color="auto"/>
        <w:right w:val="none" w:sz="0" w:space="0" w:color="auto"/>
      </w:divBdr>
    </w:div>
    <w:div w:id="883754573">
      <w:bodyDiv w:val="1"/>
      <w:marLeft w:val="0"/>
      <w:marRight w:val="0"/>
      <w:marTop w:val="0"/>
      <w:marBottom w:val="0"/>
      <w:divBdr>
        <w:top w:val="none" w:sz="0" w:space="0" w:color="auto"/>
        <w:left w:val="none" w:sz="0" w:space="0" w:color="auto"/>
        <w:bottom w:val="none" w:sz="0" w:space="0" w:color="auto"/>
        <w:right w:val="none" w:sz="0" w:space="0" w:color="auto"/>
      </w:divBdr>
    </w:div>
    <w:div w:id="883835837">
      <w:bodyDiv w:val="1"/>
      <w:marLeft w:val="0"/>
      <w:marRight w:val="0"/>
      <w:marTop w:val="0"/>
      <w:marBottom w:val="0"/>
      <w:divBdr>
        <w:top w:val="none" w:sz="0" w:space="0" w:color="auto"/>
        <w:left w:val="none" w:sz="0" w:space="0" w:color="auto"/>
        <w:bottom w:val="none" w:sz="0" w:space="0" w:color="auto"/>
        <w:right w:val="none" w:sz="0" w:space="0" w:color="auto"/>
      </w:divBdr>
    </w:div>
    <w:div w:id="885095753">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423564">
      <w:bodyDiv w:val="1"/>
      <w:marLeft w:val="0"/>
      <w:marRight w:val="0"/>
      <w:marTop w:val="0"/>
      <w:marBottom w:val="0"/>
      <w:divBdr>
        <w:top w:val="none" w:sz="0" w:space="0" w:color="auto"/>
        <w:left w:val="none" w:sz="0" w:space="0" w:color="auto"/>
        <w:bottom w:val="none" w:sz="0" w:space="0" w:color="auto"/>
        <w:right w:val="none" w:sz="0" w:space="0" w:color="auto"/>
      </w:divBdr>
    </w:div>
    <w:div w:id="890266590">
      <w:bodyDiv w:val="1"/>
      <w:marLeft w:val="0"/>
      <w:marRight w:val="0"/>
      <w:marTop w:val="0"/>
      <w:marBottom w:val="0"/>
      <w:divBdr>
        <w:top w:val="none" w:sz="0" w:space="0" w:color="auto"/>
        <w:left w:val="none" w:sz="0" w:space="0" w:color="auto"/>
        <w:bottom w:val="none" w:sz="0" w:space="0" w:color="auto"/>
        <w:right w:val="none" w:sz="0" w:space="0" w:color="auto"/>
      </w:divBdr>
    </w:div>
    <w:div w:id="896818526">
      <w:bodyDiv w:val="1"/>
      <w:marLeft w:val="0"/>
      <w:marRight w:val="0"/>
      <w:marTop w:val="0"/>
      <w:marBottom w:val="0"/>
      <w:divBdr>
        <w:top w:val="none" w:sz="0" w:space="0" w:color="auto"/>
        <w:left w:val="none" w:sz="0" w:space="0" w:color="auto"/>
        <w:bottom w:val="none" w:sz="0" w:space="0" w:color="auto"/>
        <w:right w:val="none" w:sz="0" w:space="0" w:color="auto"/>
      </w:divBdr>
    </w:div>
    <w:div w:id="897521650">
      <w:bodyDiv w:val="1"/>
      <w:marLeft w:val="0"/>
      <w:marRight w:val="0"/>
      <w:marTop w:val="0"/>
      <w:marBottom w:val="0"/>
      <w:divBdr>
        <w:top w:val="none" w:sz="0" w:space="0" w:color="auto"/>
        <w:left w:val="none" w:sz="0" w:space="0" w:color="auto"/>
        <w:bottom w:val="none" w:sz="0" w:space="0" w:color="auto"/>
        <w:right w:val="none" w:sz="0" w:space="0" w:color="auto"/>
      </w:divBdr>
    </w:div>
    <w:div w:id="897858899">
      <w:bodyDiv w:val="1"/>
      <w:marLeft w:val="0"/>
      <w:marRight w:val="0"/>
      <w:marTop w:val="0"/>
      <w:marBottom w:val="0"/>
      <w:divBdr>
        <w:top w:val="none" w:sz="0" w:space="0" w:color="auto"/>
        <w:left w:val="none" w:sz="0" w:space="0" w:color="auto"/>
        <w:bottom w:val="none" w:sz="0" w:space="0" w:color="auto"/>
        <w:right w:val="none" w:sz="0" w:space="0" w:color="auto"/>
      </w:divBdr>
    </w:div>
    <w:div w:id="902181691">
      <w:bodyDiv w:val="1"/>
      <w:marLeft w:val="0"/>
      <w:marRight w:val="0"/>
      <w:marTop w:val="0"/>
      <w:marBottom w:val="0"/>
      <w:divBdr>
        <w:top w:val="none" w:sz="0" w:space="0" w:color="auto"/>
        <w:left w:val="none" w:sz="0" w:space="0" w:color="auto"/>
        <w:bottom w:val="none" w:sz="0" w:space="0" w:color="auto"/>
        <w:right w:val="none" w:sz="0" w:space="0" w:color="auto"/>
      </w:divBdr>
    </w:div>
    <w:div w:id="902525896">
      <w:bodyDiv w:val="1"/>
      <w:marLeft w:val="0"/>
      <w:marRight w:val="0"/>
      <w:marTop w:val="0"/>
      <w:marBottom w:val="0"/>
      <w:divBdr>
        <w:top w:val="none" w:sz="0" w:space="0" w:color="auto"/>
        <w:left w:val="none" w:sz="0" w:space="0" w:color="auto"/>
        <w:bottom w:val="none" w:sz="0" w:space="0" w:color="auto"/>
        <w:right w:val="none" w:sz="0" w:space="0" w:color="auto"/>
      </w:divBdr>
    </w:div>
    <w:div w:id="904994549">
      <w:bodyDiv w:val="1"/>
      <w:marLeft w:val="0"/>
      <w:marRight w:val="0"/>
      <w:marTop w:val="0"/>
      <w:marBottom w:val="0"/>
      <w:divBdr>
        <w:top w:val="none" w:sz="0" w:space="0" w:color="auto"/>
        <w:left w:val="none" w:sz="0" w:space="0" w:color="auto"/>
        <w:bottom w:val="none" w:sz="0" w:space="0" w:color="auto"/>
        <w:right w:val="none" w:sz="0" w:space="0" w:color="auto"/>
      </w:divBdr>
    </w:div>
    <w:div w:id="910194468">
      <w:bodyDiv w:val="1"/>
      <w:marLeft w:val="0"/>
      <w:marRight w:val="0"/>
      <w:marTop w:val="0"/>
      <w:marBottom w:val="0"/>
      <w:divBdr>
        <w:top w:val="none" w:sz="0" w:space="0" w:color="auto"/>
        <w:left w:val="none" w:sz="0" w:space="0" w:color="auto"/>
        <w:bottom w:val="none" w:sz="0" w:space="0" w:color="auto"/>
        <w:right w:val="none" w:sz="0" w:space="0" w:color="auto"/>
      </w:divBdr>
    </w:div>
    <w:div w:id="913901034">
      <w:bodyDiv w:val="1"/>
      <w:marLeft w:val="0"/>
      <w:marRight w:val="0"/>
      <w:marTop w:val="0"/>
      <w:marBottom w:val="0"/>
      <w:divBdr>
        <w:top w:val="none" w:sz="0" w:space="0" w:color="auto"/>
        <w:left w:val="none" w:sz="0" w:space="0" w:color="auto"/>
        <w:bottom w:val="none" w:sz="0" w:space="0" w:color="auto"/>
        <w:right w:val="none" w:sz="0" w:space="0" w:color="auto"/>
      </w:divBdr>
    </w:div>
    <w:div w:id="913975794">
      <w:bodyDiv w:val="1"/>
      <w:marLeft w:val="0"/>
      <w:marRight w:val="0"/>
      <w:marTop w:val="0"/>
      <w:marBottom w:val="0"/>
      <w:divBdr>
        <w:top w:val="none" w:sz="0" w:space="0" w:color="auto"/>
        <w:left w:val="none" w:sz="0" w:space="0" w:color="auto"/>
        <w:bottom w:val="none" w:sz="0" w:space="0" w:color="auto"/>
        <w:right w:val="none" w:sz="0" w:space="0" w:color="auto"/>
      </w:divBdr>
    </w:div>
    <w:div w:id="915284337">
      <w:bodyDiv w:val="1"/>
      <w:marLeft w:val="0"/>
      <w:marRight w:val="0"/>
      <w:marTop w:val="0"/>
      <w:marBottom w:val="0"/>
      <w:divBdr>
        <w:top w:val="none" w:sz="0" w:space="0" w:color="auto"/>
        <w:left w:val="none" w:sz="0" w:space="0" w:color="auto"/>
        <w:bottom w:val="none" w:sz="0" w:space="0" w:color="auto"/>
        <w:right w:val="none" w:sz="0" w:space="0" w:color="auto"/>
      </w:divBdr>
    </w:div>
    <w:div w:id="918635606">
      <w:bodyDiv w:val="1"/>
      <w:marLeft w:val="0"/>
      <w:marRight w:val="0"/>
      <w:marTop w:val="0"/>
      <w:marBottom w:val="0"/>
      <w:divBdr>
        <w:top w:val="none" w:sz="0" w:space="0" w:color="auto"/>
        <w:left w:val="none" w:sz="0" w:space="0" w:color="auto"/>
        <w:bottom w:val="none" w:sz="0" w:space="0" w:color="auto"/>
        <w:right w:val="none" w:sz="0" w:space="0" w:color="auto"/>
      </w:divBdr>
    </w:div>
    <w:div w:id="920338015">
      <w:bodyDiv w:val="1"/>
      <w:marLeft w:val="0"/>
      <w:marRight w:val="0"/>
      <w:marTop w:val="0"/>
      <w:marBottom w:val="0"/>
      <w:divBdr>
        <w:top w:val="none" w:sz="0" w:space="0" w:color="auto"/>
        <w:left w:val="none" w:sz="0" w:space="0" w:color="auto"/>
        <w:bottom w:val="none" w:sz="0" w:space="0" w:color="auto"/>
        <w:right w:val="none" w:sz="0" w:space="0" w:color="auto"/>
      </w:divBdr>
    </w:div>
    <w:div w:id="922764148">
      <w:bodyDiv w:val="1"/>
      <w:marLeft w:val="0"/>
      <w:marRight w:val="0"/>
      <w:marTop w:val="0"/>
      <w:marBottom w:val="0"/>
      <w:divBdr>
        <w:top w:val="none" w:sz="0" w:space="0" w:color="auto"/>
        <w:left w:val="none" w:sz="0" w:space="0" w:color="auto"/>
        <w:bottom w:val="none" w:sz="0" w:space="0" w:color="auto"/>
        <w:right w:val="none" w:sz="0" w:space="0" w:color="auto"/>
      </w:divBdr>
    </w:div>
    <w:div w:id="926766228">
      <w:bodyDiv w:val="1"/>
      <w:marLeft w:val="0"/>
      <w:marRight w:val="0"/>
      <w:marTop w:val="0"/>
      <w:marBottom w:val="0"/>
      <w:divBdr>
        <w:top w:val="none" w:sz="0" w:space="0" w:color="auto"/>
        <w:left w:val="none" w:sz="0" w:space="0" w:color="auto"/>
        <w:bottom w:val="none" w:sz="0" w:space="0" w:color="auto"/>
        <w:right w:val="none" w:sz="0" w:space="0" w:color="auto"/>
      </w:divBdr>
    </w:div>
    <w:div w:id="928542585">
      <w:bodyDiv w:val="1"/>
      <w:marLeft w:val="0"/>
      <w:marRight w:val="0"/>
      <w:marTop w:val="0"/>
      <w:marBottom w:val="0"/>
      <w:divBdr>
        <w:top w:val="none" w:sz="0" w:space="0" w:color="auto"/>
        <w:left w:val="none" w:sz="0" w:space="0" w:color="auto"/>
        <w:bottom w:val="none" w:sz="0" w:space="0" w:color="auto"/>
        <w:right w:val="none" w:sz="0" w:space="0" w:color="auto"/>
      </w:divBdr>
    </w:div>
    <w:div w:id="930165425">
      <w:bodyDiv w:val="1"/>
      <w:marLeft w:val="0"/>
      <w:marRight w:val="0"/>
      <w:marTop w:val="0"/>
      <w:marBottom w:val="0"/>
      <w:divBdr>
        <w:top w:val="none" w:sz="0" w:space="0" w:color="auto"/>
        <w:left w:val="none" w:sz="0" w:space="0" w:color="auto"/>
        <w:bottom w:val="none" w:sz="0" w:space="0" w:color="auto"/>
        <w:right w:val="none" w:sz="0" w:space="0" w:color="auto"/>
      </w:divBdr>
    </w:div>
    <w:div w:id="934094516">
      <w:bodyDiv w:val="1"/>
      <w:marLeft w:val="0"/>
      <w:marRight w:val="0"/>
      <w:marTop w:val="0"/>
      <w:marBottom w:val="0"/>
      <w:divBdr>
        <w:top w:val="none" w:sz="0" w:space="0" w:color="auto"/>
        <w:left w:val="none" w:sz="0" w:space="0" w:color="auto"/>
        <w:bottom w:val="none" w:sz="0" w:space="0" w:color="auto"/>
        <w:right w:val="none" w:sz="0" w:space="0" w:color="auto"/>
      </w:divBdr>
    </w:div>
    <w:div w:id="935095160">
      <w:bodyDiv w:val="1"/>
      <w:marLeft w:val="0"/>
      <w:marRight w:val="0"/>
      <w:marTop w:val="0"/>
      <w:marBottom w:val="0"/>
      <w:divBdr>
        <w:top w:val="none" w:sz="0" w:space="0" w:color="auto"/>
        <w:left w:val="none" w:sz="0" w:space="0" w:color="auto"/>
        <w:bottom w:val="none" w:sz="0" w:space="0" w:color="auto"/>
        <w:right w:val="none" w:sz="0" w:space="0" w:color="auto"/>
      </w:divBdr>
    </w:div>
    <w:div w:id="935790439">
      <w:bodyDiv w:val="1"/>
      <w:marLeft w:val="0"/>
      <w:marRight w:val="0"/>
      <w:marTop w:val="0"/>
      <w:marBottom w:val="0"/>
      <w:divBdr>
        <w:top w:val="none" w:sz="0" w:space="0" w:color="auto"/>
        <w:left w:val="none" w:sz="0" w:space="0" w:color="auto"/>
        <w:bottom w:val="none" w:sz="0" w:space="0" w:color="auto"/>
        <w:right w:val="none" w:sz="0" w:space="0" w:color="auto"/>
      </w:divBdr>
    </w:div>
    <w:div w:id="939065475">
      <w:bodyDiv w:val="1"/>
      <w:marLeft w:val="0"/>
      <w:marRight w:val="0"/>
      <w:marTop w:val="0"/>
      <w:marBottom w:val="0"/>
      <w:divBdr>
        <w:top w:val="none" w:sz="0" w:space="0" w:color="auto"/>
        <w:left w:val="none" w:sz="0" w:space="0" w:color="auto"/>
        <w:bottom w:val="none" w:sz="0" w:space="0" w:color="auto"/>
        <w:right w:val="none" w:sz="0" w:space="0" w:color="auto"/>
      </w:divBdr>
    </w:div>
    <w:div w:id="940188190">
      <w:bodyDiv w:val="1"/>
      <w:marLeft w:val="0"/>
      <w:marRight w:val="0"/>
      <w:marTop w:val="0"/>
      <w:marBottom w:val="0"/>
      <w:divBdr>
        <w:top w:val="none" w:sz="0" w:space="0" w:color="auto"/>
        <w:left w:val="none" w:sz="0" w:space="0" w:color="auto"/>
        <w:bottom w:val="none" w:sz="0" w:space="0" w:color="auto"/>
        <w:right w:val="none" w:sz="0" w:space="0" w:color="auto"/>
      </w:divBdr>
    </w:div>
    <w:div w:id="943994900">
      <w:bodyDiv w:val="1"/>
      <w:marLeft w:val="0"/>
      <w:marRight w:val="0"/>
      <w:marTop w:val="0"/>
      <w:marBottom w:val="0"/>
      <w:divBdr>
        <w:top w:val="none" w:sz="0" w:space="0" w:color="auto"/>
        <w:left w:val="none" w:sz="0" w:space="0" w:color="auto"/>
        <w:bottom w:val="none" w:sz="0" w:space="0" w:color="auto"/>
        <w:right w:val="none" w:sz="0" w:space="0" w:color="auto"/>
      </w:divBdr>
    </w:div>
    <w:div w:id="945429625">
      <w:bodyDiv w:val="1"/>
      <w:marLeft w:val="0"/>
      <w:marRight w:val="0"/>
      <w:marTop w:val="0"/>
      <w:marBottom w:val="0"/>
      <w:divBdr>
        <w:top w:val="none" w:sz="0" w:space="0" w:color="auto"/>
        <w:left w:val="none" w:sz="0" w:space="0" w:color="auto"/>
        <w:bottom w:val="none" w:sz="0" w:space="0" w:color="auto"/>
        <w:right w:val="none" w:sz="0" w:space="0" w:color="auto"/>
      </w:divBdr>
    </w:div>
    <w:div w:id="947196755">
      <w:bodyDiv w:val="1"/>
      <w:marLeft w:val="0"/>
      <w:marRight w:val="0"/>
      <w:marTop w:val="0"/>
      <w:marBottom w:val="0"/>
      <w:divBdr>
        <w:top w:val="none" w:sz="0" w:space="0" w:color="auto"/>
        <w:left w:val="none" w:sz="0" w:space="0" w:color="auto"/>
        <w:bottom w:val="none" w:sz="0" w:space="0" w:color="auto"/>
        <w:right w:val="none" w:sz="0" w:space="0" w:color="auto"/>
      </w:divBdr>
    </w:div>
    <w:div w:id="952055265">
      <w:bodyDiv w:val="1"/>
      <w:marLeft w:val="0"/>
      <w:marRight w:val="0"/>
      <w:marTop w:val="0"/>
      <w:marBottom w:val="0"/>
      <w:divBdr>
        <w:top w:val="none" w:sz="0" w:space="0" w:color="auto"/>
        <w:left w:val="none" w:sz="0" w:space="0" w:color="auto"/>
        <w:bottom w:val="none" w:sz="0" w:space="0" w:color="auto"/>
        <w:right w:val="none" w:sz="0" w:space="0" w:color="auto"/>
      </w:divBdr>
    </w:div>
    <w:div w:id="961813567">
      <w:bodyDiv w:val="1"/>
      <w:marLeft w:val="0"/>
      <w:marRight w:val="0"/>
      <w:marTop w:val="0"/>
      <w:marBottom w:val="0"/>
      <w:divBdr>
        <w:top w:val="none" w:sz="0" w:space="0" w:color="auto"/>
        <w:left w:val="none" w:sz="0" w:space="0" w:color="auto"/>
        <w:bottom w:val="none" w:sz="0" w:space="0" w:color="auto"/>
        <w:right w:val="none" w:sz="0" w:space="0" w:color="auto"/>
      </w:divBdr>
    </w:div>
    <w:div w:id="962465204">
      <w:bodyDiv w:val="1"/>
      <w:marLeft w:val="0"/>
      <w:marRight w:val="0"/>
      <w:marTop w:val="0"/>
      <w:marBottom w:val="0"/>
      <w:divBdr>
        <w:top w:val="none" w:sz="0" w:space="0" w:color="auto"/>
        <w:left w:val="none" w:sz="0" w:space="0" w:color="auto"/>
        <w:bottom w:val="none" w:sz="0" w:space="0" w:color="auto"/>
        <w:right w:val="none" w:sz="0" w:space="0" w:color="auto"/>
      </w:divBdr>
    </w:div>
    <w:div w:id="964047447">
      <w:bodyDiv w:val="1"/>
      <w:marLeft w:val="0"/>
      <w:marRight w:val="0"/>
      <w:marTop w:val="0"/>
      <w:marBottom w:val="0"/>
      <w:divBdr>
        <w:top w:val="none" w:sz="0" w:space="0" w:color="auto"/>
        <w:left w:val="none" w:sz="0" w:space="0" w:color="auto"/>
        <w:bottom w:val="none" w:sz="0" w:space="0" w:color="auto"/>
        <w:right w:val="none" w:sz="0" w:space="0" w:color="auto"/>
      </w:divBdr>
    </w:div>
    <w:div w:id="965353483">
      <w:bodyDiv w:val="1"/>
      <w:marLeft w:val="0"/>
      <w:marRight w:val="0"/>
      <w:marTop w:val="0"/>
      <w:marBottom w:val="0"/>
      <w:divBdr>
        <w:top w:val="none" w:sz="0" w:space="0" w:color="auto"/>
        <w:left w:val="none" w:sz="0" w:space="0" w:color="auto"/>
        <w:bottom w:val="none" w:sz="0" w:space="0" w:color="auto"/>
        <w:right w:val="none" w:sz="0" w:space="0" w:color="auto"/>
      </w:divBdr>
    </w:div>
    <w:div w:id="97237224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536985">
      <w:bodyDiv w:val="1"/>
      <w:marLeft w:val="0"/>
      <w:marRight w:val="0"/>
      <w:marTop w:val="0"/>
      <w:marBottom w:val="0"/>
      <w:divBdr>
        <w:top w:val="none" w:sz="0" w:space="0" w:color="auto"/>
        <w:left w:val="none" w:sz="0" w:space="0" w:color="auto"/>
        <w:bottom w:val="none" w:sz="0" w:space="0" w:color="auto"/>
        <w:right w:val="none" w:sz="0" w:space="0" w:color="auto"/>
      </w:divBdr>
    </w:div>
    <w:div w:id="978268299">
      <w:bodyDiv w:val="1"/>
      <w:marLeft w:val="0"/>
      <w:marRight w:val="0"/>
      <w:marTop w:val="0"/>
      <w:marBottom w:val="0"/>
      <w:divBdr>
        <w:top w:val="none" w:sz="0" w:space="0" w:color="auto"/>
        <w:left w:val="none" w:sz="0" w:space="0" w:color="auto"/>
        <w:bottom w:val="none" w:sz="0" w:space="0" w:color="auto"/>
        <w:right w:val="none" w:sz="0" w:space="0" w:color="auto"/>
      </w:divBdr>
    </w:div>
    <w:div w:id="981273345">
      <w:bodyDiv w:val="1"/>
      <w:marLeft w:val="0"/>
      <w:marRight w:val="0"/>
      <w:marTop w:val="0"/>
      <w:marBottom w:val="0"/>
      <w:divBdr>
        <w:top w:val="none" w:sz="0" w:space="0" w:color="auto"/>
        <w:left w:val="none" w:sz="0" w:space="0" w:color="auto"/>
        <w:bottom w:val="none" w:sz="0" w:space="0" w:color="auto"/>
        <w:right w:val="none" w:sz="0" w:space="0" w:color="auto"/>
      </w:divBdr>
    </w:div>
    <w:div w:id="981495533">
      <w:bodyDiv w:val="1"/>
      <w:marLeft w:val="0"/>
      <w:marRight w:val="0"/>
      <w:marTop w:val="0"/>
      <w:marBottom w:val="0"/>
      <w:divBdr>
        <w:top w:val="none" w:sz="0" w:space="0" w:color="auto"/>
        <w:left w:val="none" w:sz="0" w:space="0" w:color="auto"/>
        <w:bottom w:val="none" w:sz="0" w:space="0" w:color="auto"/>
        <w:right w:val="none" w:sz="0" w:space="0" w:color="auto"/>
      </w:divBdr>
    </w:div>
    <w:div w:id="983855069">
      <w:bodyDiv w:val="1"/>
      <w:marLeft w:val="0"/>
      <w:marRight w:val="0"/>
      <w:marTop w:val="0"/>
      <w:marBottom w:val="0"/>
      <w:divBdr>
        <w:top w:val="none" w:sz="0" w:space="0" w:color="auto"/>
        <w:left w:val="none" w:sz="0" w:space="0" w:color="auto"/>
        <w:bottom w:val="none" w:sz="0" w:space="0" w:color="auto"/>
        <w:right w:val="none" w:sz="0" w:space="0" w:color="auto"/>
      </w:divBdr>
    </w:div>
    <w:div w:id="985400446">
      <w:bodyDiv w:val="1"/>
      <w:marLeft w:val="0"/>
      <w:marRight w:val="0"/>
      <w:marTop w:val="0"/>
      <w:marBottom w:val="0"/>
      <w:divBdr>
        <w:top w:val="none" w:sz="0" w:space="0" w:color="auto"/>
        <w:left w:val="none" w:sz="0" w:space="0" w:color="auto"/>
        <w:bottom w:val="none" w:sz="0" w:space="0" w:color="auto"/>
        <w:right w:val="none" w:sz="0" w:space="0" w:color="auto"/>
      </w:divBdr>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489198">
      <w:bodyDiv w:val="1"/>
      <w:marLeft w:val="0"/>
      <w:marRight w:val="0"/>
      <w:marTop w:val="0"/>
      <w:marBottom w:val="0"/>
      <w:divBdr>
        <w:top w:val="none" w:sz="0" w:space="0" w:color="auto"/>
        <w:left w:val="none" w:sz="0" w:space="0" w:color="auto"/>
        <w:bottom w:val="none" w:sz="0" w:space="0" w:color="auto"/>
        <w:right w:val="none" w:sz="0" w:space="0" w:color="auto"/>
      </w:divBdr>
    </w:div>
    <w:div w:id="993602798">
      <w:bodyDiv w:val="1"/>
      <w:marLeft w:val="0"/>
      <w:marRight w:val="0"/>
      <w:marTop w:val="0"/>
      <w:marBottom w:val="0"/>
      <w:divBdr>
        <w:top w:val="none" w:sz="0" w:space="0" w:color="auto"/>
        <w:left w:val="none" w:sz="0" w:space="0" w:color="auto"/>
        <w:bottom w:val="none" w:sz="0" w:space="0" w:color="auto"/>
        <w:right w:val="none" w:sz="0" w:space="0" w:color="auto"/>
      </w:divBdr>
    </w:div>
    <w:div w:id="996612776">
      <w:bodyDiv w:val="1"/>
      <w:marLeft w:val="0"/>
      <w:marRight w:val="0"/>
      <w:marTop w:val="0"/>
      <w:marBottom w:val="0"/>
      <w:divBdr>
        <w:top w:val="none" w:sz="0" w:space="0" w:color="auto"/>
        <w:left w:val="none" w:sz="0" w:space="0" w:color="auto"/>
        <w:bottom w:val="none" w:sz="0" w:space="0" w:color="auto"/>
        <w:right w:val="none" w:sz="0" w:space="0" w:color="auto"/>
      </w:divBdr>
    </w:div>
    <w:div w:id="998270880">
      <w:bodyDiv w:val="1"/>
      <w:marLeft w:val="0"/>
      <w:marRight w:val="0"/>
      <w:marTop w:val="0"/>
      <w:marBottom w:val="0"/>
      <w:divBdr>
        <w:top w:val="none" w:sz="0" w:space="0" w:color="auto"/>
        <w:left w:val="none" w:sz="0" w:space="0" w:color="auto"/>
        <w:bottom w:val="none" w:sz="0" w:space="0" w:color="auto"/>
        <w:right w:val="none" w:sz="0" w:space="0" w:color="auto"/>
      </w:divBdr>
    </w:div>
    <w:div w:id="999380994">
      <w:bodyDiv w:val="1"/>
      <w:marLeft w:val="0"/>
      <w:marRight w:val="0"/>
      <w:marTop w:val="0"/>
      <w:marBottom w:val="0"/>
      <w:divBdr>
        <w:top w:val="none" w:sz="0" w:space="0" w:color="auto"/>
        <w:left w:val="none" w:sz="0" w:space="0" w:color="auto"/>
        <w:bottom w:val="none" w:sz="0" w:space="0" w:color="auto"/>
        <w:right w:val="none" w:sz="0" w:space="0" w:color="auto"/>
      </w:divBdr>
    </w:div>
    <w:div w:id="999389379">
      <w:bodyDiv w:val="1"/>
      <w:marLeft w:val="0"/>
      <w:marRight w:val="0"/>
      <w:marTop w:val="0"/>
      <w:marBottom w:val="0"/>
      <w:divBdr>
        <w:top w:val="none" w:sz="0" w:space="0" w:color="auto"/>
        <w:left w:val="none" w:sz="0" w:space="0" w:color="auto"/>
        <w:bottom w:val="none" w:sz="0" w:space="0" w:color="auto"/>
        <w:right w:val="none" w:sz="0" w:space="0" w:color="auto"/>
      </w:divBdr>
    </w:div>
    <w:div w:id="999969639">
      <w:bodyDiv w:val="1"/>
      <w:marLeft w:val="0"/>
      <w:marRight w:val="0"/>
      <w:marTop w:val="0"/>
      <w:marBottom w:val="0"/>
      <w:divBdr>
        <w:top w:val="none" w:sz="0" w:space="0" w:color="auto"/>
        <w:left w:val="none" w:sz="0" w:space="0" w:color="auto"/>
        <w:bottom w:val="none" w:sz="0" w:space="0" w:color="auto"/>
        <w:right w:val="none" w:sz="0" w:space="0" w:color="auto"/>
      </w:divBdr>
    </w:div>
    <w:div w:id="1000815260">
      <w:bodyDiv w:val="1"/>
      <w:marLeft w:val="0"/>
      <w:marRight w:val="0"/>
      <w:marTop w:val="0"/>
      <w:marBottom w:val="0"/>
      <w:divBdr>
        <w:top w:val="none" w:sz="0" w:space="0" w:color="auto"/>
        <w:left w:val="none" w:sz="0" w:space="0" w:color="auto"/>
        <w:bottom w:val="none" w:sz="0" w:space="0" w:color="auto"/>
        <w:right w:val="none" w:sz="0" w:space="0" w:color="auto"/>
      </w:divBdr>
    </w:div>
    <w:div w:id="1005666710">
      <w:bodyDiv w:val="1"/>
      <w:marLeft w:val="0"/>
      <w:marRight w:val="0"/>
      <w:marTop w:val="0"/>
      <w:marBottom w:val="0"/>
      <w:divBdr>
        <w:top w:val="none" w:sz="0" w:space="0" w:color="auto"/>
        <w:left w:val="none" w:sz="0" w:space="0" w:color="auto"/>
        <w:bottom w:val="none" w:sz="0" w:space="0" w:color="auto"/>
        <w:right w:val="none" w:sz="0" w:space="0" w:color="auto"/>
      </w:divBdr>
    </w:div>
    <w:div w:id="1008292084">
      <w:bodyDiv w:val="1"/>
      <w:marLeft w:val="0"/>
      <w:marRight w:val="0"/>
      <w:marTop w:val="0"/>
      <w:marBottom w:val="0"/>
      <w:divBdr>
        <w:top w:val="none" w:sz="0" w:space="0" w:color="auto"/>
        <w:left w:val="none" w:sz="0" w:space="0" w:color="auto"/>
        <w:bottom w:val="none" w:sz="0" w:space="0" w:color="auto"/>
        <w:right w:val="none" w:sz="0" w:space="0" w:color="auto"/>
      </w:divBdr>
    </w:div>
    <w:div w:id="1017660528">
      <w:bodyDiv w:val="1"/>
      <w:marLeft w:val="0"/>
      <w:marRight w:val="0"/>
      <w:marTop w:val="0"/>
      <w:marBottom w:val="0"/>
      <w:divBdr>
        <w:top w:val="none" w:sz="0" w:space="0" w:color="auto"/>
        <w:left w:val="none" w:sz="0" w:space="0" w:color="auto"/>
        <w:bottom w:val="none" w:sz="0" w:space="0" w:color="auto"/>
        <w:right w:val="none" w:sz="0" w:space="0" w:color="auto"/>
      </w:divBdr>
    </w:div>
    <w:div w:id="1019547981">
      <w:bodyDiv w:val="1"/>
      <w:marLeft w:val="0"/>
      <w:marRight w:val="0"/>
      <w:marTop w:val="0"/>
      <w:marBottom w:val="0"/>
      <w:divBdr>
        <w:top w:val="none" w:sz="0" w:space="0" w:color="auto"/>
        <w:left w:val="none" w:sz="0" w:space="0" w:color="auto"/>
        <w:bottom w:val="none" w:sz="0" w:space="0" w:color="auto"/>
        <w:right w:val="none" w:sz="0" w:space="0" w:color="auto"/>
      </w:divBdr>
    </w:div>
    <w:div w:id="1020473498">
      <w:bodyDiv w:val="1"/>
      <w:marLeft w:val="0"/>
      <w:marRight w:val="0"/>
      <w:marTop w:val="0"/>
      <w:marBottom w:val="0"/>
      <w:divBdr>
        <w:top w:val="none" w:sz="0" w:space="0" w:color="auto"/>
        <w:left w:val="none" w:sz="0" w:space="0" w:color="auto"/>
        <w:bottom w:val="none" w:sz="0" w:space="0" w:color="auto"/>
        <w:right w:val="none" w:sz="0" w:space="0" w:color="auto"/>
      </w:divBdr>
    </w:div>
    <w:div w:id="1021009894">
      <w:bodyDiv w:val="1"/>
      <w:marLeft w:val="0"/>
      <w:marRight w:val="0"/>
      <w:marTop w:val="0"/>
      <w:marBottom w:val="0"/>
      <w:divBdr>
        <w:top w:val="none" w:sz="0" w:space="0" w:color="auto"/>
        <w:left w:val="none" w:sz="0" w:space="0" w:color="auto"/>
        <w:bottom w:val="none" w:sz="0" w:space="0" w:color="auto"/>
        <w:right w:val="none" w:sz="0" w:space="0" w:color="auto"/>
      </w:divBdr>
    </w:div>
    <w:div w:id="1021198494">
      <w:bodyDiv w:val="1"/>
      <w:marLeft w:val="0"/>
      <w:marRight w:val="0"/>
      <w:marTop w:val="0"/>
      <w:marBottom w:val="0"/>
      <w:divBdr>
        <w:top w:val="none" w:sz="0" w:space="0" w:color="auto"/>
        <w:left w:val="none" w:sz="0" w:space="0" w:color="auto"/>
        <w:bottom w:val="none" w:sz="0" w:space="0" w:color="auto"/>
        <w:right w:val="none" w:sz="0" w:space="0" w:color="auto"/>
      </w:divBdr>
    </w:div>
    <w:div w:id="1038311488">
      <w:bodyDiv w:val="1"/>
      <w:marLeft w:val="0"/>
      <w:marRight w:val="0"/>
      <w:marTop w:val="0"/>
      <w:marBottom w:val="0"/>
      <w:divBdr>
        <w:top w:val="none" w:sz="0" w:space="0" w:color="auto"/>
        <w:left w:val="none" w:sz="0" w:space="0" w:color="auto"/>
        <w:bottom w:val="none" w:sz="0" w:space="0" w:color="auto"/>
        <w:right w:val="none" w:sz="0" w:space="0" w:color="auto"/>
      </w:divBdr>
    </w:div>
    <w:div w:id="1042092138">
      <w:bodyDiv w:val="1"/>
      <w:marLeft w:val="0"/>
      <w:marRight w:val="0"/>
      <w:marTop w:val="0"/>
      <w:marBottom w:val="0"/>
      <w:divBdr>
        <w:top w:val="none" w:sz="0" w:space="0" w:color="auto"/>
        <w:left w:val="none" w:sz="0" w:space="0" w:color="auto"/>
        <w:bottom w:val="none" w:sz="0" w:space="0" w:color="auto"/>
        <w:right w:val="none" w:sz="0" w:space="0" w:color="auto"/>
      </w:divBdr>
    </w:div>
    <w:div w:id="1046562164">
      <w:bodyDiv w:val="1"/>
      <w:marLeft w:val="0"/>
      <w:marRight w:val="0"/>
      <w:marTop w:val="0"/>
      <w:marBottom w:val="0"/>
      <w:divBdr>
        <w:top w:val="none" w:sz="0" w:space="0" w:color="auto"/>
        <w:left w:val="none" w:sz="0" w:space="0" w:color="auto"/>
        <w:bottom w:val="none" w:sz="0" w:space="0" w:color="auto"/>
        <w:right w:val="none" w:sz="0" w:space="0" w:color="auto"/>
      </w:divBdr>
    </w:div>
    <w:div w:id="1047334537">
      <w:bodyDiv w:val="1"/>
      <w:marLeft w:val="0"/>
      <w:marRight w:val="0"/>
      <w:marTop w:val="0"/>
      <w:marBottom w:val="0"/>
      <w:divBdr>
        <w:top w:val="none" w:sz="0" w:space="0" w:color="auto"/>
        <w:left w:val="none" w:sz="0" w:space="0" w:color="auto"/>
        <w:bottom w:val="none" w:sz="0" w:space="0" w:color="auto"/>
        <w:right w:val="none" w:sz="0" w:space="0" w:color="auto"/>
      </w:divBdr>
    </w:div>
    <w:div w:id="1049450999">
      <w:bodyDiv w:val="1"/>
      <w:marLeft w:val="0"/>
      <w:marRight w:val="0"/>
      <w:marTop w:val="0"/>
      <w:marBottom w:val="0"/>
      <w:divBdr>
        <w:top w:val="none" w:sz="0" w:space="0" w:color="auto"/>
        <w:left w:val="none" w:sz="0" w:space="0" w:color="auto"/>
        <w:bottom w:val="none" w:sz="0" w:space="0" w:color="auto"/>
        <w:right w:val="none" w:sz="0" w:space="0" w:color="auto"/>
      </w:divBdr>
    </w:div>
    <w:div w:id="1049954482">
      <w:bodyDiv w:val="1"/>
      <w:marLeft w:val="0"/>
      <w:marRight w:val="0"/>
      <w:marTop w:val="0"/>
      <w:marBottom w:val="0"/>
      <w:divBdr>
        <w:top w:val="none" w:sz="0" w:space="0" w:color="auto"/>
        <w:left w:val="none" w:sz="0" w:space="0" w:color="auto"/>
        <w:bottom w:val="none" w:sz="0" w:space="0" w:color="auto"/>
        <w:right w:val="none" w:sz="0" w:space="0" w:color="auto"/>
      </w:divBdr>
    </w:div>
    <w:div w:id="1056316376">
      <w:bodyDiv w:val="1"/>
      <w:marLeft w:val="0"/>
      <w:marRight w:val="0"/>
      <w:marTop w:val="0"/>
      <w:marBottom w:val="0"/>
      <w:divBdr>
        <w:top w:val="none" w:sz="0" w:space="0" w:color="auto"/>
        <w:left w:val="none" w:sz="0" w:space="0" w:color="auto"/>
        <w:bottom w:val="none" w:sz="0" w:space="0" w:color="auto"/>
        <w:right w:val="none" w:sz="0" w:space="0" w:color="auto"/>
      </w:divBdr>
    </w:div>
    <w:div w:id="1056395188">
      <w:bodyDiv w:val="1"/>
      <w:marLeft w:val="0"/>
      <w:marRight w:val="0"/>
      <w:marTop w:val="0"/>
      <w:marBottom w:val="0"/>
      <w:divBdr>
        <w:top w:val="none" w:sz="0" w:space="0" w:color="auto"/>
        <w:left w:val="none" w:sz="0" w:space="0" w:color="auto"/>
        <w:bottom w:val="none" w:sz="0" w:space="0" w:color="auto"/>
        <w:right w:val="none" w:sz="0" w:space="0" w:color="auto"/>
      </w:divBdr>
    </w:div>
    <w:div w:id="1058625861">
      <w:bodyDiv w:val="1"/>
      <w:marLeft w:val="0"/>
      <w:marRight w:val="0"/>
      <w:marTop w:val="0"/>
      <w:marBottom w:val="0"/>
      <w:divBdr>
        <w:top w:val="none" w:sz="0" w:space="0" w:color="auto"/>
        <w:left w:val="none" w:sz="0" w:space="0" w:color="auto"/>
        <w:bottom w:val="none" w:sz="0" w:space="0" w:color="auto"/>
        <w:right w:val="none" w:sz="0" w:space="0" w:color="auto"/>
      </w:divBdr>
    </w:div>
    <w:div w:id="1071850134">
      <w:bodyDiv w:val="1"/>
      <w:marLeft w:val="0"/>
      <w:marRight w:val="0"/>
      <w:marTop w:val="0"/>
      <w:marBottom w:val="0"/>
      <w:divBdr>
        <w:top w:val="none" w:sz="0" w:space="0" w:color="auto"/>
        <w:left w:val="none" w:sz="0" w:space="0" w:color="auto"/>
        <w:bottom w:val="none" w:sz="0" w:space="0" w:color="auto"/>
        <w:right w:val="none" w:sz="0" w:space="0" w:color="auto"/>
      </w:divBdr>
    </w:div>
    <w:div w:id="1074089787">
      <w:bodyDiv w:val="1"/>
      <w:marLeft w:val="0"/>
      <w:marRight w:val="0"/>
      <w:marTop w:val="0"/>
      <w:marBottom w:val="0"/>
      <w:divBdr>
        <w:top w:val="none" w:sz="0" w:space="0" w:color="auto"/>
        <w:left w:val="none" w:sz="0" w:space="0" w:color="auto"/>
        <w:bottom w:val="none" w:sz="0" w:space="0" w:color="auto"/>
        <w:right w:val="none" w:sz="0" w:space="0" w:color="auto"/>
      </w:divBdr>
    </w:div>
    <w:div w:id="1079138847">
      <w:bodyDiv w:val="1"/>
      <w:marLeft w:val="0"/>
      <w:marRight w:val="0"/>
      <w:marTop w:val="0"/>
      <w:marBottom w:val="0"/>
      <w:divBdr>
        <w:top w:val="none" w:sz="0" w:space="0" w:color="auto"/>
        <w:left w:val="none" w:sz="0" w:space="0" w:color="auto"/>
        <w:bottom w:val="none" w:sz="0" w:space="0" w:color="auto"/>
        <w:right w:val="none" w:sz="0" w:space="0" w:color="auto"/>
      </w:divBdr>
    </w:div>
    <w:div w:id="1082261603">
      <w:bodyDiv w:val="1"/>
      <w:marLeft w:val="0"/>
      <w:marRight w:val="0"/>
      <w:marTop w:val="0"/>
      <w:marBottom w:val="0"/>
      <w:divBdr>
        <w:top w:val="none" w:sz="0" w:space="0" w:color="auto"/>
        <w:left w:val="none" w:sz="0" w:space="0" w:color="auto"/>
        <w:bottom w:val="none" w:sz="0" w:space="0" w:color="auto"/>
        <w:right w:val="none" w:sz="0" w:space="0" w:color="auto"/>
      </w:divBdr>
    </w:div>
    <w:div w:id="1085608230">
      <w:bodyDiv w:val="1"/>
      <w:marLeft w:val="0"/>
      <w:marRight w:val="0"/>
      <w:marTop w:val="0"/>
      <w:marBottom w:val="0"/>
      <w:divBdr>
        <w:top w:val="none" w:sz="0" w:space="0" w:color="auto"/>
        <w:left w:val="none" w:sz="0" w:space="0" w:color="auto"/>
        <w:bottom w:val="none" w:sz="0" w:space="0" w:color="auto"/>
        <w:right w:val="none" w:sz="0" w:space="0" w:color="auto"/>
      </w:divBdr>
    </w:div>
    <w:div w:id="1086803262">
      <w:bodyDiv w:val="1"/>
      <w:marLeft w:val="0"/>
      <w:marRight w:val="0"/>
      <w:marTop w:val="0"/>
      <w:marBottom w:val="0"/>
      <w:divBdr>
        <w:top w:val="none" w:sz="0" w:space="0" w:color="auto"/>
        <w:left w:val="none" w:sz="0" w:space="0" w:color="auto"/>
        <w:bottom w:val="none" w:sz="0" w:space="0" w:color="auto"/>
        <w:right w:val="none" w:sz="0" w:space="0" w:color="auto"/>
      </w:divBdr>
    </w:div>
    <w:div w:id="1087119696">
      <w:bodyDiv w:val="1"/>
      <w:marLeft w:val="0"/>
      <w:marRight w:val="0"/>
      <w:marTop w:val="0"/>
      <w:marBottom w:val="0"/>
      <w:divBdr>
        <w:top w:val="none" w:sz="0" w:space="0" w:color="auto"/>
        <w:left w:val="none" w:sz="0" w:space="0" w:color="auto"/>
        <w:bottom w:val="none" w:sz="0" w:space="0" w:color="auto"/>
        <w:right w:val="none" w:sz="0" w:space="0" w:color="auto"/>
      </w:divBdr>
    </w:div>
    <w:div w:id="1091269433">
      <w:bodyDiv w:val="1"/>
      <w:marLeft w:val="0"/>
      <w:marRight w:val="0"/>
      <w:marTop w:val="0"/>
      <w:marBottom w:val="0"/>
      <w:divBdr>
        <w:top w:val="none" w:sz="0" w:space="0" w:color="auto"/>
        <w:left w:val="none" w:sz="0" w:space="0" w:color="auto"/>
        <w:bottom w:val="none" w:sz="0" w:space="0" w:color="auto"/>
        <w:right w:val="none" w:sz="0" w:space="0" w:color="auto"/>
      </w:divBdr>
    </w:div>
    <w:div w:id="1094519834">
      <w:bodyDiv w:val="1"/>
      <w:marLeft w:val="0"/>
      <w:marRight w:val="0"/>
      <w:marTop w:val="0"/>
      <w:marBottom w:val="0"/>
      <w:divBdr>
        <w:top w:val="none" w:sz="0" w:space="0" w:color="auto"/>
        <w:left w:val="none" w:sz="0" w:space="0" w:color="auto"/>
        <w:bottom w:val="none" w:sz="0" w:space="0" w:color="auto"/>
        <w:right w:val="none" w:sz="0" w:space="0" w:color="auto"/>
      </w:divBdr>
    </w:div>
    <w:div w:id="1098713864">
      <w:bodyDiv w:val="1"/>
      <w:marLeft w:val="0"/>
      <w:marRight w:val="0"/>
      <w:marTop w:val="0"/>
      <w:marBottom w:val="0"/>
      <w:divBdr>
        <w:top w:val="none" w:sz="0" w:space="0" w:color="auto"/>
        <w:left w:val="none" w:sz="0" w:space="0" w:color="auto"/>
        <w:bottom w:val="none" w:sz="0" w:space="0" w:color="auto"/>
        <w:right w:val="none" w:sz="0" w:space="0" w:color="auto"/>
      </w:divBdr>
    </w:div>
    <w:div w:id="1099108713">
      <w:bodyDiv w:val="1"/>
      <w:marLeft w:val="0"/>
      <w:marRight w:val="0"/>
      <w:marTop w:val="0"/>
      <w:marBottom w:val="0"/>
      <w:divBdr>
        <w:top w:val="none" w:sz="0" w:space="0" w:color="auto"/>
        <w:left w:val="none" w:sz="0" w:space="0" w:color="auto"/>
        <w:bottom w:val="none" w:sz="0" w:space="0" w:color="auto"/>
        <w:right w:val="none" w:sz="0" w:space="0" w:color="auto"/>
      </w:divBdr>
    </w:div>
    <w:div w:id="1101922843">
      <w:bodyDiv w:val="1"/>
      <w:marLeft w:val="0"/>
      <w:marRight w:val="0"/>
      <w:marTop w:val="0"/>
      <w:marBottom w:val="0"/>
      <w:divBdr>
        <w:top w:val="none" w:sz="0" w:space="0" w:color="auto"/>
        <w:left w:val="none" w:sz="0" w:space="0" w:color="auto"/>
        <w:bottom w:val="none" w:sz="0" w:space="0" w:color="auto"/>
        <w:right w:val="none" w:sz="0" w:space="0" w:color="auto"/>
      </w:divBdr>
    </w:div>
    <w:div w:id="1103064036">
      <w:bodyDiv w:val="1"/>
      <w:marLeft w:val="0"/>
      <w:marRight w:val="0"/>
      <w:marTop w:val="0"/>
      <w:marBottom w:val="0"/>
      <w:divBdr>
        <w:top w:val="none" w:sz="0" w:space="0" w:color="auto"/>
        <w:left w:val="none" w:sz="0" w:space="0" w:color="auto"/>
        <w:bottom w:val="none" w:sz="0" w:space="0" w:color="auto"/>
        <w:right w:val="none" w:sz="0" w:space="0" w:color="auto"/>
      </w:divBdr>
    </w:div>
    <w:div w:id="1104497375">
      <w:bodyDiv w:val="1"/>
      <w:marLeft w:val="0"/>
      <w:marRight w:val="0"/>
      <w:marTop w:val="0"/>
      <w:marBottom w:val="0"/>
      <w:divBdr>
        <w:top w:val="none" w:sz="0" w:space="0" w:color="auto"/>
        <w:left w:val="none" w:sz="0" w:space="0" w:color="auto"/>
        <w:bottom w:val="none" w:sz="0" w:space="0" w:color="auto"/>
        <w:right w:val="none" w:sz="0" w:space="0" w:color="auto"/>
      </w:divBdr>
    </w:div>
    <w:div w:id="1106728493">
      <w:bodyDiv w:val="1"/>
      <w:marLeft w:val="0"/>
      <w:marRight w:val="0"/>
      <w:marTop w:val="0"/>
      <w:marBottom w:val="0"/>
      <w:divBdr>
        <w:top w:val="none" w:sz="0" w:space="0" w:color="auto"/>
        <w:left w:val="none" w:sz="0" w:space="0" w:color="auto"/>
        <w:bottom w:val="none" w:sz="0" w:space="0" w:color="auto"/>
        <w:right w:val="none" w:sz="0" w:space="0" w:color="auto"/>
      </w:divBdr>
    </w:div>
    <w:div w:id="1110785296">
      <w:bodyDiv w:val="1"/>
      <w:marLeft w:val="0"/>
      <w:marRight w:val="0"/>
      <w:marTop w:val="0"/>
      <w:marBottom w:val="0"/>
      <w:divBdr>
        <w:top w:val="none" w:sz="0" w:space="0" w:color="auto"/>
        <w:left w:val="none" w:sz="0" w:space="0" w:color="auto"/>
        <w:bottom w:val="none" w:sz="0" w:space="0" w:color="auto"/>
        <w:right w:val="none" w:sz="0" w:space="0" w:color="auto"/>
      </w:divBdr>
    </w:div>
    <w:div w:id="1113742214">
      <w:bodyDiv w:val="1"/>
      <w:marLeft w:val="0"/>
      <w:marRight w:val="0"/>
      <w:marTop w:val="0"/>
      <w:marBottom w:val="0"/>
      <w:divBdr>
        <w:top w:val="none" w:sz="0" w:space="0" w:color="auto"/>
        <w:left w:val="none" w:sz="0" w:space="0" w:color="auto"/>
        <w:bottom w:val="none" w:sz="0" w:space="0" w:color="auto"/>
        <w:right w:val="none" w:sz="0" w:space="0" w:color="auto"/>
      </w:divBdr>
    </w:div>
    <w:div w:id="1114517378">
      <w:bodyDiv w:val="1"/>
      <w:marLeft w:val="0"/>
      <w:marRight w:val="0"/>
      <w:marTop w:val="0"/>
      <w:marBottom w:val="0"/>
      <w:divBdr>
        <w:top w:val="none" w:sz="0" w:space="0" w:color="auto"/>
        <w:left w:val="none" w:sz="0" w:space="0" w:color="auto"/>
        <w:bottom w:val="none" w:sz="0" w:space="0" w:color="auto"/>
        <w:right w:val="none" w:sz="0" w:space="0" w:color="auto"/>
      </w:divBdr>
    </w:div>
    <w:div w:id="1115249023">
      <w:bodyDiv w:val="1"/>
      <w:marLeft w:val="0"/>
      <w:marRight w:val="0"/>
      <w:marTop w:val="0"/>
      <w:marBottom w:val="0"/>
      <w:divBdr>
        <w:top w:val="none" w:sz="0" w:space="0" w:color="auto"/>
        <w:left w:val="none" w:sz="0" w:space="0" w:color="auto"/>
        <w:bottom w:val="none" w:sz="0" w:space="0" w:color="auto"/>
        <w:right w:val="none" w:sz="0" w:space="0" w:color="auto"/>
      </w:divBdr>
    </w:div>
    <w:div w:id="1117068294">
      <w:bodyDiv w:val="1"/>
      <w:marLeft w:val="0"/>
      <w:marRight w:val="0"/>
      <w:marTop w:val="0"/>
      <w:marBottom w:val="0"/>
      <w:divBdr>
        <w:top w:val="none" w:sz="0" w:space="0" w:color="auto"/>
        <w:left w:val="none" w:sz="0" w:space="0" w:color="auto"/>
        <w:bottom w:val="none" w:sz="0" w:space="0" w:color="auto"/>
        <w:right w:val="none" w:sz="0" w:space="0" w:color="auto"/>
      </w:divBdr>
    </w:div>
    <w:div w:id="1119841635">
      <w:bodyDiv w:val="1"/>
      <w:marLeft w:val="0"/>
      <w:marRight w:val="0"/>
      <w:marTop w:val="0"/>
      <w:marBottom w:val="0"/>
      <w:divBdr>
        <w:top w:val="none" w:sz="0" w:space="0" w:color="auto"/>
        <w:left w:val="none" w:sz="0" w:space="0" w:color="auto"/>
        <w:bottom w:val="none" w:sz="0" w:space="0" w:color="auto"/>
        <w:right w:val="none" w:sz="0" w:space="0" w:color="auto"/>
      </w:divBdr>
    </w:div>
    <w:div w:id="1125853215">
      <w:bodyDiv w:val="1"/>
      <w:marLeft w:val="0"/>
      <w:marRight w:val="0"/>
      <w:marTop w:val="0"/>
      <w:marBottom w:val="0"/>
      <w:divBdr>
        <w:top w:val="none" w:sz="0" w:space="0" w:color="auto"/>
        <w:left w:val="none" w:sz="0" w:space="0" w:color="auto"/>
        <w:bottom w:val="none" w:sz="0" w:space="0" w:color="auto"/>
        <w:right w:val="none" w:sz="0" w:space="0" w:color="auto"/>
      </w:divBdr>
    </w:div>
    <w:div w:id="1126922875">
      <w:bodyDiv w:val="1"/>
      <w:marLeft w:val="0"/>
      <w:marRight w:val="0"/>
      <w:marTop w:val="0"/>
      <w:marBottom w:val="0"/>
      <w:divBdr>
        <w:top w:val="none" w:sz="0" w:space="0" w:color="auto"/>
        <w:left w:val="none" w:sz="0" w:space="0" w:color="auto"/>
        <w:bottom w:val="none" w:sz="0" w:space="0" w:color="auto"/>
        <w:right w:val="none" w:sz="0" w:space="0" w:color="auto"/>
      </w:divBdr>
    </w:div>
    <w:div w:id="112993289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9179237">
      <w:bodyDiv w:val="1"/>
      <w:marLeft w:val="0"/>
      <w:marRight w:val="0"/>
      <w:marTop w:val="0"/>
      <w:marBottom w:val="0"/>
      <w:divBdr>
        <w:top w:val="none" w:sz="0" w:space="0" w:color="auto"/>
        <w:left w:val="none" w:sz="0" w:space="0" w:color="auto"/>
        <w:bottom w:val="none" w:sz="0" w:space="0" w:color="auto"/>
        <w:right w:val="none" w:sz="0" w:space="0" w:color="auto"/>
      </w:divBdr>
    </w:div>
    <w:div w:id="1141388655">
      <w:bodyDiv w:val="1"/>
      <w:marLeft w:val="0"/>
      <w:marRight w:val="0"/>
      <w:marTop w:val="0"/>
      <w:marBottom w:val="0"/>
      <w:divBdr>
        <w:top w:val="none" w:sz="0" w:space="0" w:color="auto"/>
        <w:left w:val="none" w:sz="0" w:space="0" w:color="auto"/>
        <w:bottom w:val="none" w:sz="0" w:space="0" w:color="auto"/>
        <w:right w:val="none" w:sz="0" w:space="0" w:color="auto"/>
      </w:divBdr>
    </w:div>
    <w:div w:id="1143040042">
      <w:bodyDiv w:val="1"/>
      <w:marLeft w:val="0"/>
      <w:marRight w:val="0"/>
      <w:marTop w:val="0"/>
      <w:marBottom w:val="0"/>
      <w:divBdr>
        <w:top w:val="none" w:sz="0" w:space="0" w:color="auto"/>
        <w:left w:val="none" w:sz="0" w:space="0" w:color="auto"/>
        <w:bottom w:val="none" w:sz="0" w:space="0" w:color="auto"/>
        <w:right w:val="none" w:sz="0" w:space="0" w:color="auto"/>
      </w:divBdr>
    </w:div>
    <w:div w:id="1143086278">
      <w:bodyDiv w:val="1"/>
      <w:marLeft w:val="0"/>
      <w:marRight w:val="0"/>
      <w:marTop w:val="0"/>
      <w:marBottom w:val="0"/>
      <w:divBdr>
        <w:top w:val="none" w:sz="0" w:space="0" w:color="auto"/>
        <w:left w:val="none" w:sz="0" w:space="0" w:color="auto"/>
        <w:bottom w:val="none" w:sz="0" w:space="0" w:color="auto"/>
        <w:right w:val="none" w:sz="0" w:space="0" w:color="auto"/>
      </w:divBdr>
    </w:div>
    <w:div w:id="1143741765">
      <w:bodyDiv w:val="1"/>
      <w:marLeft w:val="0"/>
      <w:marRight w:val="0"/>
      <w:marTop w:val="0"/>
      <w:marBottom w:val="0"/>
      <w:divBdr>
        <w:top w:val="none" w:sz="0" w:space="0" w:color="auto"/>
        <w:left w:val="none" w:sz="0" w:space="0" w:color="auto"/>
        <w:bottom w:val="none" w:sz="0" w:space="0" w:color="auto"/>
        <w:right w:val="none" w:sz="0" w:space="0" w:color="auto"/>
      </w:divBdr>
    </w:div>
    <w:div w:id="1143885234">
      <w:bodyDiv w:val="1"/>
      <w:marLeft w:val="0"/>
      <w:marRight w:val="0"/>
      <w:marTop w:val="0"/>
      <w:marBottom w:val="0"/>
      <w:divBdr>
        <w:top w:val="none" w:sz="0" w:space="0" w:color="auto"/>
        <w:left w:val="none" w:sz="0" w:space="0" w:color="auto"/>
        <w:bottom w:val="none" w:sz="0" w:space="0" w:color="auto"/>
        <w:right w:val="none" w:sz="0" w:space="0" w:color="auto"/>
      </w:divBdr>
    </w:div>
    <w:div w:id="1144658315">
      <w:bodyDiv w:val="1"/>
      <w:marLeft w:val="0"/>
      <w:marRight w:val="0"/>
      <w:marTop w:val="0"/>
      <w:marBottom w:val="0"/>
      <w:divBdr>
        <w:top w:val="none" w:sz="0" w:space="0" w:color="auto"/>
        <w:left w:val="none" w:sz="0" w:space="0" w:color="auto"/>
        <w:bottom w:val="none" w:sz="0" w:space="0" w:color="auto"/>
        <w:right w:val="none" w:sz="0" w:space="0" w:color="auto"/>
      </w:divBdr>
    </w:div>
    <w:div w:id="1146165809">
      <w:bodyDiv w:val="1"/>
      <w:marLeft w:val="0"/>
      <w:marRight w:val="0"/>
      <w:marTop w:val="0"/>
      <w:marBottom w:val="0"/>
      <w:divBdr>
        <w:top w:val="none" w:sz="0" w:space="0" w:color="auto"/>
        <w:left w:val="none" w:sz="0" w:space="0" w:color="auto"/>
        <w:bottom w:val="none" w:sz="0" w:space="0" w:color="auto"/>
        <w:right w:val="none" w:sz="0" w:space="0" w:color="auto"/>
      </w:divBdr>
    </w:div>
    <w:div w:id="1146701836">
      <w:bodyDiv w:val="1"/>
      <w:marLeft w:val="0"/>
      <w:marRight w:val="0"/>
      <w:marTop w:val="0"/>
      <w:marBottom w:val="0"/>
      <w:divBdr>
        <w:top w:val="none" w:sz="0" w:space="0" w:color="auto"/>
        <w:left w:val="none" w:sz="0" w:space="0" w:color="auto"/>
        <w:bottom w:val="none" w:sz="0" w:space="0" w:color="auto"/>
        <w:right w:val="none" w:sz="0" w:space="0" w:color="auto"/>
      </w:divBdr>
    </w:div>
    <w:div w:id="1153252790">
      <w:bodyDiv w:val="1"/>
      <w:marLeft w:val="0"/>
      <w:marRight w:val="0"/>
      <w:marTop w:val="0"/>
      <w:marBottom w:val="0"/>
      <w:divBdr>
        <w:top w:val="none" w:sz="0" w:space="0" w:color="auto"/>
        <w:left w:val="none" w:sz="0" w:space="0" w:color="auto"/>
        <w:bottom w:val="none" w:sz="0" w:space="0" w:color="auto"/>
        <w:right w:val="none" w:sz="0" w:space="0" w:color="auto"/>
      </w:divBdr>
    </w:div>
    <w:div w:id="1161235263">
      <w:bodyDiv w:val="1"/>
      <w:marLeft w:val="0"/>
      <w:marRight w:val="0"/>
      <w:marTop w:val="0"/>
      <w:marBottom w:val="0"/>
      <w:divBdr>
        <w:top w:val="none" w:sz="0" w:space="0" w:color="auto"/>
        <w:left w:val="none" w:sz="0" w:space="0" w:color="auto"/>
        <w:bottom w:val="none" w:sz="0" w:space="0" w:color="auto"/>
        <w:right w:val="none" w:sz="0" w:space="0" w:color="auto"/>
      </w:divBdr>
    </w:div>
    <w:div w:id="1164318886">
      <w:bodyDiv w:val="1"/>
      <w:marLeft w:val="0"/>
      <w:marRight w:val="0"/>
      <w:marTop w:val="0"/>
      <w:marBottom w:val="0"/>
      <w:divBdr>
        <w:top w:val="none" w:sz="0" w:space="0" w:color="auto"/>
        <w:left w:val="none" w:sz="0" w:space="0" w:color="auto"/>
        <w:bottom w:val="none" w:sz="0" w:space="0" w:color="auto"/>
        <w:right w:val="none" w:sz="0" w:space="0" w:color="auto"/>
      </w:divBdr>
    </w:div>
    <w:div w:id="1164472560">
      <w:bodyDiv w:val="1"/>
      <w:marLeft w:val="0"/>
      <w:marRight w:val="0"/>
      <w:marTop w:val="0"/>
      <w:marBottom w:val="0"/>
      <w:divBdr>
        <w:top w:val="none" w:sz="0" w:space="0" w:color="auto"/>
        <w:left w:val="none" w:sz="0" w:space="0" w:color="auto"/>
        <w:bottom w:val="none" w:sz="0" w:space="0" w:color="auto"/>
        <w:right w:val="none" w:sz="0" w:space="0" w:color="auto"/>
      </w:divBdr>
    </w:div>
    <w:div w:id="1165630469">
      <w:bodyDiv w:val="1"/>
      <w:marLeft w:val="0"/>
      <w:marRight w:val="0"/>
      <w:marTop w:val="0"/>
      <w:marBottom w:val="0"/>
      <w:divBdr>
        <w:top w:val="none" w:sz="0" w:space="0" w:color="auto"/>
        <w:left w:val="none" w:sz="0" w:space="0" w:color="auto"/>
        <w:bottom w:val="none" w:sz="0" w:space="0" w:color="auto"/>
        <w:right w:val="none" w:sz="0" w:space="0" w:color="auto"/>
      </w:divBdr>
    </w:div>
    <w:div w:id="1166093885">
      <w:bodyDiv w:val="1"/>
      <w:marLeft w:val="0"/>
      <w:marRight w:val="0"/>
      <w:marTop w:val="0"/>
      <w:marBottom w:val="0"/>
      <w:divBdr>
        <w:top w:val="none" w:sz="0" w:space="0" w:color="auto"/>
        <w:left w:val="none" w:sz="0" w:space="0" w:color="auto"/>
        <w:bottom w:val="none" w:sz="0" w:space="0" w:color="auto"/>
        <w:right w:val="none" w:sz="0" w:space="0" w:color="auto"/>
      </w:divBdr>
    </w:div>
    <w:div w:id="1166476111">
      <w:bodyDiv w:val="1"/>
      <w:marLeft w:val="0"/>
      <w:marRight w:val="0"/>
      <w:marTop w:val="0"/>
      <w:marBottom w:val="0"/>
      <w:divBdr>
        <w:top w:val="none" w:sz="0" w:space="0" w:color="auto"/>
        <w:left w:val="none" w:sz="0" w:space="0" w:color="auto"/>
        <w:bottom w:val="none" w:sz="0" w:space="0" w:color="auto"/>
        <w:right w:val="none" w:sz="0" w:space="0" w:color="auto"/>
      </w:divBdr>
    </w:div>
    <w:div w:id="1169098387">
      <w:bodyDiv w:val="1"/>
      <w:marLeft w:val="0"/>
      <w:marRight w:val="0"/>
      <w:marTop w:val="0"/>
      <w:marBottom w:val="0"/>
      <w:divBdr>
        <w:top w:val="none" w:sz="0" w:space="0" w:color="auto"/>
        <w:left w:val="none" w:sz="0" w:space="0" w:color="auto"/>
        <w:bottom w:val="none" w:sz="0" w:space="0" w:color="auto"/>
        <w:right w:val="none" w:sz="0" w:space="0" w:color="auto"/>
      </w:divBdr>
    </w:div>
    <w:div w:id="1170020063">
      <w:bodyDiv w:val="1"/>
      <w:marLeft w:val="0"/>
      <w:marRight w:val="0"/>
      <w:marTop w:val="0"/>
      <w:marBottom w:val="0"/>
      <w:divBdr>
        <w:top w:val="none" w:sz="0" w:space="0" w:color="auto"/>
        <w:left w:val="none" w:sz="0" w:space="0" w:color="auto"/>
        <w:bottom w:val="none" w:sz="0" w:space="0" w:color="auto"/>
        <w:right w:val="none" w:sz="0" w:space="0" w:color="auto"/>
      </w:divBdr>
    </w:div>
    <w:div w:id="1180780626">
      <w:bodyDiv w:val="1"/>
      <w:marLeft w:val="0"/>
      <w:marRight w:val="0"/>
      <w:marTop w:val="0"/>
      <w:marBottom w:val="0"/>
      <w:divBdr>
        <w:top w:val="none" w:sz="0" w:space="0" w:color="auto"/>
        <w:left w:val="none" w:sz="0" w:space="0" w:color="auto"/>
        <w:bottom w:val="none" w:sz="0" w:space="0" w:color="auto"/>
        <w:right w:val="none" w:sz="0" w:space="0" w:color="auto"/>
      </w:divBdr>
    </w:div>
    <w:div w:id="1184439205">
      <w:bodyDiv w:val="1"/>
      <w:marLeft w:val="0"/>
      <w:marRight w:val="0"/>
      <w:marTop w:val="0"/>
      <w:marBottom w:val="0"/>
      <w:divBdr>
        <w:top w:val="none" w:sz="0" w:space="0" w:color="auto"/>
        <w:left w:val="none" w:sz="0" w:space="0" w:color="auto"/>
        <w:bottom w:val="none" w:sz="0" w:space="0" w:color="auto"/>
        <w:right w:val="none" w:sz="0" w:space="0" w:color="auto"/>
      </w:divBdr>
    </w:div>
    <w:div w:id="1186089801">
      <w:bodyDiv w:val="1"/>
      <w:marLeft w:val="0"/>
      <w:marRight w:val="0"/>
      <w:marTop w:val="0"/>
      <w:marBottom w:val="0"/>
      <w:divBdr>
        <w:top w:val="none" w:sz="0" w:space="0" w:color="auto"/>
        <w:left w:val="none" w:sz="0" w:space="0" w:color="auto"/>
        <w:bottom w:val="none" w:sz="0" w:space="0" w:color="auto"/>
        <w:right w:val="none" w:sz="0" w:space="0" w:color="auto"/>
      </w:divBdr>
    </w:div>
    <w:div w:id="1193880960">
      <w:bodyDiv w:val="1"/>
      <w:marLeft w:val="0"/>
      <w:marRight w:val="0"/>
      <w:marTop w:val="0"/>
      <w:marBottom w:val="0"/>
      <w:divBdr>
        <w:top w:val="none" w:sz="0" w:space="0" w:color="auto"/>
        <w:left w:val="none" w:sz="0" w:space="0" w:color="auto"/>
        <w:bottom w:val="none" w:sz="0" w:space="0" w:color="auto"/>
        <w:right w:val="none" w:sz="0" w:space="0" w:color="auto"/>
      </w:divBdr>
    </w:div>
    <w:div w:id="1196652243">
      <w:bodyDiv w:val="1"/>
      <w:marLeft w:val="0"/>
      <w:marRight w:val="0"/>
      <w:marTop w:val="0"/>
      <w:marBottom w:val="0"/>
      <w:divBdr>
        <w:top w:val="none" w:sz="0" w:space="0" w:color="auto"/>
        <w:left w:val="none" w:sz="0" w:space="0" w:color="auto"/>
        <w:bottom w:val="none" w:sz="0" w:space="0" w:color="auto"/>
        <w:right w:val="none" w:sz="0" w:space="0" w:color="auto"/>
      </w:divBdr>
    </w:div>
    <w:div w:id="1196970394">
      <w:bodyDiv w:val="1"/>
      <w:marLeft w:val="0"/>
      <w:marRight w:val="0"/>
      <w:marTop w:val="0"/>
      <w:marBottom w:val="0"/>
      <w:divBdr>
        <w:top w:val="none" w:sz="0" w:space="0" w:color="auto"/>
        <w:left w:val="none" w:sz="0" w:space="0" w:color="auto"/>
        <w:bottom w:val="none" w:sz="0" w:space="0" w:color="auto"/>
        <w:right w:val="none" w:sz="0" w:space="0" w:color="auto"/>
      </w:divBdr>
    </w:div>
    <w:div w:id="1197086801">
      <w:bodyDiv w:val="1"/>
      <w:marLeft w:val="0"/>
      <w:marRight w:val="0"/>
      <w:marTop w:val="0"/>
      <w:marBottom w:val="0"/>
      <w:divBdr>
        <w:top w:val="none" w:sz="0" w:space="0" w:color="auto"/>
        <w:left w:val="none" w:sz="0" w:space="0" w:color="auto"/>
        <w:bottom w:val="none" w:sz="0" w:space="0" w:color="auto"/>
        <w:right w:val="none" w:sz="0" w:space="0" w:color="auto"/>
      </w:divBdr>
    </w:div>
    <w:div w:id="1198275212">
      <w:bodyDiv w:val="1"/>
      <w:marLeft w:val="0"/>
      <w:marRight w:val="0"/>
      <w:marTop w:val="0"/>
      <w:marBottom w:val="0"/>
      <w:divBdr>
        <w:top w:val="none" w:sz="0" w:space="0" w:color="auto"/>
        <w:left w:val="none" w:sz="0" w:space="0" w:color="auto"/>
        <w:bottom w:val="none" w:sz="0" w:space="0" w:color="auto"/>
        <w:right w:val="none" w:sz="0" w:space="0" w:color="auto"/>
      </w:divBdr>
    </w:div>
    <w:div w:id="1204440982">
      <w:bodyDiv w:val="1"/>
      <w:marLeft w:val="0"/>
      <w:marRight w:val="0"/>
      <w:marTop w:val="0"/>
      <w:marBottom w:val="0"/>
      <w:divBdr>
        <w:top w:val="none" w:sz="0" w:space="0" w:color="auto"/>
        <w:left w:val="none" w:sz="0" w:space="0" w:color="auto"/>
        <w:bottom w:val="none" w:sz="0" w:space="0" w:color="auto"/>
        <w:right w:val="none" w:sz="0" w:space="0" w:color="auto"/>
      </w:divBdr>
    </w:div>
    <w:div w:id="1209218912">
      <w:bodyDiv w:val="1"/>
      <w:marLeft w:val="0"/>
      <w:marRight w:val="0"/>
      <w:marTop w:val="0"/>
      <w:marBottom w:val="0"/>
      <w:divBdr>
        <w:top w:val="none" w:sz="0" w:space="0" w:color="auto"/>
        <w:left w:val="none" w:sz="0" w:space="0" w:color="auto"/>
        <w:bottom w:val="none" w:sz="0" w:space="0" w:color="auto"/>
        <w:right w:val="none" w:sz="0" w:space="0" w:color="auto"/>
      </w:divBdr>
    </w:div>
    <w:div w:id="1213544527">
      <w:bodyDiv w:val="1"/>
      <w:marLeft w:val="0"/>
      <w:marRight w:val="0"/>
      <w:marTop w:val="0"/>
      <w:marBottom w:val="0"/>
      <w:divBdr>
        <w:top w:val="none" w:sz="0" w:space="0" w:color="auto"/>
        <w:left w:val="none" w:sz="0" w:space="0" w:color="auto"/>
        <w:bottom w:val="none" w:sz="0" w:space="0" w:color="auto"/>
        <w:right w:val="none" w:sz="0" w:space="0" w:color="auto"/>
      </w:divBdr>
    </w:div>
    <w:div w:id="1213619659">
      <w:bodyDiv w:val="1"/>
      <w:marLeft w:val="0"/>
      <w:marRight w:val="0"/>
      <w:marTop w:val="0"/>
      <w:marBottom w:val="0"/>
      <w:divBdr>
        <w:top w:val="none" w:sz="0" w:space="0" w:color="auto"/>
        <w:left w:val="none" w:sz="0" w:space="0" w:color="auto"/>
        <w:bottom w:val="none" w:sz="0" w:space="0" w:color="auto"/>
        <w:right w:val="none" w:sz="0" w:space="0" w:color="auto"/>
      </w:divBdr>
    </w:div>
    <w:div w:id="1222055074">
      <w:bodyDiv w:val="1"/>
      <w:marLeft w:val="0"/>
      <w:marRight w:val="0"/>
      <w:marTop w:val="0"/>
      <w:marBottom w:val="0"/>
      <w:divBdr>
        <w:top w:val="none" w:sz="0" w:space="0" w:color="auto"/>
        <w:left w:val="none" w:sz="0" w:space="0" w:color="auto"/>
        <w:bottom w:val="none" w:sz="0" w:space="0" w:color="auto"/>
        <w:right w:val="none" w:sz="0" w:space="0" w:color="auto"/>
      </w:divBdr>
    </w:div>
    <w:div w:id="1225603178">
      <w:bodyDiv w:val="1"/>
      <w:marLeft w:val="0"/>
      <w:marRight w:val="0"/>
      <w:marTop w:val="0"/>
      <w:marBottom w:val="0"/>
      <w:divBdr>
        <w:top w:val="none" w:sz="0" w:space="0" w:color="auto"/>
        <w:left w:val="none" w:sz="0" w:space="0" w:color="auto"/>
        <w:bottom w:val="none" w:sz="0" w:space="0" w:color="auto"/>
        <w:right w:val="none" w:sz="0" w:space="0" w:color="auto"/>
      </w:divBdr>
    </w:div>
    <w:div w:id="1227838267">
      <w:bodyDiv w:val="1"/>
      <w:marLeft w:val="0"/>
      <w:marRight w:val="0"/>
      <w:marTop w:val="0"/>
      <w:marBottom w:val="0"/>
      <w:divBdr>
        <w:top w:val="none" w:sz="0" w:space="0" w:color="auto"/>
        <w:left w:val="none" w:sz="0" w:space="0" w:color="auto"/>
        <w:bottom w:val="none" w:sz="0" w:space="0" w:color="auto"/>
        <w:right w:val="none" w:sz="0" w:space="0" w:color="auto"/>
      </w:divBdr>
    </w:div>
    <w:div w:id="1233929579">
      <w:bodyDiv w:val="1"/>
      <w:marLeft w:val="0"/>
      <w:marRight w:val="0"/>
      <w:marTop w:val="0"/>
      <w:marBottom w:val="0"/>
      <w:divBdr>
        <w:top w:val="none" w:sz="0" w:space="0" w:color="auto"/>
        <w:left w:val="none" w:sz="0" w:space="0" w:color="auto"/>
        <w:bottom w:val="none" w:sz="0" w:space="0" w:color="auto"/>
        <w:right w:val="none" w:sz="0" w:space="0" w:color="auto"/>
      </w:divBdr>
    </w:div>
    <w:div w:id="1236479002">
      <w:bodyDiv w:val="1"/>
      <w:marLeft w:val="0"/>
      <w:marRight w:val="0"/>
      <w:marTop w:val="0"/>
      <w:marBottom w:val="0"/>
      <w:divBdr>
        <w:top w:val="none" w:sz="0" w:space="0" w:color="auto"/>
        <w:left w:val="none" w:sz="0" w:space="0" w:color="auto"/>
        <w:bottom w:val="none" w:sz="0" w:space="0" w:color="auto"/>
        <w:right w:val="none" w:sz="0" w:space="0" w:color="auto"/>
      </w:divBdr>
    </w:div>
    <w:div w:id="1242443223">
      <w:bodyDiv w:val="1"/>
      <w:marLeft w:val="0"/>
      <w:marRight w:val="0"/>
      <w:marTop w:val="0"/>
      <w:marBottom w:val="0"/>
      <w:divBdr>
        <w:top w:val="none" w:sz="0" w:space="0" w:color="auto"/>
        <w:left w:val="none" w:sz="0" w:space="0" w:color="auto"/>
        <w:bottom w:val="none" w:sz="0" w:space="0" w:color="auto"/>
        <w:right w:val="none" w:sz="0" w:space="0" w:color="auto"/>
      </w:divBdr>
    </w:div>
    <w:div w:id="1243102664">
      <w:bodyDiv w:val="1"/>
      <w:marLeft w:val="0"/>
      <w:marRight w:val="0"/>
      <w:marTop w:val="0"/>
      <w:marBottom w:val="0"/>
      <w:divBdr>
        <w:top w:val="none" w:sz="0" w:space="0" w:color="auto"/>
        <w:left w:val="none" w:sz="0" w:space="0" w:color="auto"/>
        <w:bottom w:val="none" w:sz="0" w:space="0" w:color="auto"/>
        <w:right w:val="none" w:sz="0" w:space="0" w:color="auto"/>
      </w:divBdr>
    </w:div>
    <w:div w:id="1246381522">
      <w:bodyDiv w:val="1"/>
      <w:marLeft w:val="0"/>
      <w:marRight w:val="0"/>
      <w:marTop w:val="0"/>
      <w:marBottom w:val="0"/>
      <w:divBdr>
        <w:top w:val="none" w:sz="0" w:space="0" w:color="auto"/>
        <w:left w:val="none" w:sz="0" w:space="0" w:color="auto"/>
        <w:bottom w:val="none" w:sz="0" w:space="0" w:color="auto"/>
        <w:right w:val="none" w:sz="0" w:space="0" w:color="auto"/>
      </w:divBdr>
    </w:div>
    <w:div w:id="1246916028">
      <w:bodyDiv w:val="1"/>
      <w:marLeft w:val="0"/>
      <w:marRight w:val="0"/>
      <w:marTop w:val="0"/>
      <w:marBottom w:val="0"/>
      <w:divBdr>
        <w:top w:val="none" w:sz="0" w:space="0" w:color="auto"/>
        <w:left w:val="none" w:sz="0" w:space="0" w:color="auto"/>
        <w:bottom w:val="none" w:sz="0" w:space="0" w:color="auto"/>
        <w:right w:val="none" w:sz="0" w:space="0" w:color="auto"/>
      </w:divBdr>
    </w:div>
    <w:div w:id="1250506713">
      <w:bodyDiv w:val="1"/>
      <w:marLeft w:val="0"/>
      <w:marRight w:val="0"/>
      <w:marTop w:val="0"/>
      <w:marBottom w:val="0"/>
      <w:divBdr>
        <w:top w:val="none" w:sz="0" w:space="0" w:color="auto"/>
        <w:left w:val="none" w:sz="0" w:space="0" w:color="auto"/>
        <w:bottom w:val="none" w:sz="0" w:space="0" w:color="auto"/>
        <w:right w:val="none" w:sz="0" w:space="0" w:color="auto"/>
      </w:divBdr>
    </w:div>
    <w:div w:id="1251507854">
      <w:bodyDiv w:val="1"/>
      <w:marLeft w:val="0"/>
      <w:marRight w:val="0"/>
      <w:marTop w:val="0"/>
      <w:marBottom w:val="0"/>
      <w:divBdr>
        <w:top w:val="none" w:sz="0" w:space="0" w:color="auto"/>
        <w:left w:val="none" w:sz="0" w:space="0" w:color="auto"/>
        <w:bottom w:val="none" w:sz="0" w:space="0" w:color="auto"/>
        <w:right w:val="none" w:sz="0" w:space="0" w:color="auto"/>
      </w:divBdr>
    </w:div>
    <w:div w:id="1253054137">
      <w:bodyDiv w:val="1"/>
      <w:marLeft w:val="0"/>
      <w:marRight w:val="0"/>
      <w:marTop w:val="0"/>
      <w:marBottom w:val="0"/>
      <w:divBdr>
        <w:top w:val="none" w:sz="0" w:space="0" w:color="auto"/>
        <w:left w:val="none" w:sz="0" w:space="0" w:color="auto"/>
        <w:bottom w:val="none" w:sz="0" w:space="0" w:color="auto"/>
        <w:right w:val="none" w:sz="0" w:space="0" w:color="auto"/>
      </w:divBdr>
    </w:div>
    <w:div w:id="1253319131">
      <w:bodyDiv w:val="1"/>
      <w:marLeft w:val="0"/>
      <w:marRight w:val="0"/>
      <w:marTop w:val="0"/>
      <w:marBottom w:val="0"/>
      <w:divBdr>
        <w:top w:val="none" w:sz="0" w:space="0" w:color="auto"/>
        <w:left w:val="none" w:sz="0" w:space="0" w:color="auto"/>
        <w:bottom w:val="none" w:sz="0" w:space="0" w:color="auto"/>
        <w:right w:val="none" w:sz="0" w:space="0" w:color="auto"/>
      </w:divBdr>
    </w:div>
    <w:div w:id="1253467378">
      <w:bodyDiv w:val="1"/>
      <w:marLeft w:val="0"/>
      <w:marRight w:val="0"/>
      <w:marTop w:val="0"/>
      <w:marBottom w:val="0"/>
      <w:divBdr>
        <w:top w:val="none" w:sz="0" w:space="0" w:color="auto"/>
        <w:left w:val="none" w:sz="0" w:space="0" w:color="auto"/>
        <w:bottom w:val="none" w:sz="0" w:space="0" w:color="auto"/>
        <w:right w:val="none" w:sz="0" w:space="0" w:color="auto"/>
      </w:divBdr>
    </w:div>
    <w:div w:id="1258758859">
      <w:bodyDiv w:val="1"/>
      <w:marLeft w:val="0"/>
      <w:marRight w:val="0"/>
      <w:marTop w:val="0"/>
      <w:marBottom w:val="0"/>
      <w:divBdr>
        <w:top w:val="none" w:sz="0" w:space="0" w:color="auto"/>
        <w:left w:val="none" w:sz="0" w:space="0" w:color="auto"/>
        <w:bottom w:val="none" w:sz="0" w:space="0" w:color="auto"/>
        <w:right w:val="none" w:sz="0" w:space="0" w:color="auto"/>
      </w:divBdr>
    </w:div>
    <w:div w:id="1260019182">
      <w:bodyDiv w:val="1"/>
      <w:marLeft w:val="0"/>
      <w:marRight w:val="0"/>
      <w:marTop w:val="0"/>
      <w:marBottom w:val="0"/>
      <w:divBdr>
        <w:top w:val="none" w:sz="0" w:space="0" w:color="auto"/>
        <w:left w:val="none" w:sz="0" w:space="0" w:color="auto"/>
        <w:bottom w:val="none" w:sz="0" w:space="0" w:color="auto"/>
        <w:right w:val="none" w:sz="0" w:space="0" w:color="auto"/>
      </w:divBdr>
    </w:div>
    <w:div w:id="1260992601">
      <w:bodyDiv w:val="1"/>
      <w:marLeft w:val="0"/>
      <w:marRight w:val="0"/>
      <w:marTop w:val="0"/>
      <w:marBottom w:val="0"/>
      <w:divBdr>
        <w:top w:val="none" w:sz="0" w:space="0" w:color="auto"/>
        <w:left w:val="none" w:sz="0" w:space="0" w:color="auto"/>
        <w:bottom w:val="none" w:sz="0" w:space="0" w:color="auto"/>
        <w:right w:val="none" w:sz="0" w:space="0" w:color="auto"/>
      </w:divBdr>
    </w:div>
    <w:div w:id="1262957539">
      <w:bodyDiv w:val="1"/>
      <w:marLeft w:val="0"/>
      <w:marRight w:val="0"/>
      <w:marTop w:val="0"/>
      <w:marBottom w:val="0"/>
      <w:divBdr>
        <w:top w:val="none" w:sz="0" w:space="0" w:color="auto"/>
        <w:left w:val="none" w:sz="0" w:space="0" w:color="auto"/>
        <w:bottom w:val="none" w:sz="0" w:space="0" w:color="auto"/>
        <w:right w:val="none" w:sz="0" w:space="0" w:color="auto"/>
      </w:divBdr>
    </w:div>
    <w:div w:id="1263539088">
      <w:bodyDiv w:val="1"/>
      <w:marLeft w:val="0"/>
      <w:marRight w:val="0"/>
      <w:marTop w:val="0"/>
      <w:marBottom w:val="0"/>
      <w:divBdr>
        <w:top w:val="none" w:sz="0" w:space="0" w:color="auto"/>
        <w:left w:val="none" w:sz="0" w:space="0" w:color="auto"/>
        <w:bottom w:val="none" w:sz="0" w:space="0" w:color="auto"/>
        <w:right w:val="none" w:sz="0" w:space="0" w:color="auto"/>
      </w:divBdr>
    </w:div>
    <w:div w:id="1264727247">
      <w:bodyDiv w:val="1"/>
      <w:marLeft w:val="0"/>
      <w:marRight w:val="0"/>
      <w:marTop w:val="0"/>
      <w:marBottom w:val="0"/>
      <w:divBdr>
        <w:top w:val="none" w:sz="0" w:space="0" w:color="auto"/>
        <w:left w:val="none" w:sz="0" w:space="0" w:color="auto"/>
        <w:bottom w:val="none" w:sz="0" w:space="0" w:color="auto"/>
        <w:right w:val="none" w:sz="0" w:space="0" w:color="auto"/>
      </w:divBdr>
    </w:div>
    <w:div w:id="1269660011">
      <w:bodyDiv w:val="1"/>
      <w:marLeft w:val="0"/>
      <w:marRight w:val="0"/>
      <w:marTop w:val="0"/>
      <w:marBottom w:val="0"/>
      <w:divBdr>
        <w:top w:val="none" w:sz="0" w:space="0" w:color="auto"/>
        <w:left w:val="none" w:sz="0" w:space="0" w:color="auto"/>
        <w:bottom w:val="none" w:sz="0" w:space="0" w:color="auto"/>
        <w:right w:val="none" w:sz="0" w:space="0" w:color="auto"/>
      </w:divBdr>
    </w:div>
    <w:div w:id="1270047702">
      <w:bodyDiv w:val="1"/>
      <w:marLeft w:val="0"/>
      <w:marRight w:val="0"/>
      <w:marTop w:val="0"/>
      <w:marBottom w:val="0"/>
      <w:divBdr>
        <w:top w:val="none" w:sz="0" w:space="0" w:color="auto"/>
        <w:left w:val="none" w:sz="0" w:space="0" w:color="auto"/>
        <w:bottom w:val="none" w:sz="0" w:space="0" w:color="auto"/>
        <w:right w:val="none" w:sz="0" w:space="0" w:color="auto"/>
      </w:divBdr>
    </w:div>
    <w:div w:id="1270234126">
      <w:bodyDiv w:val="1"/>
      <w:marLeft w:val="0"/>
      <w:marRight w:val="0"/>
      <w:marTop w:val="0"/>
      <w:marBottom w:val="0"/>
      <w:divBdr>
        <w:top w:val="none" w:sz="0" w:space="0" w:color="auto"/>
        <w:left w:val="none" w:sz="0" w:space="0" w:color="auto"/>
        <w:bottom w:val="none" w:sz="0" w:space="0" w:color="auto"/>
        <w:right w:val="none" w:sz="0" w:space="0" w:color="auto"/>
      </w:divBdr>
    </w:div>
    <w:div w:id="1270703799">
      <w:bodyDiv w:val="1"/>
      <w:marLeft w:val="0"/>
      <w:marRight w:val="0"/>
      <w:marTop w:val="0"/>
      <w:marBottom w:val="0"/>
      <w:divBdr>
        <w:top w:val="none" w:sz="0" w:space="0" w:color="auto"/>
        <w:left w:val="none" w:sz="0" w:space="0" w:color="auto"/>
        <w:bottom w:val="none" w:sz="0" w:space="0" w:color="auto"/>
        <w:right w:val="none" w:sz="0" w:space="0" w:color="auto"/>
      </w:divBdr>
    </w:div>
    <w:div w:id="1272126402">
      <w:bodyDiv w:val="1"/>
      <w:marLeft w:val="0"/>
      <w:marRight w:val="0"/>
      <w:marTop w:val="0"/>
      <w:marBottom w:val="0"/>
      <w:divBdr>
        <w:top w:val="none" w:sz="0" w:space="0" w:color="auto"/>
        <w:left w:val="none" w:sz="0" w:space="0" w:color="auto"/>
        <w:bottom w:val="none" w:sz="0" w:space="0" w:color="auto"/>
        <w:right w:val="none" w:sz="0" w:space="0" w:color="auto"/>
      </w:divBdr>
    </w:div>
    <w:div w:id="1275670058">
      <w:bodyDiv w:val="1"/>
      <w:marLeft w:val="0"/>
      <w:marRight w:val="0"/>
      <w:marTop w:val="0"/>
      <w:marBottom w:val="0"/>
      <w:divBdr>
        <w:top w:val="none" w:sz="0" w:space="0" w:color="auto"/>
        <w:left w:val="none" w:sz="0" w:space="0" w:color="auto"/>
        <w:bottom w:val="none" w:sz="0" w:space="0" w:color="auto"/>
        <w:right w:val="none" w:sz="0" w:space="0" w:color="auto"/>
      </w:divBdr>
    </w:div>
    <w:div w:id="1286622580">
      <w:bodyDiv w:val="1"/>
      <w:marLeft w:val="0"/>
      <w:marRight w:val="0"/>
      <w:marTop w:val="0"/>
      <w:marBottom w:val="0"/>
      <w:divBdr>
        <w:top w:val="none" w:sz="0" w:space="0" w:color="auto"/>
        <w:left w:val="none" w:sz="0" w:space="0" w:color="auto"/>
        <w:bottom w:val="none" w:sz="0" w:space="0" w:color="auto"/>
        <w:right w:val="none" w:sz="0" w:space="0" w:color="auto"/>
      </w:divBdr>
    </w:div>
    <w:div w:id="1290284423">
      <w:bodyDiv w:val="1"/>
      <w:marLeft w:val="0"/>
      <w:marRight w:val="0"/>
      <w:marTop w:val="0"/>
      <w:marBottom w:val="0"/>
      <w:divBdr>
        <w:top w:val="none" w:sz="0" w:space="0" w:color="auto"/>
        <w:left w:val="none" w:sz="0" w:space="0" w:color="auto"/>
        <w:bottom w:val="none" w:sz="0" w:space="0" w:color="auto"/>
        <w:right w:val="none" w:sz="0" w:space="0" w:color="auto"/>
      </w:divBdr>
    </w:div>
    <w:div w:id="1290551212">
      <w:bodyDiv w:val="1"/>
      <w:marLeft w:val="0"/>
      <w:marRight w:val="0"/>
      <w:marTop w:val="0"/>
      <w:marBottom w:val="0"/>
      <w:divBdr>
        <w:top w:val="none" w:sz="0" w:space="0" w:color="auto"/>
        <w:left w:val="none" w:sz="0" w:space="0" w:color="auto"/>
        <w:bottom w:val="none" w:sz="0" w:space="0" w:color="auto"/>
        <w:right w:val="none" w:sz="0" w:space="0" w:color="auto"/>
      </w:divBdr>
    </w:div>
    <w:div w:id="1299342570">
      <w:bodyDiv w:val="1"/>
      <w:marLeft w:val="0"/>
      <w:marRight w:val="0"/>
      <w:marTop w:val="0"/>
      <w:marBottom w:val="0"/>
      <w:divBdr>
        <w:top w:val="none" w:sz="0" w:space="0" w:color="auto"/>
        <w:left w:val="none" w:sz="0" w:space="0" w:color="auto"/>
        <w:bottom w:val="none" w:sz="0" w:space="0" w:color="auto"/>
        <w:right w:val="none" w:sz="0" w:space="0" w:color="auto"/>
      </w:divBdr>
    </w:div>
    <w:div w:id="1303923209">
      <w:bodyDiv w:val="1"/>
      <w:marLeft w:val="0"/>
      <w:marRight w:val="0"/>
      <w:marTop w:val="0"/>
      <w:marBottom w:val="0"/>
      <w:divBdr>
        <w:top w:val="none" w:sz="0" w:space="0" w:color="auto"/>
        <w:left w:val="none" w:sz="0" w:space="0" w:color="auto"/>
        <w:bottom w:val="none" w:sz="0" w:space="0" w:color="auto"/>
        <w:right w:val="none" w:sz="0" w:space="0" w:color="auto"/>
      </w:divBdr>
    </w:div>
    <w:div w:id="1308246593">
      <w:bodyDiv w:val="1"/>
      <w:marLeft w:val="0"/>
      <w:marRight w:val="0"/>
      <w:marTop w:val="0"/>
      <w:marBottom w:val="0"/>
      <w:divBdr>
        <w:top w:val="none" w:sz="0" w:space="0" w:color="auto"/>
        <w:left w:val="none" w:sz="0" w:space="0" w:color="auto"/>
        <w:bottom w:val="none" w:sz="0" w:space="0" w:color="auto"/>
        <w:right w:val="none" w:sz="0" w:space="0" w:color="auto"/>
      </w:divBdr>
    </w:div>
    <w:div w:id="1309285039">
      <w:bodyDiv w:val="1"/>
      <w:marLeft w:val="0"/>
      <w:marRight w:val="0"/>
      <w:marTop w:val="0"/>
      <w:marBottom w:val="0"/>
      <w:divBdr>
        <w:top w:val="none" w:sz="0" w:space="0" w:color="auto"/>
        <w:left w:val="none" w:sz="0" w:space="0" w:color="auto"/>
        <w:bottom w:val="none" w:sz="0" w:space="0" w:color="auto"/>
        <w:right w:val="none" w:sz="0" w:space="0" w:color="auto"/>
      </w:divBdr>
    </w:div>
    <w:div w:id="1313943740">
      <w:bodyDiv w:val="1"/>
      <w:marLeft w:val="0"/>
      <w:marRight w:val="0"/>
      <w:marTop w:val="0"/>
      <w:marBottom w:val="0"/>
      <w:divBdr>
        <w:top w:val="none" w:sz="0" w:space="0" w:color="auto"/>
        <w:left w:val="none" w:sz="0" w:space="0" w:color="auto"/>
        <w:bottom w:val="none" w:sz="0" w:space="0" w:color="auto"/>
        <w:right w:val="none" w:sz="0" w:space="0" w:color="auto"/>
      </w:divBdr>
    </w:div>
    <w:div w:id="1317878807">
      <w:bodyDiv w:val="1"/>
      <w:marLeft w:val="0"/>
      <w:marRight w:val="0"/>
      <w:marTop w:val="0"/>
      <w:marBottom w:val="0"/>
      <w:divBdr>
        <w:top w:val="none" w:sz="0" w:space="0" w:color="auto"/>
        <w:left w:val="none" w:sz="0" w:space="0" w:color="auto"/>
        <w:bottom w:val="none" w:sz="0" w:space="0" w:color="auto"/>
        <w:right w:val="none" w:sz="0" w:space="0" w:color="auto"/>
      </w:divBdr>
    </w:div>
    <w:div w:id="1325738812">
      <w:bodyDiv w:val="1"/>
      <w:marLeft w:val="0"/>
      <w:marRight w:val="0"/>
      <w:marTop w:val="0"/>
      <w:marBottom w:val="0"/>
      <w:divBdr>
        <w:top w:val="none" w:sz="0" w:space="0" w:color="auto"/>
        <w:left w:val="none" w:sz="0" w:space="0" w:color="auto"/>
        <w:bottom w:val="none" w:sz="0" w:space="0" w:color="auto"/>
        <w:right w:val="none" w:sz="0" w:space="0" w:color="auto"/>
      </w:divBdr>
    </w:div>
    <w:div w:id="1327706467">
      <w:bodyDiv w:val="1"/>
      <w:marLeft w:val="0"/>
      <w:marRight w:val="0"/>
      <w:marTop w:val="0"/>
      <w:marBottom w:val="0"/>
      <w:divBdr>
        <w:top w:val="none" w:sz="0" w:space="0" w:color="auto"/>
        <w:left w:val="none" w:sz="0" w:space="0" w:color="auto"/>
        <w:bottom w:val="none" w:sz="0" w:space="0" w:color="auto"/>
        <w:right w:val="none" w:sz="0" w:space="0" w:color="auto"/>
      </w:divBdr>
    </w:div>
    <w:div w:id="1328050819">
      <w:bodyDiv w:val="1"/>
      <w:marLeft w:val="0"/>
      <w:marRight w:val="0"/>
      <w:marTop w:val="0"/>
      <w:marBottom w:val="0"/>
      <w:divBdr>
        <w:top w:val="none" w:sz="0" w:space="0" w:color="auto"/>
        <w:left w:val="none" w:sz="0" w:space="0" w:color="auto"/>
        <w:bottom w:val="none" w:sz="0" w:space="0" w:color="auto"/>
        <w:right w:val="none" w:sz="0" w:space="0" w:color="auto"/>
      </w:divBdr>
    </w:div>
    <w:div w:id="1330402553">
      <w:bodyDiv w:val="1"/>
      <w:marLeft w:val="0"/>
      <w:marRight w:val="0"/>
      <w:marTop w:val="0"/>
      <w:marBottom w:val="0"/>
      <w:divBdr>
        <w:top w:val="none" w:sz="0" w:space="0" w:color="auto"/>
        <w:left w:val="none" w:sz="0" w:space="0" w:color="auto"/>
        <w:bottom w:val="none" w:sz="0" w:space="0" w:color="auto"/>
        <w:right w:val="none" w:sz="0" w:space="0" w:color="auto"/>
      </w:divBdr>
    </w:div>
    <w:div w:id="1332487150">
      <w:bodyDiv w:val="1"/>
      <w:marLeft w:val="0"/>
      <w:marRight w:val="0"/>
      <w:marTop w:val="0"/>
      <w:marBottom w:val="0"/>
      <w:divBdr>
        <w:top w:val="none" w:sz="0" w:space="0" w:color="auto"/>
        <w:left w:val="none" w:sz="0" w:space="0" w:color="auto"/>
        <w:bottom w:val="none" w:sz="0" w:space="0" w:color="auto"/>
        <w:right w:val="none" w:sz="0" w:space="0" w:color="auto"/>
      </w:divBdr>
    </w:div>
    <w:div w:id="1339844644">
      <w:bodyDiv w:val="1"/>
      <w:marLeft w:val="0"/>
      <w:marRight w:val="0"/>
      <w:marTop w:val="0"/>
      <w:marBottom w:val="0"/>
      <w:divBdr>
        <w:top w:val="none" w:sz="0" w:space="0" w:color="auto"/>
        <w:left w:val="none" w:sz="0" w:space="0" w:color="auto"/>
        <w:bottom w:val="none" w:sz="0" w:space="0" w:color="auto"/>
        <w:right w:val="none" w:sz="0" w:space="0" w:color="auto"/>
      </w:divBdr>
    </w:div>
    <w:div w:id="1339890696">
      <w:bodyDiv w:val="1"/>
      <w:marLeft w:val="0"/>
      <w:marRight w:val="0"/>
      <w:marTop w:val="0"/>
      <w:marBottom w:val="0"/>
      <w:divBdr>
        <w:top w:val="none" w:sz="0" w:space="0" w:color="auto"/>
        <w:left w:val="none" w:sz="0" w:space="0" w:color="auto"/>
        <w:bottom w:val="none" w:sz="0" w:space="0" w:color="auto"/>
        <w:right w:val="none" w:sz="0" w:space="0" w:color="auto"/>
      </w:divBdr>
    </w:div>
    <w:div w:id="1341540107">
      <w:bodyDiv w:val="1"/>
      <w:marLeft w:val="0"/>
      <w:marRight w:val="0"/>
      <w:marTop w:val="0"/>
      <w:marBottom w:val="0"/>
      <w:divBdr>
        <w:top w:val="none" w:sz="0" w:space="0" w:color="auto"/>
        <w:left w:val="none" w:sz="0" w:space="0" w:color="auto"/>
        <w:bottom w:val="none" w:sz="0" w:space="0" w:color="auto"/>
        <w:right w:val="none" w:sz="0" w:space="0" w:color="auto"/>
      </w:divBdr>
    </w:div>
    <w:div w:id="1341856862">
      <w:bodyDiv w:val="1"/>
      <w:marLeft w:val="0"/>
      <w:marRight w:val="0"/>
      <w:marTop w:val="0"/>
      <w:marBottom w:val="0"/>
      <w:divBdr>
        <w:top w:val="none" w:sz="0" w:space="0" w:color="auto"/>
        <w:left w:val="none" w:sz="0" w:space="0" w:color="auto"/>
        <w:bottom w:val="none" w:sz="0" w:space="0" w:color="auto"/>
        <w:right w:val="none" w:sz="0" w:space="0" w:color="auto"/>
      </w:divBdr>
    </w:div>
    <w:div w:id="1344435823">
      <w:bodyDiv w:val="1"/>
      <w:marLeft w:val="0"/>
      <w:marRight w:val="0"/>
      <w:marTop w:val="0"/>
      <w:marBottom w:val="0"/>
      <w:divBdr>
        <w:top w:val="none" w:sz="0" w:space="0" w:color="auto"/>
        <w:left w:val="none" w:sz="0" w:space="0" w:color="auto"/>
        <w:bottom w:val="none" w:sz="0" w:space="0" w:color="auto"/>
        <w:right w:val="none" w:sz="0" w:space="0" w:color="auto"/>
      </w:divBdr>
    </w:div>
    <w:div w:id="1358461651">
      <w:bodyDiv w:val="1"/>
      <w:marLeft w:val="0"/>
      <w:marRight w:val="0"/>
      <w:marTop w:val="0"/>
      <w:marBottom w:val="0"/>
      <w:divBdr>
        <w:top w:val="none" w:sz="0" w:space="0" w:color="auto"/>
        <w:left w:val="none" w:sz="0" w:space="0" w:color="auto"/>
        <w:bottom w:val="none" w:sz="0" w:space="0" w:color="auto"/>
        <w:right w:val="none" w:sz="0" w:space="0" w:color="auto"/>
      </w:divBdr>
    </w:div>
    <w:div w:id="1361128110">
      <w:bodyDiv w:val="1"/>
      <w:marLeft w:val="0"/>
      <w:marRight w:val="0"/>
      <w:marTop w:val="0"/>
      <w:marBottom w:val="0"/>
      <w:divBdr>
        <w:top w:val="none" w:sz="0" w:space="0" w:color="auto"/>
        <w:left w:val="none" w:sz="0" w:space="0" w:color="auto"/>
        <w:bottom w:val="none" w:sz="0" w:space="0" w:color="auto"/>
        <w:right w:val="none" w:sz="0" w:space="0" w:color="auto"/>
      </w:divBdr>
    </w:div>
    <w:div w:id="1364986345">
      <w:bodyDiv w:val="1"/>
      <w:marLeft w:val="0"/>
      <w:marRight w:val="0"/>
      <w:marTop w:val="0"/>
      <w:marBottom w:val="0"/>
      <w:divBdr>
        <w:top w:val="none" w:sz="0" w:space="0" w:color="auto"/>
        <w:left w:val="none" w:sz="0" w:space="0" w:color="auto"/>
        <w:bottom w:val="none" w:sz="0" w:space="0" w:color="auto"/>
        <w:right w:val="none" w:sz="0" w:space="0" w:color="auto"/>
      </w:divBdr>
    </w:div>
    <w:div w:id="1369720514">
      <w:bodyDiv w:val="1"/>
      <w:marLeft w:val="0"/>
      <w:marRight w:val="0"/>
      <w:marTop w:val="0"/>
      <w:marBottom w:val="0"/>
      <w:divBdr>
        <w:top w:val="none" w:sz="0" w:space="0" w:color="auto"/>
        <w:left w:val="none" w:sz="0" w:space="0" w:color="auto"/>
        <w:bottom w:val="none" w:sz="0" w:space="0" w:color="auto"/>
        <w:right w:val="none" w:sz="0" w:space="0" w:color="auto"/>
      </w:divBdr>
    </w:div>
    <w:div w:id="1370841261">
      <w:bodyDiv w:val="1"/>
      <w:marLeft w:val="0"/>
      <w:marRight w:val="0"/>
      <w:marTop w:val="0"/>
      <w:marBottom w:val="0"/>
      <w:divBdr>
        <w:top w:val="none" w:sz="0" w:space="0" w:color="auto"/>
        <w:left w:val="none" w:sz="0" w:space="0" w:color="auto"/>
        <w:bottom w:val="none" w:sz="0" w:space="0" w:color="auto"/>
        <w:right w:val="none" w:sz="0" w:space="0" w:color="auto"/>
      </w:divBdr>
    </w:div>
    <w:div w:id="1371031265">
      <w:bodyDiv w:val="1"/>
      <w:marLeft w:val="0"/>
      <w:marRight w:val="0"/>
      <w:marTop w:val="0"/>
      <w:marBottom w:val="0"/>
      <w:divBdr>
        <w:top w:val="none" w:sz="0" w:space="0" w:color="auto"/>
        <w:left w:val="none" w:sz="0" w:space="0" w:color="auto"/>
        <w:bottom w:val="none" w:sz="0" w:space="0" w:color="auto"/>
        <w:right w:val="none" w:sz="0" w:space="0" w:color="auto"/>
      </w:divBdr>
    </w:div>
    <w:div w:id="1373264370">
      <w:bodyDiv w:val="1"/>
      <w:marLeft w:val="0"/>
      <w:marRight w:val="0"/>
      <w:marTop w:val="0"/>
      <w:marBottom w:val="0"/>
      <w:divBdr>
        <w:top w:val="none" w:sz="0" w:space="0" w:color="auto"/>
        <w:left w:val="none" w:sz="0" w:space="0" w:color="auto"/>
        <w:bottom w:val="none" w:sz="0" w:space="0" w:color="auto"/>
        <w:right w:val="none" w:sz="0" w:space="0" w:color="auto"/>
      </w:divBdr>
    </w:div>
    <w:div w:id="1377898937">
      <w:bodyDiv w:val="1"/>
      <w:marLeft w:val="0"/>
      <w:marRight w:val="0"/>
      <w:marTop w:val="0"/>
      <w:marBottom w:val="0"/>
      <w:divBdr>
        <w:top w:val="none" w:sz="0" w:space="0" w:color="auto"/>
        <w:left w:val="none" w:sz="0" w:space="0" w:color="auto"/>
        <w:bottom w:val="none" w:sz="0" w:space="0" w:color="auto"/>
        <w:right w:val="none" w:sz="0" w:space="0" w:color="auto"/>
      </w:divBdr>
    </w:div>
    <w:div w:id="1390497370">
      <w:bodyDiv w:val="1"/>
      <w:marLeft w:val="0"/>
      <w:marRight w:val="0"/>
      <w:marTop w:val="0"/>
      <w:marBottom w:val="0"/>
      <w:divBdr>
        <w:top w:val="none" w:sz="0" w:space="0" w:color="auto"/>
        <w:left w:val="none" w:sz="0" w:space="0" w:color="auto"/>
        <w:bottom w:val="none" w:sz="0" w:space="0" w:color="auto"/>
        <w:right w:val="none" w:sz="0" w:space="0" w:color="auto"/>
      </w:divBdr>
    </w:div>
    <w:div w:id="1390764552">
      <w:bodyDiv w:val="1"/>
      <w:marLeft w:val="0"/>
      <w:marRight w:val="0"/>
      <w:marTop w:val="0"/>
      <w:marBottom w:val="0"/>
      <w:divBdr>
        <w:top w:val="none" w:sz="0" w:space="0" w:color="auto"/>
        <w:left w:val="none" w:sz="0" w:space="0" w:color="auto"/>
        <w:bottom w:val="none" w:sz="0" w:space="0" w:color="auto"/>
        <w:right w:val="none" w:sz="0" w:space="0" w:color="auto"/>
      </w:divBdr>
    </w:div>
    <w:div w:id="1398553988">
      <w:bodyDiv w:val="1"/>
      <w:marLeft w:val="0"/>
      <w:marRight w:val="0"/>
      <w:marTop w:val="0"/>
      <w:marBottom w:val="0"/>
      <w:divBdr>
        <w:top w:val="none" w:sz="0" w:space="0" w:color="auto"/>
        <w:left w:val="none" w:sz="0" w:space="0" w:color="auto"/>
        <w:bottom w:val="none" w:sz="0" w:space="0" w:color="auto"/>
        <w:right w:val="none" w:sz="0" w:space="0" w:color="auto"/>
      </w:divBdr>
    </w:div>
    <w:div w:id="1401556404">
      <w:bodyDiv w:val="1"/>
      <w:marLeft w:val="0"/>
      <w:marRight w:val="0"/>
      <w:marTop w:val="0"/>
      <w:marBottom w:val="0"/>
      <w:divBdr>
        <w:top w:val="none" w:sz="0" w:space="0" w:color="auto"/>
        <w:left w:val="none" w:sz="0" w:space="0" w:color="auto"/>
        <w:bottom w:val="none" w:sz="0" w:space="0" w:color="auto"/>
        <w:right w:val="none" w:sz="0" w:space="0" w:color="auto"/>
      </w:divBdr>
    </w:div>
    <w:div w:id="1405834396">
      <w:bodyDiv w:val="1"/>
      <w:marLeft w:val="0"/>
      <w:marRight w:val="0"/>
      <w:marTop w:val="0"/>
      <w:marBottom w:val="0"/>
      <w:divBdr>
        <w:top w:val="none" w:sz="0" w:space="0" w:color="auto"/>
        <w:left w:val="none" w:sz="0" w:space="0" w:color="auto"/>
        <w:bottom w:val="none" w:sz="0" w:space="0" w:color="auto"/>
        <w:right w:val="none" w:sz="0" w:space="0" w:color="auto"/>
      </w:divBdr>
    </w:div>
    <w:div w:id="140714267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349209">
      <w:bodyDiv w:val="1"/>
      <w:marLeft w:val="0"/>
      <w:marRight w:val="0"/>
      <w:marTop w:val="0"/>
      <w:marBottom w:val="0"/>
      <w:divBdr>
        <w:top w:val="none" w:sz="0" w:space="0" w:color="auto"/>
        <w:left w:val="none" w:sz="0" w:space="0" w:color="auto"/>
        <w:bottom w:val="none" w:sz="0" w:space="0" w:color="auto"/>
        <w:right w:val="none" w:sz="0" w:space="0" w:color="auto"/>
      </w:divBdr>
    </w:div>
    <w:div w:id="1411385077">
      <w:bodyDiv w:val="1"/>
      <w:marLeft w:val="0"/>
      <w:marRight w:val="0"/>
      <w:marTop w:val="0"/>
      <w:marBottom w:val="0"/>
      <w:divBdr>
        <w:top w:val="none" w:sz="0" w:space="0" w:color="auto"/>
        <w:left w:val="none" w:sz="0" w:space="0" w:color="auto"/>
        <w:bottom w:val="none" w:sz="0" w:space="0" w:color="auto"/>
        <w:right w:val="none" w:sz="0" w:space="0" w:color="auto"/>
      </w:divBdr>
    </w:div>
    <w:div w:id="1413623244">
      <w:bodyDiv w:val="1"/>
      <w:marLeft w:val="0"/>
      <w:marRight w:val="0"/>
      <w:marTop w:val="0"/>
      <w:marBottom w:val="0"/>
      <w:divBdr>
        <w:top w:val="none" w:sz="0" w:space="0" w:color="auto"/>
        <w:left w:val="none" w:sz="0" w:space="0" w:color="auto"/>
        <w:bottom w:val="none" w:sz="0" w:space="0" w:color="auto"/>
        <w:right w:val="none" w:sz="0" w:space="0" w:color="auto"/>
      </w:divBdr>
    </w:div>
    <w:div w:id="1413815268">
      <w:bodyDiv w:val="1"/>
      <w:marLeft w:val="0"/>
      <w:marRight w:val="0"/>
      <w:marTop w:val="0"/>
      <w:marBottom w:val="0"/>
      <w:divBdr>
        <w:top w:val="none" w:sz="0" w:space="0" w:color="auto"/>
        <w:left w:val="none" w:sz="0" w:space="0" w:color="auto"/>
        <w:bottom w:val="none" w:sz="0" w:space="0" w:color="auto"/>
        <w:right w:val="none" w:sz="0" w:space="0" w:color="auto"/>
      </w:divBdr>
    </w:div>
    <w:div w:id="1419667790">
      <w:bodyDiv w:val="1"/>
      <w:marLeft w:val="0"/>
      <w:marRight w:val="0"/>
      <w:marTop w:val="0"/>
      <w:marBottom w:val="0"/>
      <w:divBdr>
        <w:top w:val="none" w:sz="0" w:space="0" w:color="auto"/>
        <w:left w:val="none" w:sz="0" w:space="0" w:color="auto"/>
        <w:bottom w:val="none" w:sz="0" w:space="0" w:color="auto"/>
        <w:right w:val="none" w:sz="0" w:space="0" w:color="auto"/>
      </w:divBdr>
    </w:div>
    <w:div w:id="1424833871">
      <w:bodyDiv w:val="1"/>
      <w:marLeft w:val="0"/>
      <w:marRight w:val="0"/>
      <w:marTop w:val="0"/>
      <w:marBottom w:val="0"/>
      <w:divBdr>
        <w:top w:val="none" w:sz="0" w:space="0" w:color="auto"/>
        <w:left w:val="none" w:sz="0" w:space="0" w:color="auto"/>
        <w:bottom w:val="none" w:sz="0" w:space="0" w:color="auto"/>
        <w:right w:val="none" w:sz="0" w:space="0" w:color="auto"/>
      </w:divBdr>
    </w:div>
    <w:div w:id="1427113561">
      <w:bodyDiv w:val="1"/>
      <w:marLeft w:val="0"/>
      <w:marRight w:val="0"/>
      <w:marTop w:val="0"/>
      <w:marBottom w:val="0"/>
      <w:divBdr>
        <w:top w:val="none" w:sz="0" w:space="0" w:color="auto"/>
        <w:left w:val="none" w:sz="0" w:space="0" w:color="auto"/>
        <w:bottom w:val="none" w:sz="0" w:space="0" w:color="auto"/>
        <w:right w:val="none" w:sz="0" w:space="0" w:color="auto"/>
      </w:divBdr>
    </w:div>
    <w:div w:id="1427381814">
      <w:bodyDiv w:val="1"/>
      <w:marLeft w:val="0"/>
      <w:marRight w:val="0"/>
      <w:marTop w:val="0"/>
      <w:marBottom w:val="0"/>
      <w:divBdr>
        <w:top w:val="none" w:sz="0" w:space="0" w:color="auto"/>
        <w:left w:val="none" w:sz="0" w:space="0" w:color="auto"/>
        <w:bottom w:val="none" w:sz="0" w:space="0" w:color="auto"/>
        <w:right w:val="none" w:sz="0" w:space="0" w:color="auto"/>
      </w:divBdr>
    </w:div>
    <w:div w:id="1428427568">
      <w:bodyDiv w:val="1"/>
      <w:marLeft w:val="0"/>
      <w:marRight w:val="0"/>
      <w:marTop w:val="0"/>
      <w:marBottom w:val="0"/>
      <w:divBdr>
        <w:top w:val="none" w:sz="0" w:space="0" w:color="auto"/>
        <w:left w:val="none" w:sz="0" w:space="0" w:color="auto"/>
        <w:bottom w:val="none" w:sz="0" w:space="0" w:color="auto"/>
        <w:right w:val="none" w:sz="0" w:space="0" w:color="auto"/>
      </w:divBdr>
    </w:div>
    <w:div w:id="1432430170">
      <w:bodyDiv w:val="1"/>
      <w:marLeft w:val="0"/>
      <w:marRight w:val="0"/>
      <w:marTop w:val="0"/>
      <w:marBottom w:val="0"/>
      <w:divBdr>
        <w:top w:val="none" w:sz="0" w:space="0" w:color="auto"/>
        <w:left w:val="none" w:sz="0" w:space="0" w:color="auto"/>
        <w:bottom w:val="none" w:sz="0" w:space="0" w:color="auto"/>
        <w:right w:val="none" w:sz="0" w:space="0" w:color="auto"/>
      </w:divBdr>
    </w:div>
    <w:div w:id="1433475372">
      <w:bodyDiv w:val="1"/>
      <w:marLeft w:val="0"/>
      <w:marRight w:val="0"/>
      <w:marTop w:val="0"/>
      <w:marBottom w:val="0"/>
      <w:divBdr>
        <w:top w:val="none" w:sz="0" w:space="0" w:color="auto"/>
        <w:left w:val="none" w:sz="0" w:space="0" w:color="auto"/>
        <w:bottom w:val="none" w:sz="0" w:space="0" w:color="auto"/>
        <w:right w:val="none" w:sz="0" w:space="0" w:color="auto"/>
      </w:divBdr>
    </w:div>
    <w:div w:id="1434590363">
      <w:bodyDiv w:val="1"/>
      <w:marLeft w:val="0"/>
      <w:marRight w:val="0"/>
      <w:marTop w:val="0"/>
      <w:marBottom w:val="0"/>
      <w:divBdr>
        <w:top w:val="none" w:sz="0" w:space="0" w:color="auto"/>
        <w:left w:val="none" w:sz="0" w:space="0" w:color="auto"/>
        <w:bottom w:val="none" w:sz="0" w:space="0" w:color="auto"/>
        <w:right w:val="none" w:sz="0" w:space="0" w:color="auto"/>
      </w:divBdr>
    </w:div>
    <w:div w:id="1435176147">
      <w:bodyDiv w:val="1"/>
      <w:marLeft w:val="0"/>
      <w:marRight w:val="0"/>
      <w:marTop w:val="0"/>
      <w:marBottom w:val="0"/>
      <w:divBdr>
        <w:top w:val="none" w:sz="0" w:space="0" w:color="auto"/>
        <w:left w:val="none" w:sz="0" w:space="0" w:color="auto"/>
        <w:bottom w:val="none" w:sz="0" w:space="0" w:color="auto"/>
        <w:right w:val="none" w:sz="0" w:space="0" w:color="auto"/>
      </w:divBdr>
    </w:div>
    <w:div w:id="1436056165">
      <w:bodyDiv w:val="1"/>
      <w:marLeft w:val="0"/>
      <w:marRight w:val="0"/>
      <w:marTop w:val="0"/>
      <w:marBottom w:val="0"/>
      <w:divBdr>
        <w:top w:val="none" w:sz="0" w:space="0" w:color="auto"/>
        <w:left w:val="none" w:sz="0" w:space="0" w:color="auto"/>
        <w:bottom w:val="none" w:sz="0" w:space="0" w:color="auto"/>
        <w:right w:val="none" w:sz="0" w:space="0" w:color="auto"/>
      </w:divBdr>
    </w:div>
    <w:div w:id="1437671934">
      <w:bodyDiv w:val="1"/>
      <w:marLeft w:val="0"/>
      <w:marRight w:val="0"/>
      <w:marTop w:val="0"/>
      <w:marBottom w:val="0"/>
      <w:divBdr>
        <w:top w:val="none" w:sz="0" w:space="0" w:color="auto"/>
        <w:left w:val="none" w:sz="0" w:space="0" w:color="auto"/>
        <w:bottom w:val="none" w:sz="0" w:space="0" w:color="auto"/>
        <w:right w:val="none" w:sz="0" w:space="0" w:color="auto"/>
      </w:divBdr>
    </w:div>
    <w:div w:id="144029792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149346">
      <w:bodyDiv w:val="1"/>
      <w:marLeft w:val="0"/>
      <w:marRight w:val="0"/>
      <w:marTop w:val="0"/>
      <w:marBottom w:val="0"/>
      <w:divBdr>
        <w:top w:val="none" w:sz="0" w:space="0" w:color="auto"/>
        <w:left w:val="none" w:sz="0" w:space="0" w:color="auto"/>
        <w:bottom w:val="none" w:sz="0" w:space="0" w:color="auto"/>
        <w:right w:val="none" w:sz="0" w:space="0" w:color="auto"/>
      </w:divBdr>
    </w:div>
    <w:div w:id="1443302415">
      <w:bodyDiv w:val="1"/>
      <w:marLeft w:val="0"/>
      <w:marRight w:val="0"/>
      <w:marTop w:val="0"/>
      <w:marBottom w:val="0"/>
      <w:divBdr>
        <w:top w:val="none" w:sz="0" w:space="0" w:color="auto"/>
        <w:left w:val="none" w:sz="0" w:space="0" w:color="auto"/>
        <w:bottom w:val="none" w:sz="0" w:space="0" w:color="auto"/>
        <w:right w:val="none" w:sz="0" w:space="0" w:color="auto"/>
      </w:divBdr>
    </w:div>
    <w:div w:id="1446576659">
      <w:bodyDiv w:val="1"/>
      <w:marLeft w:val="0"/>
      <w:marRight w:val="0"/>
      <w:marTop w:val="0"/>
      <w:marBottom w:val="0"/>
      <w:divBdr>
        <w:top w:val="none" w:sz="0" w:space="0" w:color="auto"/>
        <w:left w:val="none" w:sz="0" w:space="0" w:color="auto"/>
        <w:bottom w:val="none" w:sz="0" w:space="0" w:color="auto"/>
        <w:right w:val="none" w:sz="0" w:space="0" w:color="auto"/>
      </w:divBdr>
    </w:div>
    <w:div w:id="1449591485">
      <w:bodyDiv w:val="1"/>
      <w:marLeft w:val="0"/>
      <w:marRight w:val="0"/>
      <w:marTop w:val="0"/>
      <w:marBottom w:val="0"/>
      <w:divBdr>
        <w:top w:val="none" w:sz="0" w:space="0" w:color="auto"/>
        <w:left w:val="none" w:sz="0" w:space="0" w:color="auto"/>
        <w:bottom w:val="none" w:sz="0" w:space="0" w:color="auto"/>
        <w:right w:val="none" w:sz="0" w:space="0" w:color="auto"/>
      </w:divBdr>
    </w:div>
    <w:div w:id="1452632328">
      <w:bodyDiv w:val="1"/>
      <w:marLeft w:val="0"/>
      <w:marRight w:val="0"/>
      <w:marTop w:val="0"/>
      <w:marBottom w:val="0"/>
      <w:divBdr>
        <w:top w:val="none" w:sz="0" w:space="0" w:color="auto"/>
        <w:left w:val="none" w:sz="0" w:space="0" w:color="auto"/>
        <w:bottom w:val="none" w:sz="0" w:space="0" w:color="auto"/>
        <w:right w:val="none" w:sz="0" w:space="0" w:color="auto"/>
      </w:divBdr>
    </w:div>
    <w:div w:id="1454447375">
      <w:bodyDiv w:val="1"/>
      <w:marLeft w:val="0"/>
      <w:marRight w:val="0"/>
      <w:marTop w:val="0"/>
      <w:marBottom w:val="0"/>
      <w:divBdr>
        <w:top w:val="none" w:sz="0" w:space="0" w:color="auto"/>
        <w:left w:val="none" w:sz="0" w:space="0" w:color="auto"/>
        <w:bottom w:val="none" w:sz="0" w:space="0" w:color="auto"/>
        <w:right w:val="none" w:sz="0" w:space="0" w:color="auto"/>
      </w:divBdr>
    </w:div>
    <w:div w:id="1457093594">
      <w:bodyDiv w:val="1"/>
      <w:marLeft w:val="0"/>
      <w:marRight w:val="0"/>
      <w:marTop w:val="0"/>
      <w:marBottom w:val="0"/>
      <w:divBdr>
        <w:top w:val="none" w:sz="0" w:space="0" w:color="auto"/>
        <w:left w:val="none" w:sz="0" w:space="0" w:color="auto"/>
        <w:bottom w:val="none" w:sz="0" w:space="0" w:color="auto"/>
        <w:right w:val="none" w:sz="0" w:space="0" w:color="auto"/>
      </w:divBdr>
    </w:div>
    <w:div w:id="1457529961">
      <w:bodyDiv w:val="1"/>
      <w:marLeft w:val="0"/>
      <w:marRight w:val="0"/>
      <w:marTop w:val="0"/>
      <w:marBottom w:val="0"/>
      <w:divBdr>
        <w:top w:val="none" w:sz="0" w:space="0" w:color="auto"/>
        <w:left w:val="none" w:sz="0" w:space="0" w:color="auto"/>
        <w:bottom w:val="none" w:sz="0" w:space="0" w:color="auto"/>
        <w:right w:val="none" w:sz="0" w:space="0" w:color="auto"/>
      </w:divBdr>
    </w:div>
    <w:div w:id="1459297114">
      <w:bodyDiv w:val="1"/>
      <w:marLeft w:val="0"/>
      <w:marRight w:val="0"/>
      <w:marTop w:val="0"/>
      <w:marBottom w:val="0"/>
      <w:divBdr>
        <w:top w:val="none" w:sz="0" w:space="0" w:color="auto"/>
        <w:left w:val="none" w:sz="0" w:space="0" w:color="auto"/>
        <w:bottom w:val="none" w:sz="0" w:space="0" w:color="auto"/>
        <w:right w:val="none" w:sz="0" w:space="0" w:color="auto"/>
      </w:divBdr>
    </w:div>
    <w:div w:id="1464348413">
      <w:bodyDiv w:val="1"/>
      <w:marLeft w:val="0"/>
      <w:marRight w:val="0"/>
      <w:marTop w:val="0"/>
      <w:marBottom w:val="0"/>
      <w:divBdr>
        <w:top w:val="none" w:sz="0" w:space="0" w:color="auto"/>
        <w:left w:val="none" w:sz="0" w:space="0" w:color="auto"/>
        <w:bottom w:val="none" w:sz="0" w:space="0" w:color="auto"/>
        <w:right w:val="none" w:sz="0" w:space="0" w:color="auto"/>
      </w:divBdr>
    </w:div>
    <w:div w:id="1465268421">
      <w:bodyDiv w:val="1"/>
      <w:marLeft w:val="0"/>
      <w:marRight w:val="0"/>
      <w:marTop w:val="0"/>
      <w:marBottom w:val="0"/>
      <w:divBdr>
        <w:top w:val="none" w:sz="0" w:space="0" w:color="auto"/>
        <w:left w:val="none" w:sz="0" w:space="0" w:color="auto"/>
        <w:bottom w:val="none" w:sz="0" w:space="0" w:color="auto"/>
        <w:right w:val="none" w:sz="0" w:space="0" w:color="auto"/>
      </w:divBdr>
    </w:div>
    <w:div w:id="1468357038">
      <w:bodyDiv w:val="1"/>
      <w:marLeft w:val="0"/>
      <w:marRight w:val="0"/>
      <w:marTop w:val="0"/>
      <w:marBottom w:val="0"/>
      <w:divBdr>
        <w:top w:val="none" w:sz="0" w:space="0" w:color="auto"/>
        <w:left w:val="none" w:sz="0" w:space="0" w:color="auto"/>
        <w:bottom w:val="none" w:sz="0" w:space="0" w:color="auto"/>
        <w:right w:val="none" w:sz="0" w:space="0" w:color="auto"/>
      </w:divBdr>
    </w:div>
    <w:div w:id="1469320253">
      <w:bodyDiv w:val="1"/>
      <w:marLeft w:val="0"/>
      <w:marRight w:val="0"/>
      <w:marTop w:val="0"/>
      <w:marBottom w:val="0"/>
      <w:divBdr>
        <w:top w:val="none" w:sz="0" w:space="0" w:color="auto"/>
        <w:left w:val="none" w:sz="0" w:space="0" w:color="auto"/>
        <w:bottom w:val="none" w:sz="0" w:space="0" w:color="auto"/>
        <w:right w:val="none" w:sz="0" w:space="0" w:color="auto"/>
      </w:divBdr>
    </w:div>
    <w:div w:id="1469394461">
      <w:bodyDiv w:val="1"/>
      <w:marLeft w:val="0"/>
      <w:marRight w:val="0"/>
      <w:marTop w:val="0"/>
      <w:marBottom w:val="0"/>
      <w:divBdr>
        <w:top w:val="none" w:sz="0" w:space="0" w:color="auto"/>
        <w:left w:val="none" w:sz="0" w:space="0" w:color="auto"/>
        <w:bottom w:val="none" w:sz="0" w:space="0" w:color="auto"/>
        <w:right w:val="none" w:sz="0" w:space="0" w:color="auto"/>
      </w:divBdr>
    </w:div>
    <w:div w:id="1475292140">
      <w:bodyDiv w:val="1"/>
      <w:marLeft w:val="0"/>
      <w:marRight w:val="0"/>
      <w:marTop w:val="0"/>
      <w:marBottom w:val="0"/>
      <w:divBdr>
        <w:top w:val="none" w:sz="0" w:space="0" w:color="auto"/>
        <w:left w:val="none" w:sz="0" w:space="0" w:color="auto"/>
        <w:bottom w:val="none" w:sz="0" w:space="0" w:color="auto"/>
        <w:right w:val="none" w:sz="0" w:space="0" w:color="auto"/>
      </w:divBdr>
    </w:div>
    <w:div w:id="1477453262">
      <w:bodyDiv w:val="1"/>
      <w:marLeft w:val="0"/>
      <w:marRight w:val="0"/>
      <w:marTop w:val="0"/>
      <w:marBottom w:val="0"/>
      <w:divBdr>
        <w:top w:val="none" w:sz="0" w:space="0" w:color="auto"/>
        <w:left w:val="none" w:sz="0" w:space="0" w:color="auto"/>
        <w:bottom w:val="none" w:sz="0" w:space="0" w:color="auto"/>
        <w:right w:val="none" w:sz="0" w:space="0" w:color="auto"/>
      </w:divBdr>
    </w:div>
    <w:div w:id="1480266113">
      <w:bodyDiv w:val="1"/>
      <w:marLeft w:val="0"/>
      <w:marRight w:val="0"/>
      <w:marTop w:val="0"/>
      <w:marBottom w:val="0"/>
      <w:divBdr>
        <w:top w:val="none" w:sz="0" w:space="0" w:color="auto"/>
        <w:left w:val="none" w:sz="0" w:space="0" w:color="auto"/>
        <w:bottom w:val="none" w:sz="0" w:space="0" w:color="auto"/>
        <w:right w:val="none" w:sz="0" w:space="0" w:color="auto"/>
      </w:divBdr>
    </w:div>
    <w:div w:id="1480995495">
      <w:bodyDiv w:val="1"/>
      <w:marLeft w:val="0"/>
      <w:marRight w:val="0"/>
      <w:marTop w:val="0"/>
      <w:marBottom w:val="0"/>
      <w:divBdr>
        <w:top w:val="none" w:sz="0" w:space="0" w:color="auto"/>
        <w:left w:val="none" w:sz="0" w:space="0" w:color="auto"/>
        <w:bottom w:val="none" w:sz="0" w:space="0" w:color="auto"/>
        <w:right w:val="none" w:sz="0" w:space="0" w:color="auto"/>
      </w:divBdr>
    </w:div>
    <w:div w:id="1484733277">
      <w:bodyDiv w:val="1"/>
      <w:marLeft w:val="0"/>
      <w:marRight w:val="0"/>
      <w:marTop w:val="0"/>
      <w:marBottom w:val="0"/>
      <w:divBdr>
        <w:top w:val="none" w:sz="0" w:space="0" w:color="auto"/>
        <w:left w:val="none" w:sz="0" w:space="0" w:color="auto"/>
        <w:bottom w:val="none" w:sz="0" w:space="0" w:color="auto"/>
        <w:right w:val="none" w:sz="0" w:space="0" w:color="auto"/>
      </w:divBdr>
    </w:div>
    <w:div w:id="1486706993">
      <w:bodyDiv w:val="1"/>
      <w:marLeft w:val="0"/>
      <w:marRight w:val="0"/>
      <w:marTop w:val="0"/>
      <w:marBottom w:val="0"/>
      <w:divBdr>
        <w:top w:val="none" w:sz="0" w:space="0" w:color="auto"/>
        <w:left w:val="none" w:sz="0" w:space="0" w:color="auto"/>
        <w:bottom w:val="none" w:sz="0" w:space="0" w:color="auto"/>
        <w:right w:val="none" w:sz="0" w:space="0" w:color="auto"/>
      </w:divBdr>
    </w:div>
    <w:div w:id="1493066438">
      <w:bodyDiv w:val="1"/>
      <w:marLeft w:val="0"/>
      <w:marRight w:val="0"/>
      <w:marTop w:val="0"/>
      <w:marBottom w:val="0"/>
      <w:divBdr>
        <w:top w:val="none" w:sz="0" w:space="0" w:color="auto"/>
        <w:left w:val="none" w:sz="0" w:space="0" w:color="auto"/>
        <w:bottom w:val="none" w:sz="0" w:space="0" w:color="auto"/>
        <w:right w:val="none" w:sz="0" w:space="0" w:color="auto"/>
      </w:divBdr>
    </w:div>
    <w:div w:id="1494183240">
      <w:bodyDiv w:val="1"/>
      <w:marLeft w:val="0"/>
      <w:marRight w:val="0"/>
      <w:marTop w:val="0"/>
      <w:marBottom w:val="0"/>
      <w:divBdr>
        <w:top w:val="none" w:sz="0" w:space="0" w:color="auto"/>
        <w:left w:val="none" w:sz="0" w:space="0" w:color="auto"/>
        <w:bottom w:val="none" w:sz="0" w:space="0" w:color="auto"/>
        <w:right w:val="none" w:sz="0" w:space="0" w:color="auto"/>
      </w:divBdr>
    </w:div>
    <w:div w:id="1496606328">
      <w:bodyDiv w:val="1"/>
      <w:marLeft w:val="0"/>
      <w:marRight w:val="0"/>
      <w:marTop w:val="0"/>
      <w:marBottom w:val="0"/>
      <w:divBdr>
        <w:top w:val="none" w:sz="0" w:space="0" w:color="auto"/>
        <w:left w:val="none" w:sz="0" w:space="0" w:color="auto"/>
        <w:bottom w:val="none" w:sz="0" w:space="0" w:color="auto"/>
        <w:right w:val="none" w:sz="0" w:space="0" w:color="auto"/>
      </w:divBdr>
    </w:div>
    <w:div w:id="1501234132">
      <w:bodyDiv w:val="1"/>
      <w:marLeft w:val="0"/>
      <w:marRight w:val="0"/>
      <w:marTop w:val="0"/>
      <w:marBottom w:val="0"/>
      <w:divBdr>
        <w:top w:val="none" w:sz="0" w:space="0" w:color="auto"/>
        <w:left w:val="none" w:sz="0" w:space="0" w:color="auto"/>
        <w:bottom w:val="none" w:sz="0" w:space="0" w:color="auto"/>
        <w:right w:val="none" w:sz="0" w:space="0" w:color="auto"/>
      </w:divBdr>
    </w:div>
    <w:div w:id="1501236942">
      <w:bodyDiv w:val="1"/>
      <w:marLeft w:val="0"/>
      <w:marRight w:val="0"/>
      <w:marTop w:val="0"/>
      <w:marBottom w:val="0"/>
      <w:divBdr>
        <w:top w:val="none" w:sz="0" w:space="0" w:color="auto"/>
        <w:left w:val="none" w:sz="0" w:space="0" w:color="auto"/>
        <w:bottom w:val="none" w:sz="0" w:space="0" w:color="auto"/>
        <w:right w:val="none" w:sz="0" w:space="0" w:color="auto"/>
      </w:divBdr>
    </w:div>
    <w:div w:id="1502811319">
      <w:bodyDiv w:val="1"/>
      <w:marLeft w:val="0"/>
      <w:marRight w:val="0"/>
      <w:marTop w:val="0"/>
      <w:marBottom w:val="0"/>
      <w:divBdr>
        <w:top w:val="none" w:sz="0" w:space="0" w:color="auto"/>
        <w:left w:val="none" w:sz="0" w:space="0" w:color="auto"/>
        <w:bottom w:val="none" w:sz="0" w:space="0" w:color="auto"/>
        <w:right w:val="none" w:sz="0" w:space="0" w:color="auto"/>
      </w:divBdr>
    </w:div>
    <w:div w:id="1505047784">
      <w:bodyDiv w:val="1"/>
      <w:marLeft w:val="0"/>
      <w:marRight w:val="0"/>
      <w:marTop w:val="0"/>
      <w:marBottom w:val="0"/>
      <w:divBdr>
        <w:top w:val="none" w:sz="0" w:space="0" w:color="auto"/>
        <w:left w:val="none" w:sz="0" w:space="0" w:color="auto"/>
        <w:bottom w:val="none" w:sz="0" w:space="0" w:color="auto"/>
        <w:right w:val="none" w:sz="0" w:space="0" w:color="auto"/>
      </w:divBdr>
    </w:div>
    <w:div w:id="1508861496">
      <w:bodyDiv w:val="1"/>
      <w:marLeft w:val="0"/>
      <w:marRight w:val="0"/>
      <w:marTop w:val="0"/>
      <w:marBottom w:val="0"/>
      <w:divBdr>
        <w:top w:val="none" w:sz="0" w:space="0" w:color="auto"/>
        <w:left w:val="none" w:sz="0" w:space="0" w:color="auto"/>
        <w:bottom w:val="none" w:sz="0" w:space="0" w:color="auto"/>
        <w:right w:val="none" w:sz="0" w:space="0" w:color="auto"/>
      </w:divBdr>
    </w:div>
    <w:div w:id="1511213968">
      <w:bodyDiv w:val="1"/>
      <w:marLeft w:val="0"/>
      <w:marRight w:val="0"/>
      <w:marTop w:val="0"/>
      <w:marBottom w:val="0"/>
      <w:divBdr>
        <w:top w:val="none" w:sz="0" w:space="0" w:color="auto"/>
        <w:left w:val="none" w:sz="0" w:space="0" w:color="auto"/>
        <w:bottom w:val="none" w:sz="0" w:space="0" w:color="auto"/>
        <w:right w:val="none" w:sz="0" w:space="0" w:color="auto"/>
      </w:divBdr>
    </w:div>
    <w:div w:id="1511291916">
      <w:bodyDiv w:val="1"/>
      <w:marLeft w:val="0"/>
      <w:marRight w:val="0"/>
      <w:marTop w:val="0"/>
      <w:marBottom w:val="0"/>
      <w:divBdr>
        <w:top w:val="none" w:sz="0" w:space="0" w:color="auto"/>
        <w:left w:val="none" w:sz="0" w:space="0" w:color="auto"/>
        <w:bottom w:val="none" w:sz="0" w:space="0" w:color="auto"/>
        <w:right w:val="none" w:sz="0" w:space="0" w:color="auto"/>
      </w:divBdr>
    </w:div>
    <w:div w:id="1526138296">
      <w:bodyDiv w:val="1"/>
      <w:marLeft w:val="0"/>
      <w:marRight w:val="0"/>
      <w:marTop w:val="0"/>
      <w:marBottom w:val="0"/>
      <w:divBdr>
        <w:top w:val="none" w:sz="0" w:space="0" w:color="auto"/>
        <w:left w:val="none" w:sz="0" w:space="0" w:color="auto"/>
        <w:bottom w:val="none" w:sz="0" w:space="0" w:color="auto"/>
        <w:right w:val="none" w:sz="0" w:space="0" w:color="auto"/>
      </w:divBdr>
    </w:div>
    <w:div w:id="1526753466">
      <w:bodyDiv w:val="1"/>
      <w:marLeft w:val="0"/>
      <w:marRight w:val="0"/>
      <w:marTop w:val="0"/>
      <w:marBottom w:val="0"/>
      <w:divBdr>
        <w:top w:val="none" w:sz="0" w:space="0" w:color="auto"/>
        <w:left w:val="none" w:sz="0" w:space="0" w:color="auto"/>
        <w:bottom w:val="none" w:sz="0" w:space="0" w:color="auto"/>
        <w:right w:val="none" w:sz="0" w:space="0" w:color="auto"/>
      </w:divBdr>
    </w:div>
    <w:div w:id="1528980245">
      <w:bodyDiv w:val="1"/>
      <w:marLeft w:val="0"/>
      <w:marRight w:val="0"/>
      <w:marTop w:val="0"/>
      <w:marBottom w:val="0"/>
      <w:divBdr>
        <w:top w:val="none" w:sz="0" w:space="0" w:color="auto"/>
        <w:left w:val="none" w:sz="0" w:space="0" w:color="auto"/>
        <w:bottom w:val="none" w:sz="0" w:space="0" w:color="auto"/>
        <w:right w:val="none" w:sz="0" w:space="0" w:color="auto"/>
      </w:divBdr>
    </w:div>
    <w:div w:id="1529029498">
      <w:bodyDiv w:val="1"/>
      <w:marLeft w:val="0"/>
      <w:marRight w:val="0"/>
      <w:marTop w:val="0"/>
      <w:marBottom w:val="0"/>
      <w:divBdr>
        <w:top w:val="none" w:sz="0" w:space="0" w:color="auto"/>
        <w:left w:val="none" w:sz="0" w:space="0" w:color="auto"/>
        <w:bottom w:val="none" w:sz="0" w:space="0" w:color="auto"/>
        <w:right w:val="none" w:sz="0" w:space="0" w:color="auto"/>
      </w:divBdr>
    </w:div>
    <w:div w:id="1530484760">
      <w:bodyDiv w:val="1"/>
      <w:marLeft w:val="0"/>
      <w:marRight w:val="0"/>
      <w:marTop w:val="0"/>
      <w:marBottom w:val="0"/>
      <w:divBdr>
        <w:top w:val="none" w:sz="0" w:space="0" w:color="auto"/>
        <w:left w:val="none" w:sz="0" w:space="0" w:color="auto"/>
        <w:bottom w:val="none" w:sz="0" w:space="0" w:color="auto"/>
        <w:right w:val="none" w:sz="0" w:space="0" w:color="auto"/>
      </w:divBdr>
    </w:div>
    <w:div w:id="1531532355">
      <w:bodyDiv w:val="1"/>
      <w:marLeft w:val="0"/>
      <w:marRight w:val="0"/>
      <w:marTop w:val="0"/>
      <w:marBottom w:val="0"/>
      <w:divBdr>
        <w:top w:val="none" w:sz="0" w:space="0" w:color="auto"/>
        <w:left w:val="none" w:sz="0" w:space="0" w:color="auto"/>
        <w:bottom w:val="none" w:sz="0" w:space="0" w:color="auto"/>
        <w:right w:val="none" w:sz="0" w:space="0" w:color="auto"/>
      </w:divBdr>
    </w:div>
    <w:div w:id="1532764493">
      <w:bodyDiv w:val="1"/>
      <w:marLeft w:val="0"/>
      <w:marRight w:val="0"/>
      <w:marTop w:val="0"/>
      <w:marBottom w:val="0"/>
      <w:divBdr>
        <w:top w:val="none" w:sz="0" w:space="0" w:color="auto"/>
        <w:left w:val="none" w:sz="0" w:space="0" w:color="auto"/>
        <w:bottom w:val="none" w:sz="0" w:space="0" w:color="auto"/>
        <w:right w:val="none" w:sz="0" w:space="0" w:color="auto"/>
      </w:divBdr>
    </w:div>
    <w:div w:id="1534224438">
      <w:bodyDiv w:val="1"/>
      <w:marLeft w:val="0"/>
      <w:marRight w:val="0"/>
      <w:marTop w:val="0"/>
      <w:marBottom w:val="0"/>
      <w:divBdr>
        <w:top w:val="none" w:sz="0" w:space="0" w:color="auto"/>
        <w:left w:val="none" w:sz="0" w:space="0" w:color="auto"/>
        <w:bottom w:val="none" w:sz="0" w:space="0" w:color="auto"/>
        <w:right w:val="none" w:sz="0" w:space="0" w:color="auto"/>
      </w:divBdr>
    </w:div>
    <w:div w:id="1536887650">
      <w:bodyDiv w:val="1"/>
      <w:marLeft w:val="0"/>
      <w:marRight w:val="0"/>
      <w:marTop w:val="0"/>
      <w:marBottom w:val="0"/>
      <w:divBdr>
        <w:top w:val="none" w:sz="0" w:space="0" w:color="auto"/>
        <w:left w:val="none" w:sz="0" w:space="0" w:color="auto"/>
        <w:bottom w:val="none" w:sz="0" w:space="0" w:color="auto"/>
        <w:right w:val="none" w:sz="0" w:space="0" w:color="auto"/>
      </w:divBdr>
    </w:div>
    <w:div w:id="1540506106">
      <w:bodyDiv w:val="1"/>
      <w:marLeft w:val="0"/>
      <w:marRight w:val="0"/>
      <w:marTop w:val="0"/>
      <w:marBottom w:val="0"/>
      <w:divBdr>
        <w:top w:val="none" w:sz="0" w:space="0" w:color="auto"/>
        <w:left w:val="none" w:sz="0" w:space="0" w:color="auto"/>
        <w:bottom w:val="none" w:sz="0" w:space="0" w:color="auto"/>
        <w:right w:val="none" w:sz="0" w:space="0" w:color="auto"/>
      </w:divBdr>
    </w:div>
    <w:div w:id="1557471103">
      <w:bodyDiv w:val="1"/>
      <w:marLeft w:val="0"/>
      <w:marRight w:val="0"/>
      <w:marTop w:val="0"/>
      <w:marBottom w:val="0"/>
      <w:divBdr>
        <w:top w:val="none" w:sz="0" w:space="0" w:color="auto"/>
        <w:left w:val="none" w:sz="0" w:space="0" w:color="auto"/>
        <w:bottom w:val="none" w:sz="0" w:space="0" w:color="auto"/>
        <w:right w:val="none" w:sz="0" w:space="0" w:color="auto"/>
      </w:divBdr>
    </w:div>
    <w:div w:id="1567034734">
      <w:bodyDiv w:val="1"/>
      <w:marLeft w:val="0"/>
      <w:marRight w:val="0"/>
      <w:marTop w:val="0"/>
      <w:marBottom w:val="0"/>
      <w:divBdr>
        <w:top w:val="none" w:sz="0" w:space="0" w:color="auto"/>
        <w:left w:val="none" w:sz="0" w:space="0" w:color="auto"/>
        <w:bottom w:val="none" w:sz="0" w:space="0" w:color="auto"/>
        <w:right w:val="none" w:sz="0" w:space="0" w:color="auto"/>
      </w:divBdr>
    </w:div>
    <w:div w:id="1567298388">
      <w:bodyDiv w:val="1"/>
      <w:marLeft w:val="0"/>
      <w:marRight w:val="0"/>
      <w:marTop w:val="0"/>
      <w:marBottom w:val="0"/>
      <w:divBdr>
        <w:top w:val="none" w:sz="0" w:space="0" w:color="auto"/>
        <w:left w:val="none" w:sz="0" w:space="0" w:color="auto"/>
        <w:bottom w:val="none" w:sz="0" w:space="0" w:color="auto"/>
        <w:right w:val="none" w:sz="0" w:space="0" w:color="auto"/>
      </w:divBdr>
    </w:div>
    <w:div w:id="1570924753">
      <w:bodyDiv w:val="1"/>
      <w:marLeft w:val="0"/>
      <w:marRight w:val="0"/>
      <w:marTop w:val="0"/>
      <w:marBottom w:val="0"/>
      <w:divBdr>
        <w:top w:val="none" w:sz="0" w:space="0" w:color="auto"/>
        <w:left w:val="none" w:sz="0" w:space="0" w:color="auto"/>
        <w:bottom w:val="none" w:sz="0" w:space="0" w:color="auto"/>
        <w:right w:val="none" w:sz="0" w:space="0" w:color="auto"/>
      </w:divBdr>
    </w:div>
    <w:div w:id="1571500747">
      <w:bodyDiv w:val="1"/>
      <w:marLeft w:val="0"/>
      <w:marRight w:val="0"/>
      <w:marTop w:val="0"/>
      <w:marBottom w:val="0"/>
      <w:divBdr>
        <w:top w:val="none" w:sz="0" w:space="0" w:color="auto"/>
        <w:left w:val="none" w:sz="0" w:space="0" w:color="auto"/>
        <w:bottom w:val="none" w:sz="0" w:space="0" w:color="auto"/>
        <w:right w:val="none" w:sz="0" w:space="0" w:color="auto"/>
      </w:divBdr>
    </w:div>
    <w:div w:id="1577203260">
      <w:bodyDiv w:val="1"/>
      <w:marLeft w:val="0"/>
      <w:marRight w:val="0"/>
      <w:marTop w:val="0"/>
      <w:marBottom w:val="0"/>
      <w:divBdr>
        <w:top w:val="none" w:sz="0" w:space="0" w:color="auto"/>
        <w:left w:val="none" w:sz="0" w:space="0" w:color="auto"/>
        <w:bottom w:val="none" w:sz="0" w:space="0" w:color="auto"/>
        <w:right w:val="none" w:sz="0" w:space="0" w:color="auto"/>
      </w:divBdr>
    </w:div>
    <w:div w:id="1581793085">
      <w:bodyDiv w:val="1"/>
      <w:marLeft w:val="0"/>
      <w:marRight w:val="0"/>
      <w:marTop w:val="0"/>
      <w:marBottom w:val="0"/>
      <w:divBdr>
        <w:top w:val="none" w:sz="0" w:space="0" w:color="auto"/>
        <w:left w:val="none" w:sz="0" w:space="0" w:color="auto"/>
        <w:bottom w:val="none" w:sz="0" w:space="0" w:color="auto"/>
        <w:right w:val="none" w:sz="0" w:space="0" w:color="auto"/>
      </w:divBdr>
    </w:div>
    <w:div w:id="1583636863">
      <w:bodyDiv w:val="1"/>
      <w:marLeft w:val="0"/>
      <w:marRight w:val="0"/>
      <w:marTop w:val="0"/>
      <w:marBottom w:val="0"/>
      <w:divBdr>
        <w:top w:val="none" w:sz="0" w:space="0" w:color="auto"/>
        <w:left w:val="none" w:sz="0" w:space="0" w:color="auto"/>
        <w:bottom w:val="none" w:sz="0" w:space="0" w:color="auto"/>
        <w:right w:val="none" w:sz="0" w:space="0" w:color="auto"/>
      </w:divBdr>
    </w:div>
    <w:div w:id="1583642511">
      <w:bodyDiv w:val="1"/>
      <w:marLeft w:val="0"/>
      <w:marRight w:val="0"/>
      <w:marTop w:val="0"/>
      <w:marBottom w:val="0"/>
      <w:divBdr>
        <w:top w:val="none" w:sz="0" w:space="0" w:color="auto"/>
        <w:left w:val="none" w:sz="0" w:space="0" w:color="auto"/>
        <w:bottom w:val="none" w:sz="0" w:space="0" w:color="auto"/>
        <w:right w:val="none" w:sz="0" w:space="0" w:color="auto"/>
      </w:divBdr>
    </w:div>
    <w:div w:id="1585215966">
      <w:bodyDiv w:val="1"/>
      <w:marLeft w:val="0"/>
      <w:marRight w:val="0"/>
      <w:marTop w:val="0"/>
      <w:marBottom w:val="0"/>
      <w:divBdr>
        <w:top w:val="none" w:sz="0" w:space="0" w:color="auto"/>
        <w:left w:val="none" w:sz="0" w:space="0" w:color="auto"/>
        <w:bottom w:val="none" w:sz="0" w:space="0" w:color="auto"/>
        <w:right w:val="none" w:sz="0" w:space="0" w:color="auto"/>
      </w:divBdr>
    </w:div>
    <w:div w:id="1588421163">
      <w:bodyDiv w:val="1"/>
      <w:marLeft w:val="0"/>
      <w:marRight w:val="0"/>
      <w:marTop w:val="0"/>
      <w:marBottom w:val="0"/>
      <w:divBdr>
        <w:top w:val="none" w:sz="0" w:space="0" w:color="auto"/>
        <w:left w:val="none" w:sz="0" w:space="0" w:color="auto"/>
        <w:bottom w:val="none" w:sz="0" w:space="0" w:color="auto"/>
        <w:right w:val="none" w:sz="0" w:space="0" w:color="auto"/>
      </w:divBdr>
    </w:div>
    <w:div w:id="1593854092">
      <w:bodyDiv w:val="1"/>
      <w:marLeft w:val="0"/>
      <w:marRight w:val="0"/>
      <w:marTop w:val="0"/>
      <w:marBottom w:val="0"/>
      <w:divBdr>
        <w:top w:val="none" w:sz="0" w:space="0" w:color="auto"/>
        <w:left w:val="none" w:sz="0" w:space="0" w:color="auto"/>
        <w:bottom w:val="none" w:sz="0" w:space="0" w:color="auto"/>
        <w:right w:val="none" w:sz="0" w:space="0" w:color="auto"/>
      </w:divBdr>
    </w:div>
    <w:div w:id="1594626095">
      <w:bodyDiv w:val="1"/>
      <w:marLeft w:val="0"/>
      <w:marRight w:val="0"/>
      <w:marTop w:val="0"/>
      <w:marBottom w:val="0"/>
      <w:divBdr>
        <w:top w:val="none" w:sz="0" w:space="0" w:color="auto"/>
        <w:left w:val="none" w:sz="0" w:space="0" w:color="auto"/>
        <w:bottom w:val="none" w:sz="0" w:space="0" w:color="auto"/>
        <w:right w:val="none" w:sz="0" w:space="0" w:color="auto"/>
      </w:divBdr>
    </w:div>
    <w:div w:id="1597052130">
      <w:bodyDiv w:val="1"/>
      <w:marLeft w:val="0"/>
      <w:marRight w:val="0"/>
      <w:marTop w:val="0"/>
      <w:marBottom w:val="0"/>
      <w:divBdr>
        <w:top w:val="none" w:sz="0" w:space="0" w:color="auto"/>
        <w:left w:val="none" w:sz="0" w:space="0" w:color="auto"/>
        <w:bottom w:val="none" w:sz="0" w:space="0" w:color="auto"/>
        <w:right w:val="none" w:sz="0" w:space="0" w:color="auto"/>
      </w:divBdr>
    </w:div>
    <w:div w:id="1603143168">
      <w:bodyDiv w:val="1"/>
      <w:marLeft w:val="0"/>
      <w:marRight w:val="0"/>
      <w:marTop w:val="0"/>
      <w:marBottom w:val="0"/>
      <w:divBdr>
        <w:top w:val="none" w:sz="0" w:space="0" w:color="auto"/>
        <w:left w:val="none" w:sz="0" w:space="0" w:color="auto"/>
        <w:bottom w:val="none" w:sz="0" w:space="0" w:color="auto"/>
        <w:right w:val="none" w:sz="0" w:space="0" w:color="auto"/>
      </w:divBdr>
    </w:div>
    <w:div w:id="1605310884">
      <w:bodyDiv w:val="1"/>
      <w:marLeft w:val="0"/>
      <w:marRight w:val="0"/>
      <w:marTop w:val="0"/>
      <w:marBottom w:val="0"/>
      <w:divBdr>
        <w:top w:val="none" w:sz="0" w:space="0" w:color="auto"/>
        <w:left w:val="none" w:sz="0" w:space="0" w:color="auto"/>
        <w:bottom w:val="none" w:sz="0" w:space="0" w:color="auto"/>
        <w:right w:val="none" w:sz="0" w:space="0" w:color="auto"/>
      </w:divBdr>
    </w:div>
    <w:div w:id="1606768217">
      <w:bodyDiv w:val="1"/>
      <w:marLeft w:val="0"/>
      <w:marRight w:val="0"/>
      <w:marTop w:val="0"/>
      <w:marBottom w:val="0"/>
      <w:divBdr>
        <w:top w:val="none" w:sz="0" w:space="0" w:color="auto"/>
        <w:left w:val="none" w:sz="0" w:space="0" w:color="auto"/>
        <w:bottom w:val="none" w:sz="0" w:space="0" w:color="auto"/>
        <w:right w:val="none" w:sz="0" w:space="0" w:color="auto"/>
      </w:divBdr>
    </w:div>
    <w:div w:id="1611863250">
      <w:bodyDiv w:val="1"/>
      <w:marLeft w:val="0"/>
      <w:marRight w:val="0"/>
      <w:marTop w:val="0"/>
      <w:marBottom w:val="0"/>
      <w:divBdr>
        <w:top w:val="none" w:sz="0" w:space="0" w:color="auto"/>
        <w:left w:val="none" w:sz="0" w:space="0" w:color="auto"/>
        <w:bottom w:val="none" w:sz="0" w:space="0" w:color="auto"/>
        <w:right w:val="none" w:sz="0" w:space="0" w:color="auto"/>
      </w:divBdr>
    </w:div>
    <w:div w:id="1617131389">
      <w:bodyDiv w:val="1"/>
      <w:marLeft w:val="0"/>
      <w:marRight w:val="0"/>
      <w:marTop w:val="0"/>
      <w:marBottom w:val="0"/>
      <w:divBdr>
        <w:top w:val="none" w:sz="0" w:space="0" w:color="auto"/>
        <w:left w:val="none" w:sz="0" w:space="0" w:color="auto"/>
        <w:bottom w:val="none" w:sz="0" w:space="0" w:color="auto"/>
        <w:right w:val="none" w:sz="0" w:space="0" w:color="auto"/>
      </w:divBdr>
    </w:div>
    <w:div w:id="1622147231">
      <w:bodyDiv w:val="1"/>
      <w:marLeft w:val="0"/>
      <w:marRight w:val="0"/>
      <w:marTop w:val="0"/>
      <w:marBottom w:val="0"/>
      <w:divBdr>
        <w:top w:val="none" w:sz="0" w:space="0" w:color="auto"/>
        <w:left w:val="none" w:sz="0" w:space="0" w:color="auto"/>
        <w:bottom w:val="none" w:sz="0" w:space="0" w:color="auto"/>
        <w:right w:val="none" w:sz="0" w:space="0" w:color="auto"/>
      </w:divBdr>
    </w:div>
    <w:div w:id="1622148092">
      <w:bodyDiv w:val="1"/>
      <w:marLeft w:val="0"/>
      <w:marRight w:val="0"/>
      <w:marTop w:val="0"/>
      <w:marBottom w:val="0"/>
      <w:divBdr>
        <w:top w:val="none" w:sz="0" w:space="0" w:color="auto"/>
        <w:left w:val="none" w:sz="0" w:space="0" w:color="auto"/>
        <w:bottom w:val="none" w:sz="0" w:space="0" w:color="auto"/>
        <w:right w:val="none" w:sz="0" w:space="0" w:color="auto"/>
      </w:divBdr>
    </w:div>
    <w:div w:id="1623464501">
      <w:bodyDiv w:val="1"/>
      <w:marLeft w:val="0"/>
      <w:marRight w:val="0"/>
      <w:marTop w:val="0"/>
      <w:marBottom w:val="0"/>
      <w:divBdr>
        <w:top w:val="none" w:sz="0" w:space="0" w:color="auto"/>
        <w:left w:val="none" w:sz="0" w:space="0" w:color="auto"/>
        <w:bottom w:val="none" w:sz="0" w:space="0" w:color="auto"/>
        <w:right w:val="none" w:sz="0" w:space="0" w:color="auto"/>
      </w:divBdr>
    </w:div>
    <w:div w:id="162669021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8022">
      <w:bodyDiv w:val="1"/>
      <w:marLeft w:val="0"/>
      <w:marRight w:val="0"/>
      <w:marTop w:val="0"/>
      <w:marBottom w:val="0"/>
      <w:divBdr>
        <w:top w:val="none" w:sz="0" w:space="0" w:color="auto"/>
        <w:left w:val="none" w:sz="0" w:space="0" w:color="auto"/>
        <w:bottom w:val="none" w:sz="0" w:space="0" w:color="auto"/>
        <w:right w:val="none" w:sz="0" w:space="0" w:color="auto"/>
      </w:divBdr>
    </w:div>
    <w:div w:id="1627927177">
      <w:bodyDiv w:val="1"/>
      <w:marLeft w:val="0"/>
      <w:marRight w:val="0"/>
      <w:marTop w:val="0"/>
      <w:marBottom w:val="0"/>
      <w:divBdr>
        <w:top w:val="none" w:sz="0" w:space="0" w:color="auto"/>
        <w:left w:val="none" w:sz="0" w:space="0" w:color="auto"/>
        <w:bottom w:val="none" w:sz="0" w:space="0" w:color="auto"/>
        <w:right w:val="none" w:sz="0" w:space="0" w:color="auto"/>
      </w:divBdr>
    </w:div>
    <w:div w:id="1631083989">
      <w:bodyDiv w:val="1"/>
      <w:marLeft w:val="0"/>
      <w:marRight w:val="0"/>
      <w:marTop w:val="0"/>
      <w:marBottom w:val="0"/>
      <w:divBdr>
        <w:top w:val="none" w:sz="0" w:space="0" w:color="auto"/>
        <w:left w:val="none" w:sz="0" w:space="0" w:color="auto"/>
        <w:bottom w:val="none" w:sz="0" w:space="0" w:color="auto"/>
        <w:right w:val="none" w:sz="0" w:space="0" w:color="auto"/>
      </w:divBdr>
    </w:div>
    <w:div w:id="1633710385">
      <w:bodyDiv w:val="1"/>
      <w:marLeft w:val="0"/>
      <w:marRight w:val="0"/>
      <w:marTop w:val="0"/>
      <w:marBottom w:val="0"/>
      <w:divBdr>
        <w:top w:val="none" w:sz="0" w:space="0" w:color="auto"/>
        <w:left w:val="none" w:sz="0" w:space="0" w:color="auto"/>
        <w:bottom w:val="none" w:sz="0" w:space="0" w:color="auto"/>
        <w:right w:val="none" w:sz="0" w:space="0" w:color="auto"/>
      </w:divBdr>
    </w:div>
    <w:div w:id="1634284781">
      <w:bodyDiv w:val="1"/>
      <w:marLeft w:val="0"/>
      <w:marRight w:val="0"/>
      <w:marTop w:val="0"/>
      <w:marBottom w:val="0"/>
      <w:divBdr>
        <w:top w:val="none" w:sz="0" w:space="0" w:color="auto"/>
        <w:left w:val="none" w:sz="0" w:space="0" w:color="auto"/>
        <w:bottom w:val="none" w:sz="0" w:space="0" w:color="auto"/>
        <w:right w:val="none" w:sz="0" w:space="0" w:color="auto"/>
      </w:divBdr>
    </w:div>
    <w:div w:id="1636377250">
      <w:bodyDiv w:val="1"/>
      <w:marLeft w:val="0"/>
      <w:marRight w:val="0"/>
      <w:marTop w:val="0"/>
      <w:marBottom w:val="0"/>
      <w:divBdr>
        <w:top w:val="none" w:sz="0" w:space="0" w:color="auto"/>
        <w:left w:val="none" w:sz="0" w:space="0" w:color="auto"/>
        <w:bottom w:val="none" w:sz="0" w:space="0" w:color="auto"/>
        <w:right w:val="none" w:sz="0" w:space="0" w:color="auto"/>
      </w:divBdr>
    </w:div>
    <w:div w:id="1637754702">
      <w:bodyDiv w:val="1"/>
      <w:marLeft w:val="0"/>
      <w:marRight w:val="0"/>
      <w:marTop w:val="0"/>
      <w:marBottom w:val="0"/>
      <w:divBdr>
        <w:top w:val="none" w:sz="0" w:space="0" w:color="auto"/>
        <w:left w:val="none" w:sz="0" w:space="0" w:color="auto"/>
        <w:bottom w:val="none" w:sz="0" w:space="0" w:color="auto"/>
        <w:right w:val="none" w:sz="0" w:space="0" w:color="auto"/>
      </w:divBdr>
    </w:div>
    <w:div w:id="1638073074">
      <w:bodyDiv w:val="1"/>
      <w:marLeft w:val="0"/>
      <w:marRight w:val="0"/>
      <w:marTop w:val="0"/>
      <w:marBottom w:val="0"/>
      <w:divBdr>
        <w:top w:val="none" w:sz="0" w:space="0" w:color="auto"/>
        <w:left w:val="none" w:sz="0" w:space="0" w:color="auto"/>
        <w:bottom w:val="none" w:sz="0" w:space="0" w:color="auto"/>
        <w:right w:val="none" w:sz="0" w:space="0" w:color="auto"/>
      </w:divBdr>
    </w:div>
    <w:div w:id="1638802403">
      <w:bodyDiv w:val="1"/>
      <w:marLeft w:val="0"/>
      <w:marRight w:val="0"/>
      <w:marTop w:val="0"/>
      <w:marBottom w:val="0"/>
      <w:divBdr>
        <w:top w:val="none" w:sz="0" w:space="0" w:color="auto"/>
        <w:left w:val="none" w:sz="0" w:space="0" w:color="auto"/>
        <w:bottom w:val="none" w:sz="0" w:space="0" w:color="auto"/>
        <w:right w:val="none" w:sz="0" w:space="0" w:color="auto"/>
      </w:divBdr>
    </w:div>
    <w:div w:id="1643383245">
      <w:bodyDiv w:val="1"/>
      <w:marLeft w:val="0"/>
      <w:marRight w:val="0"/>
      <w:marTop w:val="0"/>
      <w:marBottom w:val="0"/>
      <w:divBdr>
        <w:top w:val="none" w:sz="0" w:space="0" w:color="auto"/>
        <w:left w:val="none" w:sz="0" w:space="0" w:color="auto"/>
        <w:bottom w:val="none" w:sz="0" w:space="0" w:color="auto"/>
        <w:right w:val="none" w:sz="0" w:space="0" w:color="auto"/>
      </w:divBdr>
    </w:div>
    <w:div w:id="1643464798">
      <w:bodyDiv w:val="1"/>
      <w:marLeft w:val="0"/>
      <w:marRight w:val="0"/>
      <w:marTop w:val="0"/>
      <w:marBottom w:val="0"/>
      <w:divBdr>
        <w:top w:val="none" w:sz="0" w:space="0" w:color="auto"/>
        <w:left w:val="none" w:sz="0" w:space="0" w:color="auto"/>
        <w:bottom w:val="none" w:sz="0" w:space="0" w:color="auto"/>
        <w:right w:val="none" w:sz="0" w:space="0" w:color="auto"/>
      </w:divBdr>
    </w:div>
    <w:div w:id="1643805223">
      <w:bodyDiv w:val="1"/>
      <w:marLeft w:val="0"/>
      <w:marRight w:val="0"/>
      <w:marTop w:val="0"/>
      <w:marBottom w:val="0"/>
      <w:divBdr>
        <w:top w:val="none" w:sz="0" w:space="0" w:color="auto"/>
        <w:left w:val="none" w:sz="0" w:space="0" w:color="auto"/>
        <w:bottom w:val="none" w:sz="0" w:space="0" w:color="auto"/>
        <w:right w:val="none" w:sz="0" w:space="0" w:color="auto"/>
      </w:divBdr>
    </w:div>
    <w:div w:id="1649285037">
      <w:bodyDiv w:val="1"/>
      <w:marLeft w:val="0"/>
      <w:marRight w:val="0"/>
      <w:marTop w:val="0"/>
      <w:marBottom w:val="0"/>
      <w:divBdr>
        <w:top w:val="none" w:sz="0" w:space="0" w:color="auto"/>
        <w:left w:val="none" w:sz="0" w:space="0" w:color="auto"/>
        <w:bottom w:val="none" w:sz="0" w:space="0" w:color="auto"/>
        <w:right w:val="none" w:sz="0" w:space="0" w:color="auto"/>
      </w:divBdr>
    </w:div>
    <w:div w:id="1654136755">
      <w:bodyDiv w:val="1"/>
      <w:marLeft w:val="0"/>
      <w:marRight w:val="0"/>
      <w:marTop w:val="0"/>
      <w:marBottom w:val="0"/>
      <w:divBdr>
        <w:top w:val="none" w:sz="0" w:space="0" w:color="auto"/>
        <w:left w:val="none" w:sz="0" w:space="0" w:color="auto"/>
        <w:bottom w:val="none" w:sz="0" w:space="0" w:color="auto"/>
        <w:right w:val="none" w:sz="0" w:space="0" w:color="auto"/>
      </w:divBdr>
    </w:div>
    <w:div w:id="1660227800">
      <w:bodyDiv w:val="1"/>
      <w:marLeft w:val="0"/>
      <w:marRight w:val="0"/>
      <w:marTop w:val="0"/>
      <w:marBottom w:val="0"/>
      <w:divBdr>
        <w:top w:val="none" w:sz="0" w:space="0" w:color="auto"/>
        <w:left w:val="none" w:sz="0" w:space="0" w:color="auto"/>
        <w:bottom w:val="none" w:sz="0" w:space="0" w:color="auto"/>
        <w:right w:val="none" w:sz="0" w:space="0" w:color="auto"/>
      </w:divBdr>
    </w:div>
    <w:div w:id="1660648764">
      <w:bodyDiv w:val="1"/>
      <w:marLeft w:val="0"/>
      <w:marRight w:val="0"/>
      <w:marTop w:val="0"/>
      <w:marBottom w:val="0"/>
      <w:divBdr>
        <w:top w:val="none" w:sz="0" w:space="0" w:color="auto"/>
        <w:left w:val="none" w:sz="0" w:space="0" w:color="auto"/>
        <w:bottom w:val="none" w:sz="0" w:space="0" w:color="auto"/>
        <w:right w:val="none" w:sz="0" w:space="0" w:color="auto"/>
      </w:divBdr>
    </w:div>
    <w:div w:id="1661233685">
      <w:bodyDiv w:val="1"/>
      <w:marLeft w:val="0"/>
      <w:marRight w:val="0"/>
      <w:marTop w:val="0"/>
      <w:marBottom w:val="0"/>
      <w:divBdr>
        <w:top w:val="none" w:sz="0" w:space="0" w:color="auto"/>
        <w:left w:val="none" w:sz="0" w:space="0" w:color="auto"/>
        <w:bottom w:val="none" w:sz="0" w:space="0" w:color="auto"/>
        <w:right w:val="none" w:sz="0" w:space="0" w:color="auto"/>
      </w:divBdr>
    </w:div>
    <w:div w:id="1663509587">
      <w:bodyDiv w:val="1"/>
      <w:marLeft w:val="0"/>
      <w:marRight w:val="0"/>
      <w:marTop w:val="0"/>
      <w:marBottom w:val="0"/>
      <w:divBdr>
        <w:top w:val="none" w:sz="0" w:space="0" w:color="auto"/>
        <w:left w:val="none" w:sz="0" w:space="0" w:color="auto"/>
        <w:bottom w:val="none" w:sz="0" w:space="0" w:color="auto"/>
        <w:right w:val="none" w:sz="0" w:space="0" w:color="auto"/>
      </w:divBdr>
    </w:div>
    <w:div w:id="1671911694">
      <w:bodyDiv w:val="1"/>
      <w:marLeft w:val="0"/>
      <w:marRight w:val="0"/>
      <w:marTop w:val="0"/>
      <w:marBottom w:val="0"/>
      <w:divBdr>
        <w:top w:val="none" w:sz="0" w:space="0" w:color="auto"/>
        <w:left w:val="none" w:sz="0" w:space="0" w:color="auto"/>
        <w:bottom w:val="none" w:sz="0" w:space="0" w:color="auto"/>
        <w:right w:val="none" w:sz="0" w:space="0" w:color="auto"/>
      </w:divBdr>
    </w:div>
    <w:div w:id="1673486734">
      <w:bodyDiv w:val="1"/>
      <w:marLeft w:val="0"/>
      <w:marRight w:val="0"/>
      <w:marTop w:val="0"/>
      <w:marBottom w:val="0"/>
      <w:divBdr>
        <w:top w:val="none" w:sz="0" w:space="0" w:color="auto"/>
        <w:left w:val="none" w:sz="0" w:space="0" w:color="auto"/>
        <w:bottom w:val="none" w:sz="0" w:space="0" w:color="auto"/>
        <w:right w:val="none" w:sz="0" w:space="0" w:color="auto"/>
      </w:divBdr>
    </w:div>
    <w:div w:id="1674648091">
      <w:bodyDiv w:val="1"/>
      <w:marLeft w:val="0"/>
      <w:marRight w:val="0"/>
      <w:marTop w:val="0"/>
      <w:marBottom w:val="0"/>
      <w:divBdr>
        <w:top w:val="none" w:sz="0" w:space="0" w:color="auto"/>
        <w:left w:val="none" w:sz="0" w:space="0" w:color="auto"/>
        <w:bottom w:val="none" w:sz="0" w:space="0" w:color="auto"/>
        <w:right w:val="none" w:sz="0" w:space="0" w:color="auto"/>
      </w:divBdr>
    </w:div>
    <w:div w:id="1677537813">
      <w:bodyDiv w:val="1"/>
      <w:marLeft w:val="0"/>
      <w:marRight w:val="0"/>
      <w:marTop w:val="0"/>
      <w:marBottom w:val="0"/>
      <w:divBdr>
        <w:top w:val="none" w:sz="0" w:space="0" w:color="auto"/>
        <w:left w:val="none" w:sz="0" w:space="0" w:color="auto"/>
        <w:bottom w:val="none" w:sz="0" w:space="0" w:color="auto"/>
        <w:right w:val="none" w:sz="0" w:space="0" w:color="auto"/>
      </w:divBdr>
    </w:div>
    <w:div w:id="1678076642">
      <w:bodyDiv w:val="1"/>
      <w:marLeft w:val="0"/>
      <w:marRight w:val="0"/>
      <w:marTop w:val="0"/>
      <w:marBottom w:val="0"/>
      <w:divBdr>
        <w:top w:val="none" w:sz="0" w:space="0" w:color="auto"/>
        <w:left w:val="none" w:sz="0" w:space="0" w:color="auto"/>
        <w:bottom w:val="none" w:sz="0" w:space="0" w:color="auto"/>
        <w:right w:val="none" w:sz="0" w:space="0" w:color="auto"/>
      </w:divBdr>
    </w:div>
    <w:div w:id="1679498545">
      <w:bodyDiv w:val="1"/>
      <w:marLeft w:val="0"/>
      <w:marRight w:val="0"/>
      <w:marTop w:val="0"/>
      <w:marBottom w:val="0"/>
      <w:divBdr>
        <w:top w:val="none" w:sz="0" w:space="0" w:color="auto"/>
        <w:left w:val="none" w:sz="0" w:space="0" w:color="auto"/>
        <w:bottom w:val="none" w:sz="0" w:space="0" w:color="auto"/>
        <w:right w:val="none" w:sz="0" w:space="0" w:color="auto"/>
      </w:divBdr>
    </w:div>
    <w:div w:id="1679624615">
      <w:bodyDiv w:val="1"/>
      <w:marLeft w:val="0"/>
      <w:marRight w:val="0"/>
      <w:marTop w:val="0"/>
      <w:marBottom w:val="0"/>
      <w:divBdr>
        <w:top w:val="none" w:sz="0" w:space="0" w:color="auto"/>
        <w:left w:val="none" w:sz="0" w:space="0" w:color="auto"/>
        <w:bottom w:val="none" w:sz="0" w:space="0" w:color="auto"/>
        <w:right w:val="none" w:sz="0" w:space="0" w:color="auto"/>
      </w:divBdr>
    </w:div>
    <w:div w:id="1684934687">
      <w:bodyDiv w:val="1"/>
      <w:marLeft w:val="0"/>
      <w:marRight w:val="0"/>
      <w:marTop w:val="0"/>
      <w:marBottom w:val="0"/>
      <w:divBdr>
        <w:top w:val="none" w:sz="0" w:space="0" w:color="auto"/>
        <w:left w:val="none" w:sz="0" w:space="0" w:color="auto"/>
        <w:bottom w:val="none" w:sz="0" w:space="0" w:color="auto"/>
        <w:right w:val="none" w:sz="0" w:space="0" w:color="auto"/>
      </w:divBdr>
    </w:div>
    <w:div w:id="1686128656">
      <w:bodyDiv w:val="1"/>
      <w:marLeft w:val="0"/>
      <w:marRight w:val="0"/>
      <w:marTop w:val="0"/>
      <w:marBottom w:val="0"/>
      <w:divBdr>
        <w:top w:val="none" w:sz="0" w:space="0" w:color="auto"/>
        <w:left w:val="none" w:sz="0" w:space="0" w:color="auto"/>
        <w:bottom w:val="none" w:sz="0" w:space="0" w:color="auto"/>
        <w:right w:val="none" w:sz="0" w:space="0" w:color="auto"/>
      </w:divBdr>
    </w:div>
    <w:div w:id="1690062219">
      <w:bodyDiv w:val="1"/>
      <w:marLeft w:val="0"/>
      <w:marRight w:val="0"/>
      <w:marTop w:val="0"/>
      <w:marBottom w:val="0"/>
      <w:divBdr>
        <w:top w:val="none" w:sz="0" w:space="0" w:color="auto"/>
        <w:left w:val="none" w:sz="0" w:space="0" w:color="auto"/>
        <w:bottom w:val="none" w:sz="0" w:space="0" w:color="auto"/>
        <w:right w:val="none" w:sz="0" w:space="0" w:color="auto"/>
      </w:divBdr>
    </w:div>
    <w:div w:id="1692098722">
      <w:bodyDiv w:val="1"/>
      <w:marLeft w:val="0"/>
      <w:marRight w:val="0"/>
      <w:marTop w:val="0"/>
      <w:marBottom w:val="0"/>
      <w:divBdr>
        <w:top w:val="none" w:sz="0" w:space="0" w:color="auto"/>
        <w:left w:val="none" w:sz="0" w:space="0" w:color="auto"/>
        <w:bottom w:val="none" w:sz="0" w:space="0" w:color="auto"/>
        <w:right w:val="none" w:sz="0" w:space="0" w:color="auto"/>
      </w:divBdr>
    </w:div>
    <w:div w:id="1711150396">
      <w:bodyDiv w:val="1"/>
      <w:marLeft w:val="0"/>
      <w:marRight w:val="0"/>
      <w:marTop w:val="0"/>
      <w:marBottom w:val="0"/>
      <w:divBdr>
        <w:top w:val="none" w:sz="0" w:space="0" w:color="auto"/>
        <w:left w:val="none" w:sz="0" w:space="0" w:color="auto"/>
        <w:bottom w:val="none" w:sz="0" w:space="0" w:color="auto"/>
        <w:right w:val="none" w:sz="0" w:space="0" w:color="auto"/>
      </w:divBdr>
    </w:div>
    <w:div w:id="1711224618">
      <w:bodyDiv w:val="1"/>
      <w:marLeft w:val="0"/>
      <w:marRight w:val="0"/>
      <w:marTop w:val="0"/>
      <w:marBottom w:val="0"/>
      <w:divBdr>
        <w:top w:val="none" w:sz="0" w:space="0" w:color="auto"/>
        <w:left w:val="none" w:sz="0" w:space="0" w:color="auto"/>
        <w:bottom w:val="none" w:sz="0" w:space="0" w:color="auto"/>
        <w:right w:val="none" w:sz="0" w:space="0" w:color="auto"/>
      </w:divBdr>
    </w:div>
    <w:div w:id="1711609931">
      <w:bodyDiv w:val="1"/>
      <w:marLeft w:val="0"/>
      <w:marRight w:val="0"/>
      <w:marTop w:val="0"/>
      <w:marBottom w:val="0"/>
      <w:divBdr>
        <w:top w:val="none" w:sz="0" w:space="0" w:color="auto"/>
        <w:left w:val="none" w:sz="0" w:space="0" w:color="auto"/>
        <w:bottom w:val="none" w:sz="0" w:space="0" w:color="auto"/>
        <w:right w:val="none" w:sz="0" w:space="0" w:color="auto"/>
      </w:divBdr>
    </w:div>
    <w:div w:id="1719553180">
      <w:bodyDiv w:val="1"/>
      <w:marLeft w:val="0"/>
      <w:marRight w:val="0"/>
      <w:marTop w:val="0"/>
      <w:marBottom w:val="0"/>
      <w:divBdr>
        <w:top w:val="none" w:sz="0" w:space="0" w:color="auto"/>
        <w:left w:val="none" w:sz="0" w:space="0" w:color="auto"/>
        <w:bottom w:val="none" w:sz="0" w:space="0" w:color="auto"/>
        <w:right w:val="none" w:sz="0" w:space="0" w:color="auto"/>
      </w:divBdr>
    </w:div>
    <w:div w:id="1719623042">
      <w:bodyDiv w:val="1"/>
      <w:marLeft w:val="0"/>
      <w:marRight w:val="0"/>
      <w:marTop w:val="0"/>
      <w:marBottom w:val="0"/>
      <w:divBdr>
        <w:top w:val="none" w:sz="0" w:space="0" w:color="auto"/>
        <w:left w:val="none" w:sz="0" w:space="0" w:color="auto"/>
        <w:bottom w:val="none" w:sz="0" w:space="0" w:color="auto"/>
        <w:right w:val="none" w:sz="0" w:space="0" w:color="auto"/>
      </w:divBdr>
    </w:div>
    <w:div w:id="1720587833">
      <w:bodyDiv w:val="1"/>
      <w:marLeft w:val="0"/>
      <w:marRight w:val="0"/>
      <w:marTop w:val="0"/>
      <w:marBottom w:val="0"/>
      <w:divBdr>
        <w:top w:val="none" w:sz="0" w:space="0" w:color="auto"/>
        <w:left w:val="none" w:sz="0" w:space="0" w:color="auto"/>
        <w:bottom w:val="none" w:sz="0" w:space="0" w:color="auto"/>
        <w:right w:val="none" w:sz="0" w:space="0" w:color="auto"/>
      </w:divBdr>
    </w:div>
    <w:div w:id="1724790091">
      <w:bodyDiv w:val="1"/>
      <w:marLeft w:val="0"/>
      <w:marRight w:val="0"/>
      <w:marTop w:val="0"/>
      <w:marBottom w:val="0"/>
      <w:divBdr>
        <w:top w:val="none" w:sz="0" w:space="0" w:color="auto"/>
        <w:left w:val="none" w:sz="0" w:space="0" w:color="auto"/>
        <w:bottom w:val="none" w:sz="0" w:space="0" w:color="auto"/>
        <w:right w:val="none" w:sz="0" w:space="0" w:color="auto"/>
      </w:divBdr>
    </w:div>
    <w:div w:id="1729063349">
      <w:bodyDiv w:val="1"/>
      <w:marLeft w:val="0"/>
      <w:marRight w:val="0"/>
      <w:marTop w:val="0"/>
      <w:marBottom w:val="0"/>
      <w:divBdr>
        <w:top w:val="none" w:sz="0" w:space="0" w:color="auto"/>
        <w:left w:val="none" w:sz="0" w:space="0" w:color="auto"/>
        <w:bottom w:val="none" w:sz="0" w:space="0" w:color="auto"/>
        <w:right w:val="none" w:sz="0" w:space="0" w:color="auto"/>
      </w:divBdr>
    </w:div>
    <w:div w:id="1730960924">
      <w:bodyDiv w:val="1"/>
      <w:marLeft w:val="0"/>
      <w:marRight w:val="0"/>
      <w:marTop w:val="0"/>
      <w:marBottom w:val="0"/>
      <w:divBdr>
        <w:top w:val="none" w:sz="0" w:space="0" w:color="auto"/>
        <w:left w:val="none" w:sz="0" w:space="0" w:color="auto"/>
        <w:bottom w:val="none" w:sz="0" w:space="0" w:color="auto"/>
        <w:right w:val="none" w:sz="0" w:space="0" w:color="auto"/>
      </w:divBdr>
    </w:div>
    <w:div w:id="1744524586">
      <w:bodyDiv w:val="1"/>
      <w:marLeft w:val="0"/>
      <w:marRight w:val="0"/>
      <w:marTop w:val="0"/>
      <w:marBottom w:val="0"/>
      <w:divBdr>
        <w:top w:val="none" w:sz="0" w:space="0" w:color="auto"/>
        <w:left w:val="none" w:sz="0" w:space="0" w:color="auto"/>
        <w:bottom w:val="none" w:sz="0" w:space="0" w:color="auto"/>
        <w:right w:val="none" w:sz="0" w:space="0" w:color="auto"/>
      </w:divBdr>
    </w:div>
    <w:div w:id="1746102008">
      <w:bodyDiv w:val="1"/>
      <w:marLeft w:val="0"/>
      <w:marRight w:val="0"/>
      <w:marTop w:val="0"/>
      <w:marBottom w:val="0"/>
      <w:divBdr>
        <w:top w:val="none" w:sz="0" w:space="0" w:color="auto"/>
        <w:left w:val="none" w:sz="0" w:space="0" w:color="auto"/>
        <w:bottom w:val="none" w:sz="0" w:space="0" w:color="auto"/>
        <w:right w:val="none" w:sz="0" w:space="0" w:color="auto"/>
      </w:divBdr>
    </w:div>
    <w:div w:id="1754861742">
      <w:bodyDiv w:val="1"/>
      <w:marLeft w:val="0"/>
      <w:marRight w:val="0"/>
      <w:marTop w:val="0"/>
      <w:marBottom w:val="0"/>
      <w:divBdr>
        <w:top w:val="none" w:sz="0" w:space="0" w:color="auto"/>
        <w:left w:val="none" w:sz="0" w:space="0" w:color="auto"/>
        <w:bottom w:val="none" w:sz="0" w:space="0" w:color="auto"/>
        <w:right w:val="none" w:sz="0" w:space="0" w:color="auto"/>
      </w:divBdr>
    </w:div>
    <w:div w:id="1759786872">
      <w:bodyDiv w:val="1"/>
      <w:marLeft w:val="0"/>
      <w:marRight w:val="0"/>
      <w:marTop w:val="0"/>
      <w:marBottom w:val="0"/>
      <w:divBdr>
        <w:top w:val="none" w:sz="0" w:space="0" w:color="auto"/>
        <w:left w:val="none" w:sz="0" w:space="0" w:color="auto"/>
        <w:bottom w:val="none" w:sz="0" w:space="0" w:color="auto"/>
        <w:right w:val="none" w:sz="0" w:space="0" w:color="auto"/>
      </w:divBdr>
    </w:div>
    <w:div w:id="1764761700">
      <w:bodyDiv w:val="1"/>
      <w:marLeft w:val="0"/>
      <w:marRight w:val="0"/>
      <w:marTop w:val="0"/>
      <w:marBottom w:val="0"/>
      <w:divBdr>
        <w:top w:val="none" w:sz="0" w:space="0" w:color="auto"/>
        <w:left w:val="none" w:sz="0" w:space="0" w:color="auto"/>
        <w:bottom w:val="none" w:sz="0" w:space="0" w:color="auto"/>
        <w:right w:val="none" w:sz="0" w:space="0" w:color="auto"/>
      </w:divBdr>
    </w:div>
    <w:div w:id="1767573934">
      <w:bodyDiv w:val="1"/>
      <w:marLeft w:val="0"/>
      <w:marRight w:val="0"/>
      <w:marTop w:val="0"/>
      <w:marBottom w:val="0"/>
      <w:divBdr>
        <w:top w:val="none" w:sz="0" w:space="0" w:color="auto"/>
        <w:left w:val="none" w:sz="0" w:space="0" w:color="auto"/>
        <w:bottom w:val="none" w:sz="0" w:space="0" w:color="auto"/>
        <w:right w:val="none" w:sz="0" w:space="0" w:color="auto"/>
      </w:divBdr>
    </w:div>
    <w:div w:id="1768497011">
      <w:bodyDiv w:val="1"/>
      <w:marLeft w:val="0"/>
      <w:marRight w:val="0"/>
      <w:marTop w:val="0"/>
      <w:marBottom w:val="0"/>
      <w:divBdr>
        <w:top w:val="none" w:sz="0" w:space="0" w:color="auto"/>
        <w:left w:val="none" w:sz="0" w:space="0" w:color="auto"/>
        <w:bottom w:val="none" w:sz="0" w:space="0" w:color="auto"/>
        <w:right w:val="none" w:sz="0" w:space="0" w:color="auto"/>
      </w:divBdr>
    </w:div>
    <w:div w:id="1770394249">
      <w:bodyDiv w:val="1"/>
      <w:marLeft w:val="0"/>
      <w:marRight w:val="0"/>
      <w:marTop w:val="0"/>
      <w:marBottom w:val="0"/>
      <w:divBdr>
        <w:top w:val="none" w:sz="0" w:space="0" w:color="auto"/>
        <w:left w:val="none" w:sz="0" w:space="0" w:color="auto"/>
        <w:bottom w:val="none" w:sz="0" w:space="0" w:color="auto"/>
        <w:right w:val="none" w:sz="0" w:space="0" w:color="auto"/>
      </w:divBdr>
    </w:div>
    <w:div w:id="1771857566">
      <w:bodyDiv w:val="1"/>
      <w:marLeft w:val="0"/>
      <w:marRight w:val="0"/>
      <w:marTop w:val="0"/>
      <w:marBottom w:val="0"/>
      <w:divBdr>
        <w:top w:val="none" w:sz="0" w:space="0" w:color="auto"/>
        <w:left w:val="none" w:sz="0" w:space="0" w:color="auto"/>
        <w:bottom w:val="none" w:sz="0" w:space="0" w:color="auto"/>
        <w:right w:val="none" w:sz="0" w:space="0" w:color="auto"/>
      </w:divBdr>
    </w:div>
    <w:div w:id="1774857469">
      <w:bodyDiv w:val="1"/>
      <w:marLeft w:val="0"/>
      <w:marRight w:val="0"/>
      <w:marTop w:val="0"/>
      <w:marBottom w:val="0"/>
      <w:divBdr>
        <w:top w:val="none" w:sz="0" w:space="0" w:color="auto"/>
        <w:left w:val="none" w:sz="0" w:space="0" w:color="auto"/>
        <w:bottom w:val="none" w:sz="0" w:space="0" w:color="auto"/>
        <w:right w:val="none" w:sz="0" w:space="0" w:color="auto"/>
      </w:divBdr>
    </w:div>
    <w:div w:id="1776359583">
      <w:bodyDiv w:val="1"/>
      <w:marLeft w:val="0"/>
      <w:marRight w:val="0"/>
      <w:marTop w:val="0"/>
      <w:marBottom w:val="0"/>
      <w:divBdr>
        <w:top w:val="none" w:sz="0" w:space="0" w:color="auto"/>
        <w:left w:val="none" w:sz="0" w:space="0" w:color="auto"/>
        <w:bottom w:val="none" w:sz="0" w:space="0" w:color="auto"/>
        <w:right w:val="none" w:sz="0" w:space="0" w:color="auto"/>
      </w:divBdr>
    </w:div>
    <w:div w:id="1790275727">
      <w:bodyDiv w:val="1"/>
      <w:marLeft w:val="0"/>
      <w:marRight w:val="0"/>
      <w:marTop w:val="0"/>
      <w:marBottom w:val="0"/>
      <w:divBdr>
        <w:top w:val="none" w:sz="0" w:space="0" w:color="auto"/>
        <w:left w:val="none" w:sz="0" w:space="0" w:color="auto"/>
        <w:bottom w:val="none" w:sz="0" w:space="0" w:color="auto"/>
        <w:right w:val="none" w:sz="0" w:space="0" w:color="auto"/>
      </w:divBdr>
    </w:div>
    <w:div w:id="1794668471">
      <w:bodyDiv w:val="1"/>
      <w:marLeft w:val="0"/>
      <w:marRight w:val="0"/>
      <w:marTop w:val="0"/>
      <w:marBottom w:val="0"/>
      <w:divBdr>
        <w:top w:val="none" w:sz="0" w:space="0" w:color="auto"/>
        <w:left w:val="none" w:sz="0" w:space="0" w:color="auto"/>
        <w:bottom w:val="none" w:sz="0" w:space="0" w:color="auto"/>
        <w:right w:val="none" w:sz="0" w:space="0" w:color="auto"/>
      </w:divBdr>
    </w:div>
    <w:div w:id="1795371880">
      <w:bodyDiv w:val="1"/>
      <w:marLeft w:val="0"/>
      <w:marRight w:val="0"/>
      <w:marTop w:val="0"/>
      <w:marBottom w:val="0"/>
      <w:divBdr>
        <w:top w:val="none" w:sz="0" w:space="0" w:color="auto"/>
        <w:left w:val="none" w:sz="0" w:space="0" w:color="auto"/>
        <w:bottom w:val="none" w:sz="0" w:space="0" w:color="auto"/>
        <w:right w:val="none" w:sz="0" w:space="0" w:color="auto"/>
      </w:divBdr>
    </w:div>
    <w:div w:id="1795714219">
      <w:bodyDiv w:val="1"/>
      <w:marLeft w:val="0"/>
      <w:marRight w:val="0"/>
      <w:marTop w:val="0"/>
      <w:marBottom w:val="0"/>
      <w:divBdr>
        <w:top w:val="none" w:sz="0" w:space="0" w:color="auto"/>
        <w:left w:val="none" w:sz="0" w:space="0" w:color="auto"/>
        <w:bottom w:val="none" w:sz="0" w:space="0" w:color="auto"/>
        <w:right w:val="none" w:sz="0" w:space="0" w:color="auto"/>
      </w:divBdr>
    </w:div>
    <w:div w:id="1797067462">
      <w:bodyDiv w:val="1"/>
      <w:marLeft w:val="0"/>
      <w:marRight w:val="0"/>
      <w:marTop w:val="0"/>
      <w:marBottom w:val="0"/>
      <w:divBdr>
        <w:top w:val="none" w:sz="0" w:space="0" w:color="auto"/>
        <w:left w:val="none" w:sz="0" w:space="0" w:color="auto"/>
        <w:bottom w:val="none" w:sz="0" w:space="0" w:color="auto"/>
        <w:right w:val="none" w:sz="0" w:space="0" w:color="auto"/>
      </w:divBdr>
    </w:div>
    <w:div w:id="179864638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696538">
      <w:bodyDiv w:val="1"/>
      <w:marLeft w:val="0"/>
      <w:marRight w:val="0"/>
      <w:marTop w:val="0"/>
      <w:marBottom w:val="0"/>
      <w:divBdr>
        <w:top w:val="none" w:sz="0" w:space="0" w:color="auto"/>
        <w:left w:val="none" w:sz="0" w:space="0" w:color="auto"/>
        <w:bottom w:val="none" w:sz="0" w:space="0" w:color="auto"/>
        <w:right w:val="none" w:sz="0" w:space="0" w:color="auto"/>
      </w:divBdr>
    </w:div>
    <w:div w:id="1808430241">
      <w:bodyDiv w:val="1"/>
      <w:marLeft w:val="0"/>
      <w:marRight w:val="0"/>
      <w:marTop w:val="0"/>
      <w:marBottom w:val="0"/>
      <w:divBdr>
        <w:top w:val="none" w:sz="0" w:space="0" w:color="auto"/>
        <w:left w:val="none" w:sz="0" w:space="0" w:color="auto"/>
        <w:bottom w:val="none" w:sz="0" w:space="0" w:color="auto"/>
        <w:right w:val="none" w:sz="0" w:space="0" w:color="auto"/>
      </w:divBdr>
    </w:div>
    <w:div w:id="1811363179">
      <w:bodyDiv w:val="1"/>
      <w:marLeft w:val="0"/>
      <w:marRight w:val="0"/>
      <w:marTop w:val="0"/>
      <w:marBottom w:val="0"/>
      <w:divBdr>
        <w:top w:val="none" w:sz="0" w:space="0" w:color="auto"/>
        <w:left w:val="none" w:sz="0" w:space="0" w:color="auto"/>
        <w:bottom w:val="none" w:sz="0" w:space="0" w:color="auto"/>
        <w:right w:val="none" w:sz="0" w:space="0" w:color="auto"/>
      </w:divBdr>
    </w:div>
    <w:div w:id="1813591871">
      <w:bodyDiv w:val="1"/>
      <w:marLeft w:val="0"/>
      <w:marRight w:val="0"/>
      <w:marTop w:val="0"/>
      <w:marBottom w:val="0"/>
      <w:divBdr>
        <w:top w:val="none" w:sz="0" w:space="0" w:color="auto"/>
        <w:left w:val="none" w:sz="0" w:space="0" w:color="auto"/>
        <w:bottom w:val="none" w:sz="0" w:space="0" w:color="auto"/>
        <w:right w:val="none" w:sz="0" w:space="0" w:color="auto"/>
      </w:divBdr>
    </w:div>
    <w:div w:id="1814830390">
      <w:bodyDiv w:val="1"/>
      <w:marLeft w:val="0"/>
      <w:marRight w:val="0"/>
      <w:marTop w:val="0"/>
      <w:marBottom w:val="0"/>
      <w:divBdr>
        <w:top w:val="none" w:sz="0" w:space="0" w:color="auto"/>
        <w:left w:val="none" w:sz="0" w:space="0" w:color="auto"/>
        <w:bottom w:val="none" w:sz="0" w:space="0" w:color="auto"/>
        <w:right w:val="none" w:sz="0" w:space="0" w:color="auto"/>
      </w:divBdr>
    </w:div>
    <w:div w:id="181583136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86744">
      <w:bodyDiv w:val="1"/>
      <w:marLeft w:val="0"/>
      <w:marRight w:val="0"/>
      <w:marTop w:val="0"/>
      <w:marBottom w:val="0"/>
      <w:divBdr>
        <w:top w:val="none" w:sz="0" w:space="0" w:color="auto"/>
        <w:left w:val="none" w:sz="0" w:space="0" w:color="auto"/>
        <w:bottom w:val="none" w:sz="0" w:space="0" w:color="auto"/>
        <w:right w:val="none" w:sz="0" w:space="0" w:color="auto"/>
      </w:divBdr>
    </w:div>
    <w:div w:id="1824157867">
      <w:bodyDiv w:val="1"/>
      <w:marLeft w:val="0"/>
      <w:marRight w:val="0"/>
      <w:marTop w:val="0"/>
      <w:marBottom w:val="0"/>
      <w:divBdr>
        <w:top w:val="none" w:sz="0" w:space="0" w:color="auto"/>
        <w:left w:val="none" w:sz="0" w:space="0" w:color="auto"/>
        <w:bottom w:val="none" w:sz="0" w:space="0" w:color="auto"/>
        <w:right w:val="none" w:sz="0" w:space="0" w:color="auto"/>
      </w:divBdr>
    </w:div>
    <w:div w:id="1824464762">
      <w:bodyDiv w:val="1"/>
      <w:marLeft w:val="0"/>
      <w:marRight w:val="0"/>
      <w:marTop w:val="0"/>
      <w:marBottom w:val="0"/>
      <w:divBdr>
        <w:top w:val="none" w:sz="0" w:space="0" w:color="auto"/>
        <w:left w:val="none" w:sz="0" w:space="0" w:color="auto"/>
        <w:bottom w:val="none" w:sz="0" w:space="0" w:color="auto"/>
        <w:right w:val="none" w:sz="0" w:space="0" w:color="auto"/>
      </w:divBdr>
    </w:div>
    <w:div w:id="1825580074">
      <w:bodyDiv w:val="1"/>
      <w:marLeft w:val="0"/>
      <w:marRight w:val="0"/>
      <w:marTop w:val="0"/>
      <w:marBottom w:val="0"/>
      <w:divBdr>
        <w:top w:val="none" w:sz="0" w:space="0" w:color="auto"/>
        <w:left w:val="none" w:sz="0" w:space="0" w:color="auto"/>
        <w:bottom w:val="none" w:sz="0" w:space="0" w:color="auto"/>
        <w:right w:val="none" w:sz="0" w:space="0" w:color="auto"/>
      </w:divBdr>
    </w:div>
    <w:div w:id="1825780410">
      <w:bodyDiv w:val="1"/>
      <w:marLeft w:val="0"/>
      <w:marRight w:val="0"/>
      <w:marTop w:val="0"/>
      <w:marBottom w:val="0"/>
      <w:divBdr>
        <w:top w:val="none" w:sz="0" w:space="0" w:color="auto"/>
        <w:left w:val="none" w:sz="0" w:space="0" w:color="auto"/>
        <w:bottom w:val="none" w:sz="0" w:space="0" w:color="auto"/>
        <w:right w:val="none" w:sz="0" w:space="0" w:color="auto"/>
      </w:divBdr>
    </w:div>
    <w:div w:id="1829860069">
      <w:bodyDiv w:val="1"/>
      <w:marLeft w:val="0"/>
      <w:marRight w:val="0"/>
      <w:marTop w:val="0"/>
      <w:marBottom w:val="0"/>
      <w:divBdr>
        <w:top w:val="none" w:sz="0" w:space="0" w:color="auto"/>
        <w:left w:val="none" w:sz="0" w:space="0" w:color="auto"/>
        <w:bottom w:val="none" w:sz="0" w:space="0" w:color="auto"/>
        <w:right w:val="none" w:sz="0" w:space="0" w:color="auto"/>
      </w:divBdr>
    </w:div>
    <w:div w:id="1837332975">
      <w:bodyDiv w:val="1"/>
      <w:marLeft w:val="0"/>
      <w:marRight w:val="0"/>
      <w:marTop w:val="0"/>
      <w:marBottom w:val="0"/>
      <w:divBdr>
        <w:top w:val="none" w:sz="0" w:space="0" w:color="auto"/>
        <w:left w:val="none" w:sz="0" w:space="0" w:color="auto"/>
        <w:bottom w:val="none" w:sz="0" w:space="0" w:color="auto"/>
        <w:right w:val="none" w:sz="0" w:space="0" w:color="auto"/>
      </w:divBdr>
    </w:div>
    <w:div w:id="1840074464">
      <w:bodyDiv w:val="1"/>
      <w:marLeft w:val="0"/>
      <w:marRight w:val="0"/>
      <w:marTop w:val="0"/>
      <w:marBottom w:val="0"/>
      <w:divBdr>
        <w:top w:val="none" w:sz="0" w:space="0" w:color="auto"/>
        <w:left w:val="none" w:sz="0" w:space="0" w:color="auto"/>
        <w:bottom w:val="none" w:sz="0" w:space="0" w:color="auto"/>
        <w:right w:val="none" w:sz="0" w:space="0" w:color="auto"/>
      </w:divBdr>
    </w:div>
    <w:div w:id="1840344342">
      <w:bodyDiv w:val="1"/>
      <w:marLeft w:val="0"/>
      <w:marRight w:val="0"/>
      <w:marTop w:val="0"/>
      <w:marBottom w:val="0"/>
      <w:divBdr>
        <w:top w:val="none" w:sz="0" w:space="0" w:color="auto"/>
        <w:left w:val="none" w:sz="0" w:space="0" w:color="auto"/>
        <w:bottom w:val="none" w:sz="0" w:space="0" w:color="auto"/>
        <w:right w:val="none" w:sz="0" w:space="0" w:color="auto"/>
      </w:divBdr>
    </w:div>
    <w:div w:id="1842239291">
      <w:bodyDiv w:val="1"/>
      <w:marLeft w:val="0"/>
      <w:marRight w:val="0"/>
      <w:marTop w:val="0"/>
      <w:marBottom w:val="0"/>
      <w:divBdr>
        <w:top w:val="none" w:sz="0" w:space="0" w:color="auto"/>
        <w:left w:val="none" w:sz="0" w:space="0" w:color="auto"/>
        <w:bottom w:val="none" w:sz="0" w:space="0" w:color="auto"/>
        <w:right w:val="none" w:sz="0" w:space="0" w:color="auto"/>
      </w:divBdr>
    </w:div>
    <w:div w:id="1845245186">
      <w:bodyDiv w:val="1"/>
      <w:marLeft w:val="0"/>
      <w:marRight w:val="0"/>
      <w:marTop w:val="0"/>
      <w:marBottom w:val="0"/>
      <w:divBdr>
        <w:top w:val="none" w:sz="0" w:space="0" w:color="auto"/>
        <w:left w:val="none" w:sz="0" w:space="0" w:color="auto"/>
        <w:bottom w:val="none" w:sz="0" w:space="0" w:color="auto"/>
        <w:right w:val="none" w:sz="0" w:space="0" w:color="auto"/>
      </w:divBdr>
    </w:div>
    <w:div w:id="1851484368">
      <w:bodyDiv w:val="1"/>
      <w:marLeft w:val="0"/>
      <w:marRight w:val="0"/>
      <w:marTop w:val="0"/>
      <w:marBottom w:val="0"/>
      <w:divBdr>
        <w:top w:val="none" w:sz="0" w:space="0" w:color="auto"/>
        <w:left w:val="none" w:sz="0" w:space="0" w:color="auto"/>
        <w:bottom w:val="none" w:sz="0" w:space="0" w:color="auto"/>
        <w:right w:val="none" w:sz="0" w:space="0" w:color="auto"/>
      </w:divBdr>
    </w:div>
    <w:div w:id="1855337317">
      <w:bodyDiv w:val="1"/>
      <w:marLeft w:val="0"/>
      <w:marRight w:val="0"/>
      <w:marTop w:val="0"/>
      <w:marBottom w:val="0"/>
      <w:divBdr>
        <w:top w:val="none" w:sz="0" w:space="0" w:color="auto"/>
        <w:left w:val="none" w:sz="0" w:space="0" w:color="auto"/>
        <w:bottom w:val="none" w:sz="0" w:space="0" w:color="auto"/>
        <w:right w:val="none" w:sz="0" w:space="0" w:color="auto"/>
      </w:divBdr>
    </w:div>
    <w:div w:id="1856117924">
      <w:bodyDiv w:val="1"/>
      <w:marLeft w:val="0"/>
      <w:marRight w:val="0"/>
      <w:marTop w:val="0"/>
      <w:marBottom w:val="0"/>
      <w:divBdr>
        <w:top w:val="none" w:sz="0" w:space="0" w:color="auto"/>
        <w:left w:val="none" w:sz="0" w:space="0" w:color="auto"/>
        <w:bottom w:val="none" w:sz="0" w:space="0" w:color="auto"/>
        <w:right w:val="none" w:sz="0" w:space="0" w:color="auto"/>
      </w:divBdr>
    </w:div>
    <w:div w:id="1857888493">
      <w:bodyDiv w:val="1"/>
      <w:marLeft w:val="0"/>
      <w:marRight w:val="0"/>
      <w:marTop w:val="0"/>
      <w:marBottom w:val="0"/>
      <w:divBdr>
        <w:top w:val="none" w:sz="0" w:space="0" w:color="auto"/>
        <w:left w:val="none" w:sz="0" w:space="0" w:color="auto"/>
        <w:bottom w:val="none" w:sz="0" w:space="0" w:color="auto"/>
        <w:right w:val="none" w:sz="0" w:space="0" w:color="auto"/>
      </w:divBdr>
    </w:div>
    <w:div w:id="1863587307">
      <w:bodyDiv w:val="1"/>
      <w:marLeft w:val="0"/>
      <w:marRight w:val="0"/>
      <w:marTop w:val="0"/>
      <w:marBottom w:val="0"/>
      <w:divBdr>
        <w:top w:val="none" w:sz="0" w:space="0" w:color="auto"/>
        <w:left w:val="none" w:sz="0" w:space="0" w:color="auto"/>
        <w:bottom w:val="none" w:sz="0" w:space="0" w:color="auto"/>
        <w:right w:val="none" w:sz="0" w:space="0" w:color="auto"/>
      </w:divBdr>
    </w:div>
    <w:div w:id="1867013679">
      <w:bodyDiv w:val="1"/>
      <w:marLeft w:val="0"/>
      <w:marRight w:val="0"/>
      <w:marTop w:val="0"/>
      <w:marBottom w:val="0"/>
      <w:divBdr>
        <w:top w:val="none" w:sz="0" w:space="0" w:color="auto"/>
        <w:left w:val="none" w:sz="0" w:space="0" w:color="auto"/>
        <w:bottom w:val="none" w:sz="0" w:space="0" w:color="auto"/>
        <w:right w:val="none" w:sz="0" w:space="0" w:color="auto"/>
      </w:divBdr>
    </w:div>
    <w:div w:id="1869373378">
      <w:bodyDiv w:val="1"/>
      <w:marLeft w:val="0"/>
      <w:marRight w:val="0"/>
      <w:marTop w:val="0"/>
      <w:marBottom w:val="0"/>
      <w:divBdr>
        <w:top w:val="none" w:sz="0" w:space="0" w:color="auto"/>
        <w:left w:val="none" w:sz="0" w:space="0" w:color="auto"/>
        <w:bottom w:val="none" w:sz="0" w:space="0" w:color="auto"/>
        <w:right w:val="none" w:sz="0" w:space="0" w:color="auto"/>
      </w:divBdr>
    </w:div>
    <w:div w:id="1869442817">
      <w:bodyDiv w:val="1"/>
      <w:marLeft w:val="0"/>
      <w:marRight w:val="0"/>
      <w:marTop w:val="0"/>
      <w:marBottom w:val="0"/>
      <w:divBdr>
        <w:top w:val="none" w:sz="0" w:space="0" w:color="auto"/>
        <w:left w:val="none" w:sz="0" w:space="0" w:color="auto"/>
        <w:bottom w:val="none" w:sz="0" w:space="0" w:color="auto"/>
        <w:right w:val="none" w:sz="0" w:space="0" w:color="auto"/>
      </w:divBdr>
    </w:div>
    <w:div w:id="1871408283">
      <w:bodyDiv w:val="1"/>
      <w:marLeft w:val="0"/>
      <w:marRight w:val="0"/>
      <w:marTop w:val="0"/>
      <w:marBottom w:val="0"/>
      <w:divBdr>
        <w:top w:val="none" w:sz="0" w:space="0" w:color="auto"/>
        <w:left w:val="none" w:sz="0" w:space="0" w:color="auto"/>
        <w:bottom w:val="none" w:sz="0" w:space="0" w:color="auto"/>
        <w:right w:val="none" w:sz="0" w:space="0" w:color="auto"/>
      </w:divBdr>
    </w:div>
    <w:div w:id="1874539867">
      <w:bodyDiv w:val="1"/>
      <w:marLeft w:val="0"/>
      <w:marRight w:val="0"/>
      <w:marTop w:val="0"/>
      <w:marBottom w:val="0"/>
      <w:divBdr>
        <w:top w:val="none" w:sz="0" w:space="0" w:color="auto"/>
        <w:left w:val="none" w:sz="0" w:space="0" w:color="auto"/>
        <w:bottom w:val="none" w:sz="0" w:space="0" w:color="auto"/>
        <w:right w:val="none" w:sz="0" w:space="0" w:color="auto"/>
      </w:divBdr>
    </w:div>
    <w:div w:id="1881504295">
      <w:bodyDiv w:val="1"/>
      <w:marLeft w:val="0"/>
      <w:marRight w:val="0"/>
      <w:marTop w:val="0"/>
      <w:marBottom w:val="0"/>
      <w:divBdr>
        <w:top w:val="none" w:sz="0" w:space="0" w:color="auto"/>
        <w:left w:val="none" w:sz="0" w:space="0" w:color="auto"/>
        <w:bottom w:val="none" w:sz="0" w:space="0" w:color="auto"/>
        <w:right w:val="none" w:sz="0" w:space="0" w:color="auto"/>
      </w:divBdr>
    </w:div>
    <w:div w:id="1883126601">
      <w:bodyDiv w:val="1"/>
      <w:marLeft w:val="0"/>
      <w:marRight w:val="0"/>
      <w:marTop w:val="0"/>
      <w:marBottom w:val="0"/>
      <w:divBdr>
        <w:top w:val="none" w:sz="0" w:space="0" w:color="auto"/>
        <w:left w:val="none" w:sz="0" w:space="0" w:color="auto"/>
        <w:bottom w:val="none" w:sz="0" w:space="0" w:color="auto"/>
        <w:right w:val="none" w:sz="0" w:space="0" w:color="auto"/>
      </w:divBdr>
    </w:div>
    <w:div w:id="1883858580">
      <w:bodyDiv w:val="1"/>
      <w:marLeft w:val="0"/>
      <w:marRight w:val="0"/>
      <w:marTop w:val="0"/>
      <w:marBottom w:val="0"/>
      <w:divBdr>
        <w:top w:val="none" w:sz="0" w:space="0" w:color="auto"/>
        <w:left w:val="none" w:sz="0" w:space="0" w:color="auto"/>
        <w:bottom w:val="none" w:sz="0" w:space="0" w:color="auto"/>
        <w:right w:val="none" w:sz="0" w:space="0" w:color="auto"/>
      </w:divBdr>
    </w:div>
    <w:div w:id="1885756412">
      <w:bodyDiv w:val="1"/>
      <w:marLeft w:val="0"/>
      <w:marRight w:val="0"/>
      <w:marTop w:val="0"/>
      <w:marBottom w:val="0"/>
      <w:divBdr>
        <w:top w:val="none" w:sz="0" w:space="0" w:color="auto"/>
        <w:left w:val="none" w:sz="0" w:space="0" w:color="auto"/>
        <w:bottom w:val="none" w:sz="0" w:space="0" w:color="auto"/>
        <w:right w:val="none" w:sz="0" w:space="0" w:color="auto"/>
      </w:divBdr>
    </w:div>
    <w:div w:id="1888714427">
      <w:bodyDiv w:val="1"/>
      <w:marLeft w:val="0"/>
      <w:marRight w:val="0"/>
      <w:marTop w:val="0"/>
      <w:marBottom w:val="0"/>
      <w:divBdr>
        <w:top w:val="none" w:sz="0" w:space="0" w:color="auto"/>
        <w:left w:val="none" w:sz="0" w:space="0" w:color="auto"/>
        <w:bottom w:val="none" w:sz="0" w:space="0" w:color="auto"/>
        <w:right w:val="none" w:sz="0" w:space="0" w:color="auto"/>
      </w:divBdr>
    </w:div>
    <w:div w:id="1891334880">
      <w:bodyDiv w:val="1"/>
      <w:marLeft w:val="0"/>
      <w:marRight w:val="0"/>
      <w:marTop w:val="0"/>
      <w:marBottom w:val="0"/>
      <w:divBdr>
        <w:top w:val="none" w:sz="0" w:space="0" w:color="auto"/>
        <w:left w:val="none" w:sz="0" w:space="0" w:color="auto"/>
        <w:bottom w:val="none" w:sz="0" w:space="0" w:color="auto"/>
        <w:right w:val="none" w:sz="0" w:space="0" w:color="auto"/>
      </w:divBdr>
    </w:div>
    <w:div w:id="1893345829">
      <w:bodyDiv w:val="1"/>
      <w:marLeft w:val="0"/>
      <w:marRight w:val="0"/>
      <w:marTop w:val="0"/>
      <w:marBottom w:val="0"/>
      <w:divBdr>
        <w:top w:val="none" w:sz="0" w:space="0" w:color="auto"/>
        <w:left w:val="none" w:sz="0" w:space="0" w:color="auto"/>
        <w:bottom w:val="none" w:sz="0" w:space="0" w:color="auto"/>
        <w:right w:val="none" w:sz="0" w:space="0" w:color="auto"/>
      </w:divBdr>
    </w:div>
    <w:div w:id="1893954818">
      <w:bodyDiv w:val="1"/>
      <w:marLeft w:val="0"/>
      <w:marRight w:val="0"/>
      <w:marTop w:val="0"/>
      <w:marBottom w:val="0"/>
      <w:divBdr>
        <w:top w:val="none" w:sz="0" w:space="0" w:color="auto"/>
        <w:left w:val="none" w:sz="0" w:space="0" w:color="auto"/>
        <w:bottom w:val="none" w:sz="0" w:space="0" w:color="auto"/>
        <w:right w:val="none" w:sz="0" w:space="0" w:color="auto"/>
      </w:divBdr>
    </w:div>
    <w:div w:id="1895696023">
      <w:bodyDiv w:val="1"/>
      <w:marLeft w:val="0"/>
      <w:marRight w:val="0"/>
      <w:marTop w:val="0"/>
      <w:marBottom w:val="0"/>
      <w:divBdr>
        <w:top w:val="none" w:sz="0" w:space="0" w:color="auto"/>
        <w:left w:val="none" w:sz="0" w:space="0" w:color="auto"/>
        <w:bottom w:val="none" w:sz="0" w:space="0" w:color="auto"/>
        <w:right w:val="none" w:sz="0" w:space="0" w:color="auto"/>
      </w:divBdr>
    </w:div>
    <w:div w:id="1896626600">
      <w:bodyDiv w:val="1"/>
      <w:marLeft w:val="0"/>
      <w:marRight w:val="0"/>
      <w:marTop w:val="0"/>
      <w:marBottom w:val="0"/>
      <w:divBdr>
        <w:top w:val="none" w:sz="0" w:space="0" w:color="auto"/>
        <w:left w:val="none" w:sz="0" w:space="0" w:color="auto"/>
        <w:bottom w:val="none" w:sz="0" w:space="0" w:color="auto"/>
        <w:right w:val="none" w:sz="0" w:space="0" w:color="auto"/>
      </w:divBdr>
    </w:div>
    <w:div w:id="1898928725">
      <w:bodyDiv w:val="1"/>
      <w:marLeft w:val="0"/>
      <w:marRight w:val="0"/>
      <w:marTop w:val="0"/>
      <w:marBottom w:val="0"/>
      <w:divBdr>
        <w:top w:val="none" w:sz="0" w:space="0" w:color="auto"/>
        <w:left w:val="none" w:sz="0" w:space="0" w:color="auto"/>
        <w:bottom w:val="none" w:sz="0" w:space="0" w:color="auto"/>
        <w:right w:val="none" w:sz="0" w:space="0" w:color="auto"/>
      </w:divBdr>
    </w:div>
    <w:div w:id="1900051163">
      <w:bodyDiv w:val="1"/>
      <w:marLeft w:val="0"/>
      <w:marRight w:val="0"/>
      <w:marTop w:val="0"/>
      <w:marBottom w:val="0"/>
      <w:divBdr>
        <w:top w:val="none" w:sz="0" w:space="0" w:color="auto"/>
        <w:left w:val="none" w:sz="0" w:space="0" w:color="auto"/>
        <w:bottom w:val="none" w:sz="0" w:space="0" w:color="auto"/>
        <w:right w:val="none" w:sz="0" w:space="0" w:color="auto"/>
      </w:divBdr>
    </w:div>
    <w:div w:id="1902595950">
      <w:bodyDiv w:val="1"/>
      <w:marLeft w:val="0"/>
      <w:marRight w:val="0"/>
      <w:marTop w:val="0"/>
      <w:marBottom w:val="0"/>
      <w:divBdr>
        <w:top w:val="none" w:sz="0" w:space="0" w:color="auto"/>
        <w:left w:val="none" w:sz="0" w:space="0" w:color="auto"/>
        <w:bottom w:val="none" w:sz="0" w:space="0" w:color="auto"/>
        <w:right w:val="none" w:sz="0" w:space="0" w:color="auto"/>
      </w:divBdr>
    </w:div>
    <w:div w:id="1906380338">
      <w:bodyDiv w:val="1"/>
      <w:marLeft w:val="0"/>
      <w:marRight w:val="0"/>
      <w:marTop w:val="0"/>
      <w:marBottom w:val="0"/>
      <w:divBdr>
        <w:top w:val="none" w:sz="0" w:space="0" w:color="auto"/>
        <w:left w:val="none" w:sz="0" w:space="0" w:color="auto"/>
        <w:bottom w:val="none" w:sz="0" w:space="0" w:color="auto"/>
        <w:right w:val="none" w:sz="0" w:space="0" w:color="auto"/>
      </w:divBdr>
    </w:div>
    <w:div w:id="1912234280">
      <w:bodyDiv w:val="1"/>
      <w:marLeft w:val="0"/>
      <w:marRight w:val="0"/>
      <w:marTop w:val="0"/>
      <w:marBottom w:val="0"/>
      <w:divBdr>
        <w:top w:val="none" w:sz="0" w:space="0" w:color="auto"/>
        <w:left w:val="none" w:sz="0" w:space="0" w:color="auto"/>
        <w:bottom w:val="none" w:sz="0" w:space="0" w:color="auto"/>
        <w:right w:val="none" w:sz="0" w:space="0" w:color="auto"/>
      </w:divBdr>
    </w:div>
    <w:div w:id="1912691479">
      <w:bodyDiv w:val="1"/>
      <w:marLeft w:val="0"/>
      <w:marRight w:val="0"/>
      <w:marTop w:val="0"/>
      <w:marBottom w:val="0"/>
      <w:divBdr>
        <w:top w:val="none" w:sz="0" w:space="0" w:color="auto"/>
        <w:left w:val="none" w:sz="0" w:space="0" w:color="auto"/>
        <w:bottom w:val="none" w:sz="0" w:space="0" w:color="auto"/>
        <w:right w:val="none" w:sz="0" w:space="0" w:color="auto"/>
      </w:divBdr>
    </w:div>
    <w:div w:id="1913344340">
      <w:bodyDiv w:val="1"/>
      <w:marLeft w:val="0"/>
      <w:marRight w:val="0"/>
      <w:marTop w:val="0"/>
      <w:marBottom w:val="0"/>
      <w:divBdr>
        <w:top w:val="none" w:sz="0" w:space="0" w:color="auto"/>
        <w:left w:val="none" w:sz="0" w:space="0" w:color="auto"/>
        <w:bottom w:val="none" w:sz="0" w:space="0" w:color="auto"/>
        <w:right w:val="none" w:sz="0" w:space="0" w:color="auto"/>
      </w:divBdr>
    </w:div>
    <w:div w:id="1920282843">
      <w:bodyDiv w:val="1"/>
      <w:marLeft w:val="0"/>
      <w:marRight w:val="0"/>
      <w:marTop w:val="0"/>
      <w:marBottom w:val="0"/>
      <w:divBdr>
        <w:top w:val="none" w:sz="0" w:space="0" w:color="auto"/>
        <w:left w:val="none" w:sz="0" w:space="0" w:color="auto"/>
        <w:bottom w:val="none" w:sz="0" w:space="0" w:color="auto"/>
        <w:right w:val="none" w:sz="0" w:space="0" w:color="auto"/>
      </w:divBdr>
    </w:div>
    <w:div w:id="1921282506">
      <w:bodyDiv w:val="1"/>
      <w:marLeft w:val="0"/>
      <w:marRight w:val="0"/>
      <w:marTop w:val="0"/>
      <w:marBottom w:val="0"/>
      <w:divBdr>
        <w:top w:val="none" w:sz="0" w:space="0" w:color="auto"/>
        <w:left w:val="none" w:sz="0" w:space="0" w:color="auto"/>
        <w:bottom w:val="none" w:sz="0" w:space="0" w:color="auto"/>
        <w:right w:val="none" w:sz="0" w:space="0" w:color="auto"/>
      </w:divBdr>
    </w:div>
    <w:div w:id="1924296372">
      <w:bodyDiv w:val="1"/>
      <w:marLeft w:val="0"/>
      <w:marRight w:val="0"/>
      <w:marTop w:val="0"/>
      <w:marBottom w:val="0"/>
      <w:divBdr>
        <w:top w:val="none" w:sz="0" w:space="0" w:color="auto"/>
        <w:left w:val="none" w:sz="0" w:space="0" w:color="auto"/>
        <w:bottom w:val="none" w:sz="0" w:space="0" w:color="auto"/>
        <w:right w:val="none" w:sz="0" w:space="0" w:color="auto"/>
      </w:divBdr>
    </w:div>
    <w:div w:id="1925188110">
      <w:bodyDiv w:val="1"/>
      <w:marLeft w:val="0"/>
      <w:marRight w:val="0"/>
      <w:marTop w:val="0"/>
      <w:marBottom w:val="0"/>
      <w:divBdr>
        <w:top w:val="none" w:sz="0" w:space="0" w:color="auto"/>
        <w:left w:val="none" w:sz="0" w:space="0" w:color="auto"/>
        <w:bottom w:val="none" w:sz="0" w:space="0" w:color="auto"/>
        <w:right w:val="none" w:sz="0" w:space="0" w:color="auto"/>
      </w:divBdr>
    </w:div>
    <w:div w:id="1926844559">
      <w:bodyDiv w:val="1"/>
      <w:marLeft w:val="0"/>
      <w:marRight w:val="0"/>
      <w:marTop w:val="0"/>
      <w:marBottom w:val="0"/>
      <w:divBdr>
        <w:top w:val="none" w:sz="0" w:space="0" w:color="auto"/>
        <w:left w:val="none" w:sz="0" w:space="0" w:color="auto"/>
        <w:bottom w:val="none" w:sz="0" w:space="0" w:color="auto"/>
        <w:right w:val="none" w:sz="0" w:space="0" w:color="auto"/>
      </w:divBdr>
    </w:div>
    <w:div w:id="1928879166">
      <w:bodyDiv w:val="1"/>
      <w:marLeft w:val="0"/>
      <w:marRight w:val="0"/>
      <w:marTop w:val="0"/>
      <w:marBottom w:val="0"/>
      <w:divBdr>
        <w:top w:val="none" w:sz="0" w:space="0" w:color="auto"/>
        <w:left w:val="none" w:sz="0" w:space="0" w:color="auto"/>
        <w:bottom w:val="none" w:sz="0" w:space="0" w:color="auto"/>
        <w:right w:val="none" w:sz="0" w:space="0" w:color="auto"/>
      </w:divBdr>
    </w:div>
    <w:div w:id="1929190045">
      <w:bodyDiv w:val="1"/>
      <w:marLeft w:val="0"/>
      <w:marRight w:val="0"/>
      <w:marTop w:val="0"/>
      <w:marBottom w:val="0"/>
      <w:divBdr>
        <w:top w:val="none" w:sz="0" w:space="0" w:color="auto"/>
        <w:left w:val="none" w:sz="0" w:space="0" w:color="auto"/>
        <w:bottom w:val="none" w:sz="0" w:space="0" w:color="auto"/>
        <w:right w:val="none" w:sz="0" w:space="0" w:color="auto"/>
      </w:divBdr>
    </w:div>
    <w:div w:id="1934972737">
      <w:bodyDiv w:val="1"/>
      <w:marLeft w:val="0"/>
      <w:marRight w:val="0"/>
      <w:marTop w:val="0"/>
      <w:marBottom w:val="0"/>
      <w:divBdr>
        <w:top w:val="none" w:sz="0" w:space="0" w:color="auto"/>
        <w:left w:val="none" w:sz="0" w:space="0" w:color="auto"/>
        <w:bottom w:val="none" w:sz="0" w:space="0" w:color="auto"/>
        <w:right w:val="none" w:sz="0" w:space="0" w:color="auto"/>
      </w:divBdr>
    </w:div>
    <w:div w:id="1935016834">
      <w:bodyDiv w:val="1"/>
      <w:marLeft w:val="0"/>
      <w:marRight w:val="0"/>
      <w:marTop w:val="0"/>
      <w:marBottom w:val="0"/>
      <w:divBdr>
        <w:top w:val="none" w:sz="0" w:space="0" w:color="auto"/>
        <w:left w:val="none" w:sz="0" w:space="0" w:color="auto"/>
        <w:bottom w:val="none" w:sz="0" w:space="0" w:color="auto"/>
        <w:right w:val="none" w:sz="0" w:space="0" w:color="auto"/>
      </w:divBdr>
    </w:div>
    <w:div w:id="1941334535">
      <w:bodyDiv w:val="1"/>
      <w:marLeft w:val="0"/>
      <w:marRight w:val="0"/>
      <w:marTop w:val="0"/>
      <w:marBottom w:val="0"/>
      <w:divBdr>
        <w:top w:val="none" w:sz="0" w:space="0" w:color="auto"/>
        <w:left w:val="none" w:sz="0" w:space="0" w:color="auto"/>
        <w:bottom w:val="none" w:sz="0" w:space="0" w:color="auto"/>
        <w:right w:val="none" w:sz="0" w:space="0" w:color="auto"/>
      </w:divBdr>
    </w:div>
    <w:div w:id="1943142589">
      <w:bodyDiv w:val="1"/>
      <w:marLeft w:val="0"/>
      <w:marRight w:val="0"/>
      <w:marTop w:val="0"/>
      <w:marBottom w:val="0"/>
      <w:divBdr>
        <w:top w:val="none" w:sz="0" w:space="0" w:color="auto"/>
        <w:left w:val="none" w:sz="0" w:space="0" w:color="auto"/>
        <w:bottom w:val="none" w:sz="0" w:space="0" w:color="auto"/>
        <w:right w:val="none" w:sz="0" w:space="0" w:color="auto"/>
      </w:divBdr>
    </w:div>
    <w:div w:id="1951744511">
      <w:bodyDiv w:val="1"/>
      <w:marLeft w:val="0"/>
      <w:marRight w:val="0"/>
      <w:marTop w:val="0"/>
      <w:marBottom w:val="0"/>
      <w:divBdr>
        <w:top w:val="none" w:sz="0" w:space="0" w:color="auto"/>
        <w:left w:val="none" w:sz="0" w:space="0" w:color="auto"/>
        <w:bottom w:val="none" w:sz="0" w:space="0" w:color="auto"/>
        <w:right w:val="none" w:sz="0" w:space="0" w:color="auto"/>
      </w:divBdr>
    </w:div>
    <w:div w:id="1952592230">
      <w:bodyDiv w:val="1"/>
      <w:marLeft w:val="0"/>
      <w:marRight w:val="0"/>
      <w:marTop w:val="0"/>
      <w:marBottom w:val="0"/>
      <w:divBdr>
        <w:top w:val="none" w:sz="0" w:space="0" w:color="auto"/>
        <w:left w:val="none" w:sz="0" w:space="0" w:color="auto"/>
        <w:bottom w:val="none" w:sz="0" w:space="0" w:color="auto"/>
        <w:right w:val="none" w:sz="0" w:space="0" w:color="auto"/>
      </w:divBdr>
    </w:div>
    <w:div w:id="1955475646">
      <w:bodyDiv w:val="1"/>
      <w:marLeft w:val="0"/>
      <w:marRight w:val="0"/>
      <w:marTop w:val="0"/>
      <w:marBottom w:val="0"/>
      <w:divBdr>
        <w:top w:val="none" w:sz="0" w:space="0" w:color="auto"/>
        <w:left w:val="none" w:sz="0" w:space="0" w:color="auto"/>
        <w:bottom w:val="none" w:sz="0" w:space="0" w:color="auto"/>
        <w:right w:val="none" w:sz="0" w:space="0" w:color="auto"/>
      </w:divBdr>
    </w:div>
    <w:div w:id="1955675311">
      <w:bodyDiv w:val="1"/>
      <w:marLeft w:val="0"/>
      <w:marRight w:val="0"/>
      <w:marTop w:val="0"/>
      <w:marBottom w:val="0"/>
      <w:divBdr>
        <w:top w:val="none" w:sz="0" w:space="0" w:color="auto"/>
        <w:left w:val="none" w:sz="0" w:space="0" w:color="auto"/>
        <w:bottom w:val="none" w:sz="0" w:space="0" w:color="auto"/>
        <w:right w:val="none" w:sz="0" w:space="0" w:color="auto"/>
      </w:divBdr>
    </w:div>
    <w:div w:id="1960913267">
      <w:bodyDiv w:val="1"/>
      <w:marLeft w:val="0"/>
      <w:marRight w:val="0"/>
      <w:marTop w:val="0"/>
      <w:marBottom w:val="0"/>
      <w:divBdr>
        <w:top w:val="none" w:sz="0" w:space="0" w:color="auto"/>
        <w:left w:val="none" w:sz="0" w:space="0" w:color="auto"/>
        <w:bottom w:val="none" w:sz="0" w:space="0" w:color="auto"/>
        <w:right w:val="none" w:sz="0" w:space="0" w:color="auto"/>
      </w:divBdr>
    </w:div>
    <w:div w:id="1961956611">
      <w:bodyDiv w:val="1"/>
      <w:marLeft w:val="0"/>
      <w:marRight w:val="0"/>
      <w:marTop w:val="0"/>
      <w:marBottom w:val="0"/>
      <w:divBdr>
        <w:top w:val="none" w:sz="0" w:space="0" w:color="auto"/>
        <w:left w:val="none" w:sz="0" w:space="0" w:color="auto"/>
        <w:bottom w:val="none" w:sz="0" w:space="0" w:color="auto"/>
        <w:right w:val="none" w:sz="0" w:space="0" w:color="auto"/>
      </w:divBdr>
    </w:div>
    <w:div w:id="1965691172">
      <w:bodyDiv w:val="1"/>
      <w:marLeft w:val="0"/>
      <w:marRight w:val="0"/>
      <w:marTop w:val="0"/>
      <w:marBottom w:val="0"/>
      <w:divBdr>
        <w:top w:val="none" w:sz="0" w:space="0" w:color="auto"/>
        <w:left w:val="none" w:sz="0" w:space="0" w:color="auto"/>
        <w:bottom w:val="none" w:sz="0" w:space="0" w:color="auto"/>
        <w:right w:val="none" w:sz="0" w:space="0" w:color="auto"/>
      </w:divBdr>
    </w:div>
    <w:div w:id="1966230873">
      <w:bodyDiv w:val="1"/>
      <w:marLeft w:val="0"/>
      <w:marRight w:val="0"/>
      <w:marTop w:val="0"/>
      <w:marBottom w:val="0"/>
      <w:divBdr>
        <w:top w:val="none" w:sz="0" w:space="0" w:color="auto"/>
        <w:left w:val="none" w:sz="0" w:space="0" w:color="auto"/>
        <w:bottom w:val="none" w:sz="0" w:space="0" w:color="auto"/>
        <w:right w:val="none" w:sz="0" w:space="0" w:color="auto"/>
      </w:divBdr>
    </w:div>
    <w:div w:id="1968852606">
      <w:bodyDiv w:val="1"/>
      <w:marLeft w:val="0"/>
      <w:marRight w:val="0"/>
      <w:marTop w:val="0"/>
      <w:marBottom w:val="0"/>
      <w:divBdr>
        <w:top w:val="none" w:sz="0" w:space="0" w:color="auto"/>
        <w:left w:val="none" w:sz="0" w:space="0" w:color="auto"/>
        <w:bottom w:val="none" w:sz="0" w:space="0" w:color="auto"/>
        <w:right w:val="none" w:sz="0" w:space="0" w:color="auto"/>
      </w:divBdr>
    </w:div>
    <w:div w:id="1969510912">
      <w:bodyDiv w:val="1"/>
      <w:marLeft w:val="0"/>
      <w:marRight w:val="0"/>
      <w:marTop w:val="0"/>
      <w:marBottom w:val="0"/>
      <w:divBdr>
        <w:top w:val="none" w:sz="0" w:space="0" w:color="auto"/>
        <w:left w:val="none" w:sz="0" w:space="0" w:color="auto"/>
        <w:bottom w:val="none" w:sz="0" w:space="0" w:color="auto"/>
        <w:right w:val="none" w:sz="0" w:space="0" w:color="auto"/>
      </w:divBdr>
    </w:div>
    <w:div w:id="1975594926">
      <w:bodyDiv w:val="1"/>
      <w:marLeft w:val="0"/>
      <w:marRight w:val="0"/>
      <w:marTop w:val="0"/>
      <w:marBottom w:val="0"/>
      <w:divBdr>
        <w:top w:val="none" w:sz="0" w:space="0" w:color="auto"/>
        <w:left w:val="none" w:sz="0" w:space="0" w:color="auto"/>
        <w:bottom w:val="none" w:sz="0" w:space="0" w:color="auto"/>
        <w:right w:val="none" w:sz="0" w:space="0" w:color="auto"/>
      </w:divBdr>
    </w:div>
    <w:div w:id="1976174252">
      <w:bodyDiv w:val="1"/>
      <w:marLeft w:val="0"/>
      <w:marRight w:val="0"/>
      <w:marTop w:val="0"/>
      <w:marBottom w:val="0"/>
      <w:divBdr>
        <w:top w:val="none" w:sz="0" w:space="0" w:color="auto"/>
        <w:left w:val="none" w:sz="0" w:space="0" w:color="auto"/>
        <w:bottom w:val="none" w:sz="0" w:space="0" w:color="auto"/>
        <w:right w:val="none" w:sz="0" w:space="0" w:color="auto"/>
      </w:divBdr>
    </w:div>
    <w:div w:id="1980918569">
      <w:bodyDiv w:val="1"/>
      <w:marLeft w:val="0"/>
      <w:marRight w:val="0"/>
      <w:marTop w:val="0"/>
      <w:marBottom w:val="0"/>
      <w:divBdr>
        <w:top w:val="none" w:sz="0" w:space="0" w:color="auto"/>
        <w:left w:val="none" w:sz="0" w:space="0" w:color="auto"/>
        <w:bottom w:val="none" w:sz="0" w:space="0" w:color="auto"/>
        <w:right w:val="none" w:sz="0" w:space="0" w:color="auto"/>
      </w:divBdr>
    </w:div>
    <w:div w:id="1981380619">
      <w:bodyDiv w:val="1"/>
      <w:marLeft w:val="0"/>
      <w:marRight w:val="0"/>
      <w:marTop w:val="0"/>
      <w:marBottom w:val="0"/>
      <w:divBdr>
        <w:top w:val="none" w:sz="0" w:space="0" w:color="auto"/>
        <w:left w:val="none" w:sz="0" w:space="0" w:color="auto"/>
        <w:bottom w:val="none" w:sz="0" w:space="0" w:color="auto"/>
        <w:right w:val="none" w:sz="0" w:space="0" w:color="auto"/>
      </w:divBdr>
    </w:div>
    <w:div w:id="1982884037">
      <w:bodyDiv w:val="1"/>
      <w:marLeft w:val="0"/>
      <w:marRight w:val="0"/>
      <w:marTop w:val="0"/>
      <w:marBottom w:val="0"/>
      <w:divBdr>
        <w:top w:val="none" w:sz="0" w:space="0" w:color="auto"/>
        <w:left w:val="none" w:sz="0" w:space="0" w:color="auto"/>
        <w:bottom w:val="none" w:sz="0" w:space="0" w:color="auto"/>
        <w:right w:val="none" w:sz="0" w:space="0" w:color="auto"/>
      </w:divBdr>
    </w:div>
    <w:div w:id="1984432375">
      <w:bodyDiv w:val="1"/>
      <w:marLeft w:val="0"/>
      <w:marRight w:val="0"/>
      <w:marTop w:val="0"/>
      <w:marBottom w:val="0"/>
      <w:divBdr>
        <w:top w:val="none" w:sz="0" w:space="0" w:color="auto"/>
        <w:left w:val="none" w:sz="0" w:space="0" w:color="auto"/>
        <w:bottom w:val="none" w:sz="0" w:space="0" w:color="auto"/>
        <w:right w:val="none" w:sz="0" w:space="0" w:color="auto"/>
      </w:divBdr>
    </w:div>
    <w:div w:id="1988171026">
      <w:bodyDiv w:val="1"/>
      <w:marLeft w:val="0"/>
      <w:marRight w:val="0"/>
      <w:marTop w:val="0"/>
      <w:marBottom w:val="0"/>
      <w:divBdr>
        <w:top w:val="none" w:sz="0" w:space="0" w:color="auto"/>
        <w:left w:val="none" w:sz="0" w:space="0" w:color="auto"/>
        <w:bottom w:val="none" w:sz="0" w:space="0" w:color="auto"/>
        <w:right w:val="none" w:sz="0" w:space="0" w:color="auto"/>
      </w:divBdr>
    </w:div>
    <w:div w:id="1991053449">
      <w:bodyDiv w:val="1"/>
      <w:marLeft w:val="0"/>
      <w:marRight w:val="0"/>
      <w:marTop w:val="0"/>
      <w:marBottom w:val="0"/>
      <w:divBdr>
        <w:top w:val="none" w:sz="0" w:space="0" w:color="auto"/>
        <w:left w:val="none" w:sz="0" w:space="0" w:color="auto"/>
        <w:bottom w:val="none" w:sz="0" w:space="0" w:color="auto"/>
        <w:right w:val="none" w:sz="0" w:space="0" w:color="auto"/>
      </w:divBdr>
    </w:div>
    <w:div w:id="1991908654">
      <w:bodyDiv w:val="1"/>
      <w:marLeft w:val="0"/>
      <w:marRight w:val="0"/>
      <w:marTop w:val="0"/>
      <w:marBottom w:val="0"/>
      <w:divBdr>
        <w:top w:val="none" w:sz="0" w:space="0" w:color="auto"/>
        <w:left w:val="none" w:sz="0" w:space="0" w:color="auto"/>
        <w:bottom w:val="none" w:sz="0" w:space="0" w:color="auto"/>
        <w:right w:val="none" w:sz="0" w:space="0" w:color="auto"/>
      </w:divBdr>
    </w:div>
    <w:div w:id="1992320877">
      <w:bodyDiv w:val="1"/>
      <w:marLeft w:val="0"/>
      <w:marRight w:val="0"/>
      <w:marTop w:val="0"/>
      <w:marBottom w:val="0"/>
      <w:divBdr>
        <w:top w:val="none" w:sz="0" w:space="0" w:color="auto"/>
        <w:left w:val="none" w:sz="0" w:space="0" w:color="auto"/>
        <w:bottom w:val="none" w:sz="0" w:space="0" w:color="auto"/>
        <w:right w:val="none" w:sz="0" w:space="0" w:color="auto"/>
      </w:divBdr>
    </w:div>
    <w:div w:id="1995839576">
      <w:bodyDiv w:val="1"/>
      <w:marLeft w:val="0"/>
      <w:marRight w:val="0"/>
      <w:marTop w:val="0"/>
      <w:marBottom w:val="0"/>
      <w:divBdr>
        <w:top w:val="none" w:sz="0" w:space="0" w:color="auto"/>
        <w:left w:val="none" w:sz="0" w:space="0" w:color="auto"/>
        <w:bottom w:val="none" w:sz="0" w:space="0" w:color="auto"/>
        <w:right w:val="none" w:sz="0" w:space="0" w:color="auto"/>
      </w:divBdr>
    </w:div>
    <w:div w:id="2001345140">
      <w:bodyDiv w:val="1"/>
      <w:marLeft w:val="0"/>
      <w:marRight w:val="0"/>
      <w:marTop w:val="0"/>
      <w:marBottom w:val="0"/>
      <w:divBdr>
        <w:top w:val="none" w:sz="0" w:space="0" w:color="auto"/>
        <w:left w:val="none" w:sz="0" w:space="0" w:color="auto"/>
        <w:bottom w:val="none" w:sz="0" w:space="0" w:color="auto"/>
        <w:right w:val="none" w:sz="0" w:space="0" w:color="auto"/>
      </w:divBdr>
    </w:div>
    <w:div w:id="2007007097">
      <w:bodyDiv w:val="1"/>
      <w:marLeft w:val="0"/>
      <w:marRight w:val="0"/>
      <w:marTop w:val="0"/>
      <w:marBottom w:val="0"/>
      <w:divBdr>
        <w:top w:val="none" w:sz="0" w:space="0" w:color="auto"/>
        <w:left w:val="none" w:sz="0" w:space="0" w:color="auto"/>
        <w:bottom w:val="none" w:sz="0" w:space="0" w:color="auto"/>
        <w:right w:val="none" w:sz="0" w:space="0" w:color="auto"/>
      </w:divBdr>
    </w:div>
    <w:div w:id="2007197845">
      <w:bodyDiv w:val="1"/>
      <w:marLeft w:val="0"/>
      <w:marRight w:val="0"/>
      <w:marTop w:val="0"/>
      <w:marBottom w:val="0"/>
      <w:divBdr>
        <w:top w:val="none" w:sz="0" w:space="0" w:color="auto"/>
        <w:left w:val="none" w:sz="0" w:space="0" w:color="auto"/>
        <w:bottom w:val="none" w:sz="0" w:space="0" w:color="auto"/>
        <w:right w:val="none" w:sz="0" w:space="0" w:color="auto"/>
      </w:divBdr>
    </w:div>
    <w:div w:id="2008240144">
      <w:bodyDiv w:val="1"/>
      <w:marLeft w:val="0"/>
      <w:marRight w:val="0"/>
      <w:marTop w:val="0"/>
      <w:marBottom w:val="0"/>
      <w:divBdr>
        <w:top w:val="none" w:sz="0" w:space="0" w:color="auto"/>
        <w:left w:val="none" w:sz="0" w:space="0" w:color="auto"/>
        <w:bottom w:val="none" w:sz="0" w:space="0" w:color="auto"/>
        <w:right w:val="none" w:sz="0" w:space="0" w:color="auto"/>
      </w:divBdr>
    </w:div>
    <w:div w:id="2009094440">
      <w:bodyDiv w:val="1"/>
      <w:marLeft w:val="0"/>
      <w:marRight w:val="0"/>
      <w:marTop w:val="0"/>
      <w:marBottom w:val="0"/>
      <w:divBdr>
        <w:top w:val="none" w:sz="0" w:space="0" w:color="auto"/>
        <w:left w:val="none" w:sz="0" w:space="0" w:color="auto"/>
        <w:bottom w:val="none" w:sz="0" w:space="0" w:color="auto"/>
        <w:right w:val="none" w:sz="0" w:space="0" w:color="auto"/>
      </w:divBdr>
    </w:div>
    <w:div w:id="2010283420">
      <w:bodyDiv w:val="1"/>
      <w:marLeft w:val="0"/>
      <w:marRight w:val="0"/>
      <w:marTop w:val="0"/>
      <w:marBottom w:val="0"/>
      <w:divBdr>
        <w:top w:val="none" w:sz="0" w:space="0" w:color="auto"/>
        <w:left w:val="none" w:sz="0" w:space="0" w:color="auto"/>
        <w:bottom w:val="none" w:sz="0" w:space="0" w:color="auto"/>
        <w:right w:val="none" w:sz="0" w:space="0" w:color="auto"/>
      </w:divBdr>
    </w:div>
    <w:div w:id="2010869269">
      <w:bodyDiv w:val="1"/>
      <w:marLeft w:val="0"/>
      <w:marRight w:val="0"/>
      <w:marTop w:val="0"/>
      <w:marBottom w:val="0"/>
      <w:divBdr>
        <w:top w:val="none" w:sz="0" w:space="0" w:color="auto"/>
        <w:left w:val="none" w:sz="0" w:space="0" w:color="auto"/>
        <w:bottom w:val="none" w:sz="0" w:space="0" w:color="auto"/>
        <w:right w:val="none" w:sz="0" w:space="0" w:color="auto"/>
      </w:divBdr>
    </w:div>
    <w:div w:id="2012104529">
      <w:bodyDiv w:val="1"/>
      <w:marLeft w:val="0"/>
      <w:marRight w:val="0"/>
      <w:marTop w:val="0"/>
      <w:marBottom w:val="0"/>
      <w:divBdr>
        <w:top w:val="none" w:sz="0" w:space="0" w:color="auto"/>
        <w:left w:val="none" w:sz="0" w:space="0" w:color="auto"/>
        <w:bottom w:val="none" w:sz="0" w:space="0" w:color="auto"/>
        <w:right w:val="none" w:sz="0" w:space="0" w:color="auto"/>
      </w:divBdr>
    </w:div>
    <w:div w:id="2013409075">
      <w:bodyDiv w:val="1"/>
      <w:marLeft w:val="0"/>
      <w:marRight w:val="0"/>
      <w:marTop w:val="0"/>
      <w:marBottom w:val="0"/>
      <w:divBdr>
        <w:top w:val="none" w:sz="0" w:space="0" w:color="auto"/>
        <w:left w:val="none" w:sz="0" w:space="0" w:color="auto"/>
        <w:bottom w:val="none" w:sz="0" w:space="0" w:color="auto"/>
        <w:right w:val="none" w:sz="0" w:space="0" w:color="auto"/>
      </w:divBdr>
    </w:div>
    <w:div w:id="2016418451">
      <w:bodyDiv w:val="1"/>
      <w:marLeft w:val="0"/>
      <w:marRight w:val="0"/>
      <w:marTop w:val="0"/>
      <w:marBottom w:val="0"/>
      <w:divBdr>
        <w:top w:val="none" w:sz="0" w:space="0" w:color="auto"/>
        <w:left w:val="none" w:sz="0" w:space="0" w:color="auto"/>
        <w:bottom w:val="none" w:sz="0" w:space="0" w:color="auto"/>
        <w:right w:val="none" w:sz="0" w:space="0" w:color="auto"/>
      </w:divBdr>
    </w:div>
    <w:div w:id="2019650679">
      <w:bodyDiv w:val="1"/>
      <w:marLeft w:val="0"/>
      <w:marRight w:val="0"/>
      <w:marTop w:val="0"/>
      <w:marBottom w:val="0"/>
      <w:divBdr>
        <w:top w:val="none" w:sz="0" w:space="0" w:color="auto"/>
        <w:left w:val="none" w:sz="0" w:space="0" w:color="auto"/>
        <w:bottom w:val="none" w:sz="0" w:space="0" w:color="auto"/>
        <w:right w:val="none" w:sz="0" w:space="0" w:color="auto"/>
      </w:divBdr>
    </w:div>
    <w:div w:id="2021393920">
      <w:bodyDiv w:val="1"/>
      <w:marLeft w:val="0"/>
      <w:marRight w:val="0"/>
      <w:marTop w:val="0"/>
      <w:marBottom w:val="0"/>
      <w:divBdr>
        <w:top w:val="none" w:sz="0" w:space="0" w:color="auto"/>
        <w:left w:val="none" w:sz="0" w:space="0" w:color="auto"/>
        <w:bottom w:val="none" w:sz="0" w:space="0" w:color="auto"/>
        <w:right w:val="none" w:sz="0" w:space="0" w:color="auto"/>
      </w:divBdr>
    </w:div>
    <w:div w:id="2027440949">
      <w:bodyDiv w:val="1"/>
      <w:marLeft w:val="0"/>
      <w:marRight w:val="0"/>
      <w:marTop w:val="0"/>
      <w:marBottom w:val="0"/>
      <w:divBdr>
        <w:top w:val="none" w:sz="0" w:space="0" w:color="auto"/>
        <w:left w:val="none" w:sz="0" w:space="0" w:color="auto"/>
        <w:bottom w:val="none" w:sz="0" w:space="0" w:color="auto"/>
        <w:right w:val="none" w:sz="0" w:space="0" w:color="auto"/>
      </w:divBdr>
    </w:div>
    <w:div w:id="2031756143">
      <w:bodyDiv w:val="1"/>
      <w:marLeft w:val="0"/>
      <w:marRight w:val="0"/>
      <w:marTop w:val="0"/>
      <w:marBottom w:val="0"/>
      <w:divBdr>
        <w:top w:val="none" w:sz="0" w:space="0" w:color="auto"/>
        <w:left w:val="none" w:sz="0" w:space="0" w:color="auto"/>
        <w:bottom w:val="none" w:sz="0" w:space="0" w:color="auto"/>
        <w:right w:val="none" w:sz="0" w:space="0" w:color="auto"/>
      </w:divBdr>
    </w:div>
    <w:div w:id="2037539988">
      <w:bodyDiv w:val="1"/>
      <w:marLeft w:val="0"/>
      <w:marRight w:val="0"/>
      <w:marTop w:val="0"/>
      <w:marBottom w:val="0"/>
      <w:divBdr>
        <w:top w:val="none" w:sz="0" w:space="0" w:color="auto"/>
        <w:left w:val="none" w:sz="0" w:space="0" w:color="auto"/>
        <w:bottom w:val="none" w:sz="0" w:space="0" w:color="auto"/>
        <w:right w:val="none" w:sz="0" w:space="0" w:color="auto"/>
      </w:divBdr>
    </w:div>
    <w:div w:id="2039237678">
      <w:bodyDiv w:val="1"/>
      <w:marLeft w:val="0"/>
      <w:marRight w:val="0"/>
      <w:marTop w:val="0"/>
      <w:marBottom w:val="0"/>
      <w:divBdr>
        <w:top w:val="none" w:sz="0" w:space="0" w:color="auto"/>
        <w:left w:val="none" w:sz="0" w:space="0" w:color="auto"/>
        <w:bottom w:val="none" w:sz="0" w:space="0" w:color="auto"/>
        <w:right w:val="none" w:sz="0" w:space="0" w:color="auto"/>
      </w:divBdr>
    </w:div>
    <w:div w:id="2042854137">
      <w:bodyDiv w:val="1"/>
      <w:marLeft w:val="0"/>
      <w:marRight w:val="0"/>
      <w:marTop w:val="0"/>
      <w:marBottom w:val="0"/>
      <w:divBdr>
        <w:top w:val="none" w:sz="0" w:space="0" w:color="auto"/>
        <w:left w:val="none" w:sz="0" w:space="0" w:color="auto"/>
        <w:bottom w:val="none" w:sz="0" w:space="0" w:color="auto"/>
        <w:right w:val="none" w:sz="0" w:space="0" w:color="auto"/>
      </w:divBdr>
    </w:div>
    <w:div w:id="2045792063">
      <w:bodyDiv w:val="1"/>
      <w:marLeft w:val="0"/>
      <w:marRight w:val="0"/>
      <w:marTop w:val="0"/>
      <w:marBottom w:val="0"/>
      <w:divBdr>
        <w:top w:val="none" w:sz="0" w:space="0" w:color="auto"/>
        <w:left w:val="none" w:sz="0" w:space="0" w:color="auto"/>
        <w:bottom w:val="none" w:sz="0" w:space="0" w:color="auto"/>
        <w:right w:val="none" w:sz="0" w:space="0" w:color="auto"/>
      </w:divBdr>
    </w:div>
    <w:div w:id="2051026415">
      <w:bodyDiv w:val="1"/>
      <w:marLeft w:val="0"/>
      <w:marRight w:val="0"/>
      <w:marTop w:val="0"/>
      <w:marBottom w:val="0"/>
      <w:divBdr>
        <w:top w:val="none" w:sz="0" w:space="0" w:color="auto"/>
        <w:left w:val="none" w:sz="0" w:space="0" w:color="auto"/>
        <w:bottom w:val="none" w:sz="0" w:space="0" w:color="auto"/>
        <w:right w:val="none" w:sz="0" w:space="0" w:color="auto"/>
      </w:divBdr>
    </w:div>
    <w:div w:id="2052605885">
      <w:bodyDiv w:val="1"/>
      <w:marLeft w:val="0"/>
      <w:marRight w:val="0"/>
      <w:marTop w:val="0"/>
      <w:marBottom w:val="0"/>
      <w:divBdr>
        <w:top w:val="none" w:sz="0" w:space="0" w:color="auto"/>
        <w:left w:val="none" w:sz="0" w:space="0" w:color="auto"/>
        <w:bottom w:val="none" w:sz="0" w:space="0" w:color="auto"/>
        <w:right w:val="none" w:sz="0" w:space="0" w:color="auto"/>
      </w:divBdr>
    </w:div>
    <w:div w:id="2056347027">
      <w:bodyDiv w:val="1"/>
      <w:marLeft w:val="0"/>
      <w:marRight w:val="0"/>
      <w:marTop w:val="0"/>
      <w:marBottom w:val="0"/>
      <w:divBdr>
        <w:top w:val="none" w:sz="0" w:space="0" w:color="auto"/>
        <w:left w:val="none" w:sz="0" w:space="0" w:color="auto"/>
        <w:bottom w:val="none" w:sz="0" w:space="0" w:color="auto"/>
        <w:right w:val="none" w:sz="0" w:space="0" w:color="auto"/>
      </w:divBdr>
    </w:div>
    <w:div w:id="2056659457">
      <w:bodyDiv w:val="1"/>
      <w:marLeft w:val="0"/>
      <w:marRight w:val="0"/>
      <w:marTop w:val="0"/>
      <w:marBottom w:val="0"/>
      <w:divBdr>
        <w:top w:val="none" w:sz="0" w:space="0" w:color="auto"/>
        <w:left w:val="none" w:sz="0" w:space="0" w:color="auto"/>
        <w:bottom w:val="none" w:sz="0" w:space="0" w:color="auto"/>
        <w:right w:val="none" w:sz="0" w:space="0" w:color="auto"/>
      </w:divBdr>
    </w:div>
    <w:div w:id="2059282360">
      <w:bodyDiv w:val="1"/>
      <w:marLeft w:val="0"/>
      <w:marRight w:val="0"/>
      <w:marTop w:val="0"/>
      <w:marBottom w:val="0"/>
      <w:divBdr>
        <w:top w:val="none" w:sz="0" w:space="0" w:color="auto"/>
        <w:left w:val="none" w:sz="0" w:space="0" w:color="auto"/>
        <w:bottom w:val="none" w:sz="0" w:space="0" w:color="auto"/>
        <w:right w:val="none" w:sz="0" w:space="0" w:color="auto"/>
      </w:divBdr>
    </w:div>
    <w:div w:id="2061203017">
      <w:bodyDiv w:val="1"/>
      <w:marLeft w:val="0"/>
      <w:marRight w:val="0"/>
      <w:marTop w:val="0"/>
      <w:marBottom w:val="0"/>
      <w:divBdr>
        <w:top w:val="none" w:sz="0" w:space="0" w:color="auto"/>
        <w:left w:val="none" w:sz="0" w:space="0" w:color="auto"/>
        <w:bottom w:val="none" w:sz="0" w:space="0" w:color="auto"/>
        <w:right w:val="none" w:sz="0" w:space="0" w:color="auto"/>
      </w:divBdr>
    </w:div>
    <w:div w:id="2072537203">
      <w:bodyDiv w:val="1"/>
      <w:marLeft w:val="0"/>
      <w:marRight w:val="0"/>
      <w:marTop w:val="0"/>
      <w:marBottom w:val="0"/>
      <w:divBdr>
        <w:top w:val="none" w:sz="0" w:space="0" w:color="auto"/>
        <w:left w:val="none" w:sz="0" w:space="0" w:color="auto"/>
        <w:bottom w:val="none" w:sz="0" w:space="0" w:color="auto"/>
        <w:right w:val="none" w:sz="0" w:space="0" w:color="auto"/>
      </w:divBdr>
    </w:div>
    <w:div w:id="2073890121">
      <w:bodyDiv w:val="1"/>
      <w:marLeft w:val="0"/>
      <w:marRight w:val="0"/>
      <w:marTop w:val="0"/>
      <w:marBottom w:val="0"/>
      <w:divBdr>
        <w:top w:val="none" w:sz="0" w:space="0" w:color="auto"/>
        <w:left w:val="none" w:sz="0" w:space="0" w:color="auto"/>
        <w:bottom w:val="none" w:sz="0" w:space="0" w:color="auto"/>
        <w:right w:val="none" w:sz="0" w:space="0" w:color="auto"/>
      </w:divBdr>
    </w:div>
    <w:div w:id="2076125709">
      <w:bodyDiv w:val="1"/>
      <w:marLeft w:val="0"/>
      <w:marRight w:val="0"/>
      <w:marTop w:val="0"/>
      <w:marBottom w:val="0"/>
      <w:divBdr>
        <w:top w:val="none" w:sz="0" w:space="0" w:color="auto"/>
        <w:left w:val="none" w:sz="0" w:space="0" w:color="auto"/>
        <w:bottom w:val="none" w:sz="0" w:space="0" w:color="auto"/>
        <w:right w:val="none" w:sz="0" w:space="0" w:color="auto"/>
      </w:divBdr>
    </w:div>
    <w:div w:id="208240683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770755">
      <w:bodyDiv w:val="1"/>
      <w:marLeft w:val="0"/>
      <w:marRight w:val="0"/>
      <w:marTop w:val="0"/>
      <w:marBottom w:val="0"/>
      <w:divBdr>
        <w:top w:val="none" w:sz="0" w:space="0" w:color="auto"/>
        <w:left w:val="none" w:sz="0" w:space="0" w:color="auto"/>
        <w:bottom w:val="none" w:sz="0" w:space="0" w:color="auto"/>
        <w:right w:val="none" w:sz="0" w:space="0" w:color="auto"/>
      </w:divBdr>
    </w:div>
    <w:div w:id="2091340574">
      <w:bodyDiv w:val="1"/>
      <w:marLeft w:val="0"/>
      <w:marRight w:val="0"/>
      <w:marTop w:val="0"/>
      <w:marBottom w:val="0"/>
      <w:divBdr>
        <w:top w:val="none" w:sz="0" w:space="0" w:color="auto"/>
        <w:left w:val="none" w:sz="0" w:space="0" w:color="auto"/>
        <w:bottom w:val="none" w:sz="0" w:space="0" w:color="auto"/>
        <w:right w:val="none" w:sz="0" w:space="0" w:color="auto"/>
      </w:divBdr>
    </w:div>
    <w:div w:id="2095852360">
      <w:bodyDiv w:val="1"/>
      <w:marLeft w:val="0"/>
      <w:marRight w:val="0"/>
      <w:marTop w:val="0"/>
      <w:marBottom w:val="0"/>
      <w:divBdr>
        <w:top w:val="none" w:sz="0" w:space="0" w:color="auto"/>
        <w:left w:val="none" w:sz="0" w:space="0" w:color="auto"/>
        <w:bottom w:val="none" w:sz="0" w:space="0" w:color="auto"/>
        <w:right w:val="none" w:sz="0" w:space="0" w:color="auto"/>
      </w:divBdr>
    </w:div>
    <w:div w:id="2096777164">
      <w:bodyDiv w:val="1"/>
      <w:marLeft w:val="0"/>
      <w:marRight w:val="0"/>
      <w:marTop w:val="0"/>
      <w:marBottom w:val="0"/>
      <w:divBdr>
        <w:top w:val="none" w:sz="0" w:space="0" w:color="auto"/>
        <w:left w:val="none" w:sz="0" w:space="0" w:color="auto"/>
        <w:bottom w:val="none" w:sz="0" w:space="0" w:color="auto"/>
        <w:right w:val="none" w:sz="0" w:space="0" w:color="auto"/>
      </w:divBdr>
    </w:div>
    <w:div w:id="2098087936">
      <w:bodyDiv w:val="1"/>
      <w:marLeft w:val="0"/>
      <w:marRight w:val="0"/>
      <w:marTop w:val="0"/>
      <w:marBottom w:val="0"/>
      <w:divBdr>
        <w:top w:val="none" w:sz="0" w:space="0" w:color="auto"/>
        <w:left w:val="none" w:sz="0" w:space="0" w:color="auto"/>
        <w:bottom w:val="none" w:sz="0" w:space="0" w:color="auto"/>
        <w:right w:val="none" w:sz="0" w:space="0" w:color="auto"/>
      </w:divBdr>
    </w:div>
    <w:div w:id="2098281065">
      <w:bodyDiv w:val="1"/>
      <w:marLeft w:val="0"/>
      <w:marRight w:val="0"/>
      <w:marTop w:val="0"/>
      <w:marBottom w:val="0"/>
      <w:divBdr>
        <w:top w:val="none" w:sz="0" w:space="0" w:color="auto"/>
        <w:left w:val="none" w:sz="0" w:space="0" w:color="auto"/>
        <w:bottom w:val="none" w:sz="0" w:space="0" w:color="auto"/>
        <w:right w:val="none" w:sz="0" w:space="0" w:color="auto"/>
      </w:divBdr>
    </w:div>
    <w:div w:id="2102801011">
      <w:bodyDiv w:val="1"/>
      <w:marLeft w:val="0"/>
      <w:marRight w:val="0"/>
      <w:marTop w:val="0"/>
      <w:marBottom w:val="0"/>
      <w:divBdr>
        <w:top w:val="none" w:sz="0" w:space="0" w:color="auto"/>
        <w:left w:val="none" w:sz="0" w:space="0" w:color="auto"/>
        <w:bottom w:val="none" w:sz="0" w:space="0" w:color="auto"/>
        <w:right w:val="none" w:sz="0" w:space="0" w:color="auto"/>
      </w:divBdr>
    </w:div>
    <w:div w:id="2103600631">
      <w:bodyDiv w:val="1"/>
      <w:marLeft w:val="0"/>
      <w:marRight w:val="0"/>
      <w:marTop w:val="0"/>
      <w:marBottom w:val="0"/>
      <w:divBdr>
        <w:top w:val="none" w:sz="0" w:space="0" w:color="auto"/>
        <w:left w:val="none" w:sz="0" w:space="0" w:color="auto"/>
        <w:bottom w:val="none" w:sz="0" w:space="0" w:color="auto"/>
        <w:right w:val="none" w:sz="0" w:space="0" w:color="auto"/>
      </w:divBdr>
    </w:div>
    <w:div w:id="2105220935">
      <w:bodyDiv w:val="1"/>
      <w:marLeft w:val="0"/>
      <w:marRight w:val="0"/>
      <w:marTop w:val="0"/>
      <w:marBottom w:val="0"/>
      <w:divBdr>
        <w:top w:val="none" w:sz="0" w:space="0" w:color="auto"/>
        <w:left w:val="none" w:sz="0" w:space="0" w:color="auto"/>
        <w:bottom w:val="none" w:sz="0" w:space="0" w:color="auto"/>
        <w:right w:val="none" w:sz="0" w:space="0" w:color="auto"/>
      </w:divBdr>
    </w:div>
    <w:div w:id="2105953077">
      <w:bodyDiv w:val="1"/>
      <w:marLeft w:val="0"/>
      <w:marRight w:val="0"/>
      <w:marTop w:val="0"/>
      <w:marBottom w:val="0"/>
      <w:divBdr>
        <w:top w:val="none" w:sz="0" w:space="0" w:color="auto"/>
        <w:left w:val="none" w:sz="0" w:space="0" w:color="auto"/>
        <w:bottom w:val="none" w:sz="0" w:space="0" w:color="auto"/>
        <w:right w:val="none" w:sz="0" w:space="0" w:color="auto"/>
      </w:divBdr>
    </w:div>
    <w:div w:id="2107379134">
      <w:bodyDiv w:val="1"/>
      <w:marLeft w:val="0"/>
      <w:marRight w:val="0"/>
      <w:marTop w:val="0"/>
      <w:marBottom w:val="0"/>
      <w:divBdr>
        <w:top w:val="none" w:sz="0" w:space="0" w:color="auto"/>
        <w:left w:val="none" w:sz="0" w:space="0" w:color="auto"/>
        <w:bottom w:val="none" w:sz="0" w:space="0" w:color="auto"/>
        <w:right w:val="none" w:sz="0" w:space="0" w:color="auto"/>
      </w:divBdr>
    </w:div>
    <w:div w:id="2109425764">
      <w:bodyDiv w:val="1"/>
      <w:marLeft w:val="0"/>
      <w:marRight w:val="0"/>
      <w:marTop w:val="0"/>
      <w:marBottom w:val="0"/>
      <w:divBdr>
        <w:top w:val="none" w:sz="0" w:space="0" w:color="auto"/>
        <w:left w:val="none" w:sz="0" w:space="0" w:color="auto"/>
        <w:bottom w:val="none" w:sz="0" w:space="0" w:color="auto"/>
        <w:right w:val="none" w:sz="0" w:space="0" w:color="auto"/>
      </w:divBdr>
    </w:div>
    <w:div w:id="2110462413">
      <w:bodyDiv w:val="1"/>
      <w:marLeft w:val="0"/>
      <w:marRight w:val="0"/>
      <w:marTop w:val="0"/>
      <w:marBottom w:val="0"/>
      <w:divBdr>
        <w:top w:val="none" w:sz="0" w:space="0" w:color="auto"/>
        <w:left w:val="none" w:sz="0" w:space="0" w:color="auto"/>
        <w:bottom w:val="none" w:sz="0" w:space="0" w:color="auto"/>
        <w:right w:val="none" w:sz="0" w:space="0" w:color="auto"/>
      </w:divBdr>
    </w:div>
    <w:div w:id="2110807853">
      <w:bodyDiv w:val="1"/>
      <w:marLeft w:val="0"/>
      <w:marRight w:val="0"/>
      <w:marTop w:val="0"/>
      <w:marBottom w:val="0"/>
      <w:divBdr>
        <w:top w:val="none" w:sz="0" w:space="0" w:color="auto"/>
        <w:left w:val="none" w:sz="0" w:space="0" w:color="auto"/>
        <w:bottom w:val="none" w:sz="0" w:space="0" w:color="auto"/>
        <w:right w:val="none" w:sz="0" w:space="0" w:color="auto"/>
      </w:divBdr>
    </w:div>
    <w:div w:id="2112160593">
      <w:bodyDiv w:val="1"/>
      <w:marLeft w:val="0"/>
      <w:marRight w:val="0"/>
      <w:marTop w:val="0"/>
      <w:marBottom w:val="0"/>
      <w:divBdr>
        <w:top w:val="none" w:sz="0" w:space="0" w:color="auto"/>
        <w:left w:val="none" w:sz="0" w:space="0" w:color="auto"/>
        <w:bottom w:val="none" w:sz="0" w:space="0" w:color="auto"/>
        <w:right w:val="none" w:sz="0" w:space="0" w:color="auto"/>
      </w:divBdr>
    </w:div>
    <w:div w:id="211269758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789163">
      <w:bodyDiv w:val="1"/>
      <w:marLeft w:val="0"/>
      <w:marRight w:val="0"/>
      <w:marTop w:val="0"/>
      <w:marBottom w:val="0"/>
      <w:divBdr>
        <w:top w:val="none" w:sz="0" w:space="0" w:color="auto"/>
        <w:left w:val="none" w:sz="0" w:space="0" w:color="auto"/>
        <w:bottom w:val="none" w:sz="0" w:space="0" w:color="auto"/>
        <w:right w:val="none" w:sz="0" w:space="0" w:color="auto"/>
      </w:divBdr>
    </w:div>
    <w:div w:id="2116288879">
      <w:bodyDiv w:val="1"/>
      <w:marLeft w:val="0"/>
      <w:marRight w:val="0"/>
      <w:marTop w:val="0"/>
      <w:marBottom w:val="0"/>
      <w:divBdr>
        <w:top w:val="none" w:sz="0" w:space="0" w:color="auto"/>
        <w:left w:val="none" w:sz="0" w:space="0" w:color="auto"/>
        <w:bottom w:val="none" w:sz="0" w:space="0" w:color="auto"/>
        <w:right w:val="none" w:sz="0" w:space="0" w:color="auto"/>
      </w:divBdr>
    </w:div>
    <w:div w:id="2119249862">
      <w:bodyDiv w:val="1"/>
      <w:marLeft w:val="0"/>
      <w:marRight w:val="0"/>
      <w:marTop w:val="0"/>
      <w:marBottom w:val="0"/>
      <w:divBdr>
        <w:top w:val="none" w:sz="0" w:space="0" w:color="auto"/>
        <w:left w:val="none" w:sz="0" w:space="0" w:color="auto"/>
        <w:bottom w:val="none" w:sz="0" w:space="0" w:color="auto"/>
        <w:right w:val="none" w:sz="0" w:space="0" w:color="auto"/>
      </w:divBdr>
    </w:div>
    <w:div w:id="2123760442">
      <w:bodyDiv w:val="1"/>
      <w:marLeft w:val="0"/>
      <w:marRight w:val="0"/>
      <w:marTop w:val="0"/>
      <w:marBottom w:val="0"/>
      <w:divBdr>
        <w:top w:val="none" w:sz="0" w:space="0" w:color="auto"/>
        <w:left w:val="none" w:sz="0" w:space="0" w:color="auto"/>
        <w:bottom w:val="none" w:sz="0" w:space="0" w:color="auto"/>
        <w:right w:val="none" w:sz="0" w:space="0" w:color="auto"/>
      </w:divBdr>
    </w:div>
    <w:div w:id="2131584166">
      <w:bodyDiv w:val="1"/>
      <w:marLeft w:val="0"/>
      <w:marRight w:val="0"/>
      <w:marTop w:val="0"/>
      <w:marBottom w:val="0"/>
      <w:divBdr>
        <w:top w:val="none" w:sz="0" w:space="0" w:color="auto"/>
        <w:left w:val="none" w:sz="0" w:space="0" w:color="auto"/>
        <w:bottom w:val="none" w:sz="0" w:space="0" w:color="auto"/>
        <w:right w:val="none" w:sz="0" w:space="0" w:color="auto"/>
      </w:divBdr>
    </w:div>
    <w:div w:id="2131625028">
      <w:bodyDiv w:val="1"/>
      <w:marLeft w:val="0"/>
      <w:marRight w:val="0"/>
      <w:marTop w:val="0"/>
      <w:marBottom w:val="0"/>
      <w:divBdr>
        <w:top w:val="none" w:sz="0" w:space="0" w:color="auto"/>
        <w:left w:val="none" w:sz="0" w:space="0" w:color="auto"/>
        <w:bottom w:val="none" w:sz="0" w:space="0" w:color="auto"/>
        <w:right w:val="none" w:sz="0" w:space="0" w:color="auto"/>
      </w:divBdr>
    </w:div>
    <w:div w:id="2136874734">
      <w:bodyDiv w:val="1"/>
      <w:marLeft w:val="0"/>
      <w:marRight w:val="0"/>
      <w:marTop w:val="0"/>
      <w:marBottom w:val="0"/>
      <w:divBdr>
        <w:top w:val="none" w:sz="0" w:space="0" w:color="auto"/>
        <w:left w:val="none" w:sz="0" w:space="0" w:color="auto"/>
        <w:bottom w:val="none" w:sz="0" w:space="0" w:color="auto"/>
        <w:right w:val="none" w:sz="0" w:space="0" w:color="auto"/>
      </w:divBdr>
    </w:div>
    <w:div w:id="2141993398">
      <w:bodyDiv w:val="1"/>
      <w:marLeft w:val="0"/>
      <w:marRight w:val="0"/>
      <w:marTop w:val="0"/>
      <w:marBottom w:val="0"/>
      <w:divBdr>
        <w:top w:val="none" w:sz="0" w:space="0" w:color="auto"/>
        <w:left w:val="none" w:sz="0" w:space="0" w:color="auto"/>
        <w:bottom w:val="none" w:sz="0" w:space="0" w:color="auto"/>
        <w:right w:val="none" w:sz="0" w:space="0" w:color="auto"/>
      </w:divBdr>
    </w:div>
    <w:div w:id="21428420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nr.org.uk/copyrigh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nationalarchives.gov.uk/doc/open-government-licence/version/3/"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A060FBB04FB04E2A8F752577B007401B"/>
        <w:category>
          <w:name w:val="General"/>
          <w:gallery w:val="placeholder"/>
        </w:category>
        <w:types>
          <w:type w:val="bbPlcHdr"/>
        </w:types>
        <w:behaviors>
          <w:behavior w:val="content"/>
        </w:behaviors>
        <w:guid w:val="{71FD365B-D690-45EB-815C-77810EB20313}"/>
      </w:docPartPr>
      <w:docPartBody>
        <w:p w:rsidR="00F36B20" w:rsidRDefault="00447445">
          <w:r w:rsidRPr="00C04CFD">
            <w:rPr>
              <w:rStyle w:val="PlaceholderText"/>
            </w:rPr>
            <w:t>[Status]</w:t>
          </w:r>
        </w:p>
      </w:docPartBody>
    </w:docPart>
    <w:docPart>
      <w:docPartPr>
        <w:name w:val="80B0007185F44E61B7EC7B0F24B98332"/>
        <w:category>
          <w:name w:val="General"/>
          <w:gallery w:val="placeholder"/>
        </w:category>
        <w:types>
          <w:type w:val="bbPlcHdr"/>
        </w:types>
        <w:behaviors>
          <w:behavior w:val="content"/>
        </w:behaviors>
        <w:guid w:val="{E786845C-6BC2-4DEE-B822-D65ED86228A1}"/>
      </w:docPartPr>
      <w:docPartBody>
        <w:p w:rsidR="00F36B20" w:rsidRDefault="00447445">
          <w:r w:rsidRPr="00C04CFD">
            <w:rPr>
              <w:rStyle w:val="PlaceholderText"/>
            </w:rPr>
            <w:t>[Status]</w:t>
          </w:r>
        </w:p>
      </w:docPartBody>
    </w:docPart>
    <w:docPart>
      <w:docPartPr>
        <w:name w:val="8CDB535349404FBD8E7FDDEF6A54EFFB"/>
        <w:category>
          <w:name w:val="General"/>
          <w:gallery w:val="placeholder"/>
        </w:category>
        <w:types>
          <w:type w:val="bbPlcHdr"/>
        </w:types>
        <w:behaviors>
          <w:behavior w:val="content"/>
        </w:behaviors>
        <w:guid w:val="{2973E4C8-5B83-4C6E-8625-FC422EC45FC7}"/>
      </w:docPartPr>
      <w:docPartBody>
        <w:p w:rsidR="00F36B20" w:rsidRDefault="00447445" w:rsidP="00447445">
          <w:pPr>
            <w:pStyle w:val="8CDB535349404FBD8E7FDDEF6A54EFFB"/>
          </w:pPr>
          <w:r w:rsidRPr="00C04CF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A45"/>
    <w:rsid w:val="00004D3E"/>
    <w:rsid w:val="000216BC"/>
    <w:rsid w:val="000244F1"/>
    <w:rsid w:val="00024D97"/>
    <w:rsid w:val="00025673"/>
    <w:rsid w:val="00027D35"/>
    <w:rsid w:val="00031C7E"/>
    <w:rsid w:val="000352C3"/>
    <w:rsid w:val="00040974"/>
    <w:rsid w:val="00043908"/>
    <w:rsid w:val="00052DDF"/>
    <w:rsid w:val="00053EA1"/>
    <w:rsid w:val="00053ED1"/>
    <w:rsid w:val="000605CB"/>
    <w:rsid w:val="00060FA8"/>
    <w:rsid w:val="00062508"/>
    <w:rsid w:val="000677CA"/>
    <w:rsid w:val="00067858"/>
    <w:rsid w:val="00075250"/>
    <w:rsid w:val="00084E90"/>
    <w:rsid w:val="00091F3C"/>
    <w:rsid w:val="00095C98"/>
    <w:rsid w:val="0009753F"/>
    <w:rsid w:val="000A1352"/>
    <w:rsid w:val="000A5EB8"/>
    <w:rsid w:val="000B4F80"/>
    <w:rsid w:val="000B5FBB"/>
    <w:rsid w:val="000C7440"/>
    <w:rsid w:val="000D02FE"/>
    <w:rsid w:val="000D4328"/>
    <w:rsid w:val="000E14EE"/>
    <w:rsid w:val="000F1955"/>
    <w:rsid w:val="000F689B"/>
    <w:rsid w:val="00103833"/>
    <w:rsid w:val="00117C93"/>
    <w:rsid w:val="0012004E"/>
    <w:rsid w:val="00145B5A"/>
    <w:rsid w:val="00174FA3"/>
    <w:rsid w:val="001770CB"/>
    <w:rsid w:val="00182B20"/>
    <w:rsid w:val="00182E3B"/>
    <w:rsid w:val="00183F29"/>
    <w:rsid w:val="00187145"/>
    <w:rsid w:val="0019011E"/>
    <w:rsid w:val="001938CB"/>
    <w:rsid w:val="001B15A4"/>
    <w:rsid w:val="001C2EBF"/>
    <w:rsid w:val="001D7CDD"/>
    <w:rsid w:val="001E063E"/>
    <w:rsid w:val="001F1A48"/>
    <w:rsid w:val="0020014D"/>
    <w:rsid w:val="002048DF"/>
    <w:rsid w:val="00213BAF"/>
    <w:rsid w:val="0023166D"/>
    <w:rsid w:val="002319D9"/>
    <w:rsid w:val="00240F44"/>
    <w:rsid w:val="002431F6"/>
    <w:rsid w:val="002550FD"/>
    <w:rsid w:val="00275A9E"/>
    <w:rsid w:val="00280707"/>
    <w:rsid w:val="00295CC8"/>
    <w:rsid w:val="002A05C9"/>
    <w:rsid w:val="002A0D70"/>
    <w:rsid w:val="002B1DE8"/>
    <w:rsid w:val="002B6E89"/>
    <w:rsid w:val="002C6DA7"/>
    <w:rsid w:val="002D225A"/>
    <w:rsid w:val="002E7957"/>
    <w:rsid w:val="0031467E"/>
    <w:rsid w:val="00333F8E"/>
    <w:rsid w:val="003420BD"/>
    <w:rsid w:val="00350199"/>
    <w:rsid w:val="00353FDB"/>
    <w:rsid w:val="0035715B"/>
    <w:rsid w:val="0036512C"/>
    <w:rsid w:val="0037239C"/>
    <w:rsid w:val="00373184"/>
    <w:rsid w:val="003839D2"/>
    <w:rsid w:val="00385FED"/>
    <w:rsid w:val="00387175"/>
    <w:rsid w:val="00396686"/>
    <w:rsid w:val="003A2D06"/>
    <w:rsid w:val="003B08B1"/>
    <w:rsid w:val="003C3A53"/>
    <w:rsid w:val="003C4663"/>
    <w:rsid w:val="003D4672"/>
    <w:rsid w:val="003E3EAF"/>
    <w:rsid w:val="003F0DEE"/>
    <w:rsid w:val="003F7C79"/>
    <w:rsid w:val="00414585"/>
    <w:rsid w:val="004224C9"/>
    <w:rsid w:val="00435C92"/>
    <w:rsid w:val="00447445"/>
    <w:rsid w:val="00451864"/>
    <w:rsid w:val="004552F6"/>
    <w:rsid w:val="004603BF"/>
    <w:rsid w:val="00461663"/>
    <w:rsid w:val="0046220A"/>
    <w:rsid w:val="004659CC"/>
    <w:rsid w:val="00470890"/>
    <w:rsid w:val="0047534B"/>
    <w:rsid w:val="0047610D"/>
    <w:rsid w:val="0048728F"/>
    <w:rsid w:val="00492D95"/>
    <w:rsid w:val="004A447C"/>
    <w:rsid w:val="004A5D97"/>
    <w:rsid w:val="004B03AE"/>
    <w:rsid w:val="004B111E"/>
    <w:rsid w:val="004C4BEB"/>
    <w:rsid w:val="004D7F65"/>
    <w:rsid w:val="004E583A"/>
    <w:rsid w:val="00501505"/>
    <w:rsid w:val="00511863"/>
    <w:rsid w:val="005167F1"/>
    <w:rsid w:val="00551610"/>
    <w:rsid w:val="00570CE6"/>
    <w:rsid w:val="00576C01"/>
    <w:rsid w:val="00587FA9"/>
    <w:rsid w:val="00590EF0"/>
    <w:rsid w:val="005913F3"/>
    <w:rsid w:val="005A53A6"/>
    <w:rsid w:val="005C0910"/>
    <w:rsid w:val="005D4FF1"/>
    <w:rsid w:val="005D6B4E"/>
    <w:rsid w:val="005D7B37"/>
    <w:rsid w:val="005E2F94"/>
    <w:rsid w:val="005E5191"/>
    <w:rsid w:val="005F494F"/>
    <w:rsid w:val="005F72D1"/>
    <w:rsid w:val="006002C9"/>
    <w:rsid w:val="00612512"/>
    <w:rsid w:val="006230AA"/>
    <w:rsid w:val="0064269B"/>
    <w:rsid w:val="00652233"/>
    <w:rsid w:val="00653E34"/>
    <w:rsid w:val="006647A0"/>
    <w:rsid w:val="0067298D"/>
    <w:rsid w:val="0068207D"/>
    <w:rsid w:val="0068362B"/>
    <w:rsid w:val="00692BCB"/>
    <w:rsid w:val="00694B7D"/>
    <w:rsid w:val="006A3BFA"/>
    <w:rsid w:val="006A3D7C"/>
    <w:rsid w:val="006B029E"/>
    <w:rsid w:val="006B7942"/>
    <w:rsid w:val="006C31D1"/>
    <w:rsid w:val="006C3E64"/>
    <w:rsid w:val="006F7531"/>
    <w:rsid w:val="00710E00"/>
    <w:rsid w:val="007154C5"/>
    <w:rsid w:val="0072154B"/>
    <w:rsid w:val="00733BF2"/>
    <w:rsid w:val="007363AA"/>
    <w:rsid w:val="0074478E"/>
    <w:rsid w:val="00750821"/>
    <w:rsid w:val="00751BA4"/>
    <w:rsid w:val="0076051B"/>
    <w:rsid w:val="00761BE8"/>
    <w:rsid w:val="007667E4"/>
    <w:rsid w:val="00767FB5"/>
    <w:rsid w:val="00782119"/>
    <w:rsid w:val="007830C9"/>
    <w:rsid w:val="007936F9"/>
    <w:rsid w:val="007A5C2F"/>
    <w:rsid w:val="007A6A57"/>
    <w:rsid w:val="007A7992"/>
    <w:rsid w:val="007B6FBC"/>
    <w:rsid w:val="007D5CB8"/>
    <w:rsid w:val="007D5CDA"/>
    <w:rsid w:val="007D6CF1"/>
    <w:rsid w:val="007F29D9"/>
    <w:rsid w:val="007F3D76"/>
    <w:rsid w:val="007F54AD"/>
    <w:rsid w:val="00804652"/>
    <w:rsid w:val="00807355"/>
    <w:rsid w:val="00811207"/>
    <w:rsid w:val="0081682E"/>
    <w:rsid w:val="00816EE7"/>
    <w:rsid w:val="00835E07"/>
    <w:rsid w:val="008431BF"/>
    <w:rsid w:val="00847194"/>
    <w:rsid w:val="0085699D"/>
    <w:rsid w:val="00886349"/>
    <w:rsid w:val="00894B9B"/>
    <w:rsid w:val="00895365"/>
    <w:rsid w:val="00896A20"/>
    <w:rsid w:val="008B4B41"/>
    <w:rsid w:val="008C0FB8"/>
    <w:rsid w:val="008C1F49"/>
    <w:rsid w:val="008C7899"/>
    <w:rsid w:val="008C7F72"/>
    <w:rsid w:val="008D7289"/>
    <w:rsid w:val="008E5DFC"/>
    <w:rsid w:val="008F2211"/>
    <w:rsid w:val="008F2268"/>
    <w:rsid w:val="00902636"/>
    <w:rsid w:val="00902B06"/>
    <w:rsid w:val="00904001"/>
    <w:rsid w:val="0091132D"/>
    <w:rsid w:val="009133A1"/>
    <w:rsid w:val="009136DD"/>
    <w:rsid w:val="0092006F"/>
    <w:rsid w:val="00920168"/>
    <w:rsid w:val="00925C02"/>
    <w:rsid w:val="00940044"/>
    <w:rsid w:val="009406C6"/>
    <w:rsid w:val="0094204D"/>
    <w:rsid w:val="00943E37"/>
    <w:rsid w:val="00952AA1"/>
    <w:rsid w:val="009567BF"/>
    <w:rsid w:val="00962DF9"/>
    <w:rsid w:val="00963778"/>
    <w:rsid w:val="00997C44"/>
    <w:rsid w:val="009A2BE9"/>
    <w:rsid w:val="009B1699"/>
    <w:rsid w:val="009B52AA"/>
    <w:rsid w:val="009F6B20"/>
    <w:rsid w:val="00A10F2E"/>
    <w:rsid w:val="00A236BB"/>
    <w:rsid w:val="00A332B8"/>
    <w:rsid w:val="00A33CBD"/>
    <w:rsid w:val="00A47071"/>
    <w:rsid w:val="00A47391"/>
    <w:rsid w:val="00A56C96"/>
    <w:rsid w:val="00A56E66"/>
    <w:rsid w:val="00A57D41"/>
    <w:rsid w:val="00A70116"/>
    <w:rsid w:val="00A74A33"/>
    <w:rsid w:val="00A80F82"/>
    <w:rsid w:val="00A92198"/>
    <w:rsid w:val="00AB7E5B"/>
    <w:rsid w:val="00AC7DE2"/>
    <w:rsid w:val="00AD15DB"/>
    <w:rsid w:val="00AD2AA5"/>
    <w:rsid w:val="00AE17DF"/>
    <w:rsid w:val="00AE79AA"/>
    <w:rsid w:val="00B01354"/>
    <w:rsid w:val="00B07C09"/>
    <w:rsid w:val="00B12ABB"/>
    <w:rsid w:val="00B150F8"/>
    <w:rsid w:val="00B17B69"/>
    <w:rsid w:val="00B204DF"/>
    <w:rsid w:val="00B22902"/>
    <w:rsid w:val="00B30EF0"/>
    <w:rsid w:val="00B45C7F"/>
    <w:rsid w:val="00B54A91"/>
    <w:rsid w:val="00B600A3"/>
    <w:rsid w:val="00B77390"/>
    <w:rsid w:val="00B8074A"/>
    <w:rsid w:val="00B81687"/>
    <w:rsid w:val="00B91FDC"/>
    <w:rsid w:val="00BC58F3"/>
    <w:rsid w:val="00BD61AA"/>
    <w:rsid w:val="00BE15AC"/>
    <w:rsid w:val="00BE461B"/>
    <w:rsid w:val="00BE7821"/>
    <w:rsid w:val="00BF5845"/>
    <w:rsid w:val="00C02D83"/>
    <w:rsid w:val="00C04307"/>
    <w:rsid w:val="00C101CA"/>
    <w:rsid w:val="00C204A1"/>
    <w:rsid w:val="00C345B1"/>
    <w:rsid w:val="00C45F9D"/>
    <w:rsid w:val="00C47040"/>
    <w:rsid w:val="00C473FA"/>
    <w:rsid w:val="00C51EDA"/>
    <w:rsid w:val="00C65917"/>
    <w:rsid w:val="00C73D56"/>
    <w:rsid w:val="00C764D6"/>
    <w:rsid w:val="00C80FBA"/>
    <w:rsid w:val="00C92CD9"/>
    <w:rsid w:val="00CA4F26"/>
    <w:rsid w:val="00CA6A26"/>
    <w:rsid w:val="00CB0161"/>
    <w:rsid w:val="00CC57C7"/>
    <w:rsid w:val="00CE6F29"/>
    <w:rsid w:val="00CF4932"/>
    <w:rsid w:val="00D01F07"/>
    <w:rsid w:val="00D035DA"/>
    <w:rsid w:val="00D10916"/>
    <w:rsid w:val="00D10F4A"/>
    <w:rsid w:val="00D42ABF"/>
    <w:rsid w:val="00D50ED9"/>
    <w:rsid w:val="00D6042C"/>
    <w:rsid w:val="00D65E76"/>
    <w:rsid w:val="00D73668"/>
    <w:rsid w:val="00D84F09"/>
    <w:rsid w:val="00DA62B3"/>
    <w:rsid w:val="00DB52B7"/>
    <w:rsid w:val="00DC5526"/>
    <w:rsid w:val="00DD08A4"/>
    <w:rsid w:val="00DD6C5E"/>
    <w:rsid w:val="00DD7BA4"/>
    <w:rsid w:val="00DE115C"/>
    <w:rsid w:val="00DE270D"/>
    <w:rsid w:val="00DE7D83"/>
    <w:rsid w:val="00DF16A5"/>
    <w:rsid w:val="00DF35D4"/>
    <w:rsid w:val="00DF37A6"/>
    <w:rsid w:val="00E06A00"/>
    <w:rsid w:val="00E146DE"/>
    <w:rsid w:val="00E1605C"/>
    <w:rsid w:val="00E21FE4"/>
    <w:rsid w:val="00E225E9"/>
    <w:rsid w:val="00E25242"/>
    <w:rsid w:val="00E25954"/>
    <w:rsid w:val="00E2653D"/>
    <w:rsid w:val="00E318CE"/>
    <w:rsid w:val="00E44F84"/>
    <w:rsid w:val="00E52799"/>
    <w:rsid w:val="00E57B90"/>
    <w:rsid w:val="00E6303A"/>
    <w:rsid w:val="00E646E1"/>
    <w:rsid w:val="00E70AC9"/>
    <w:rsid w:val="00E76D3D"/>
    <w:rsid w:val="00E82CEB"/>
    <w:rsid w:val="00E864DA"/>
    <w:rsid w:val="00EA2D86"/>
    <w:rsid w:val="00EB0561"/>
    <w:rsid w:val="00EB6A16"/>
    <w:rsid w:val="00EC7A45"/>
    <w:rsid w:val="00EE323F"/>
    <w:rsid w:val="00EE4873"/>
    <w:rsid w:val="00EE6E68"/>
    <w:rsid w:val="00EF29AD"/>
    <w:rsid w:val="00EF5B32"/>
    <w:rsid w:val="00F06326"/>
    <w:rsid w:val="00F1343F"/>
    <w:rsid w:val="00F26335"/>
    <w:rsid w:val="00F36B20"/>
    <w:rsid w:val="00F52C2B"/>
    <w:rsid w:val="00F52C55"/>
    <w:rsid w:val="00F54162"/>
    <w:rsid w:val="00F553B1"/>
    <w:rsid w:val="00F673F1"/>
    <w:rsid w:val="00F720FD"/>
    <w:rsid w:val="00F75822"/>
    <w:rsid w:val="00FA0C35"/>
    <w:rsid w:val="00FB2934"/>
    <w:rsid w:val="00FC4250"/>
    <w:rsid w:val="00FF4C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445"/>
    <w:rPr>
      <w:color w:val="808080"/>
    </w:rPr>
  </w:style>
  <w:style w:type="paragraph" w:customStyle="1" w:styleId="8CDB535349404FBD8E7FDDEF6A54EFFB">
    <w:name w:val="8CDB535349404FBD8E7FDDEF6A54EFFB"/>
    <w:rsid w:val="004474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HSE63</b:Tag>
    <b:SourceType>DocumentFromInternetSite</b:SourceType>
    <b:Guid>{7560DDF2-1D3C-4B5E-AB5A-E3DE903F23C4}</b:Guid>
    <b:URL>https://www.onr.org.uk/media/v1vi3v21/tolerability.pdf</b:URL>
    <b:Author>
      <b:Author>
        <b:Corporate>HSE</b:Corporate>
      </b:Author>
    </b:Author>
    <b:Title>The Tolerability of Risks from Nuclear Power Stations</b:Title>
    <b:Year>1988 (Revised 1992)</b:Year>
    <b:RefOrder>4</b:RefOrder>
  </b:Source>
  <b:Source>
    <b:Tag>HSE</b:Tag>
    <b:SourceType>InternetSite</b:SourceType>
    <b:Guid>{99BD74D7-D461-42F8-9168-087E58DBE309}</b:Guid>
    <b:Author>
      <b:Author>
        <b:Corporate>HSE</b:Corporate>
      </b:Author>
    </b:Author>
    <b:Title>The Radiation (Emergency Preparedness and Public Information) Regulations 2019 - Approved Code of Practice and guidance</b:Title>
    <b:URL>https://www.onr.org.uk/media/zamdzwr1/reppir-2019-acop.pdf</b:URL>
    <b:RefOrder>7</b:RefOrder>
  </b:Source>
  <b:Source>
    <b:Tag>HSE013</b:Tag>
    <b:SourceType>DocumentFromInternetSite</b:SourceType>
    <b:Guid>{A338645C-9D7D-4C3F-83AF-654E6CF61475}</b:Guid>
    <b:Title>'Reducing risks, protecting people' (R2P2): HSE’s decision-making process</b:Title>
    <b:Year>2001</b:Year>
    <b:Author>
      <b:Author>
        <b:Corporate>HSE</b:Corporate>
      </b:Author>
    </b:Author>
    <b:Publisher>HSE</b:Publisher>
    <b:URL>https://www.hse.gov.uk/enforce/expert/index.htm</b:URL>
    <b:RefOrder>5</b:RefOrder>
  </b:Source>
  <b:Source>
    <b:Tag>Off22</b:Tag>
    <b:SourceType>Book</b:SourceType>
    <b:Guid>{DB204441-4807-4056-BB64-A5D1B3457F50}</b:Guid>
    <b:Author>
      <b:Author>
        <b:Corporate>ONR</b:Corporate>
      </b:Author>
    </b:Author>
    <b:Title>Security Assessment Principles for the Civil Nuclear Industry (SyAPs)</b:Title>
    <b:Year>2022</b:Year>
    <b:RefOrder>1</b:RefOrder>
  </b:Source>
  <b:Source>
    <b:Tag>Off25</b:Tag>
    <b:SourceType>Book</b:SourceType>
    <b:Guid>{221C6DED-E0B4-43E0-8323-684D1505350B}</b:Guid>
    <b:Author>
      <b:Author>
        <b:Corporate>ONR</b:Corporate>
      </b:Author>
    </b:Author>
    <b:Title>Nuclear Material Accountancy, Control and Safeguards Assessment Principles (ONMACS)</b:Title>
    <b:Year>2025</b:Year>
    <b:RefOrder>2</b:RefOrder>
  </b:Source>
  <b:Source>
    <b:Tag>IAE61</b:Tag>
    <b:SourceType>InternetSite</b:SourceType>
    <b:Guid>{1D956547-7271-431F-A2BC-5598367B3A27}</b:Guid>
    <b:Author>
      <b:Author>
        <b:Corporate>IAEA</b:Corporate>
      </b:Author>
    </b:Author>
    <b:Title>Safety Standards and Nuclear Security Series publications</b:Title>
    <b:URL>https://www.iaea.org/publications/series/all</b:URL>
    <b:RefOrder>3</b:RefOrder>
  </b:Source>
  <b:Source>
    <b:Tag>HSE181</b:Tag>
    <b:SourceType>DocumentFromInternetSite</b:SourceType>
    <b:Guid>{67D3EFB9-A959-4EA9-B35C-D8D80DACCA2B}</b:Guid>
    <b:Author>
      <b:Author>
        <b:Corporate>HSE</b:Corporate>
      </b:Author>
    </b:Author>
    <b:Title>ACoP - L121: Working with ionising radiation. Ionising Radiations Regulations 2017</b:Title>
    <b:Year>2018 (second edition)</b:Year>
    <b:URL>https://www.hse.gov.uk/pubns/books/l121.htm</b:URL>
    <b:Month>March</b:Month>
    <b:RefOrder>6</b:RefOrder>
  </b:Source>
  <b:Source>
    <b:Tag>Dep151</b:Tag>
    <b:SourceType>InternetSite</b:SourceType>
    <b:Guid>{35CC68EA-73F0-43EC-A278-5CD997DC4A68}</b:Guid>
    <b:Author>
      <b:Author>
        <b:Corporate>Department for Energy Security and Net Zero</b:Corporate>
      </b:Author>
    </b:Author>
    <b:Title>National Nuclear Emergency Planning and Response Guidance</b:Title>
    <b:Year>2015</b:Year>
    <b:Month>October</b:Month>
    <b:Day>29</b:Day>
    <b:URL>https://www.gov.uk/government/publications/national-nuclear-emergency-planning-and-response-guidance</b:URL>
    <b:RefOrder>8</b:RefOrder>
  </b:Source>
</b:Sourc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A9750D-4A0F-4945-B1C2-31DF753D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3AD913-2755-4002-8AA4-FD4233BEE664}">
  <ds:schemaRefs>
    <ds:schemaRef ds:uri="Microsoft.SharePoint.Taxonomy.ContentTypeSync"/>
  </ds:schemaRefs>
</ds:datastoreItem>
</file>

<file path=customXml/itemProps4.xml><?xml version="1.0" encoding="utf-8"?>
<ds:datastoreItem xmlns:ds="http://schemas.openxmlformats.org/officeDocument/2006/customXml" ds:itemID="{6FAF0D80-C25A-484B-8422-7AD6275F8E7A}">
  <ds:schemaRefs>
    <ds:schemaRef ds:uri="http://schemas.microsoft.com/sharepoint/events"/>
  </ds:schemaRefs>
</ds:datastoreItem>
</file>

<file path=customXml/itemProps5.xml><?xml version="1.0" encoding="utf-8"?>
<ds:datastoreItem xmlns:ds="http://schemas.openxmlformats.org/officeDocument/2006/customXml" ds:itemID="{C2D55BAA-9CB6-4129-B54A-4F19E2276A02}">
  <ds:schemaRefs>
    <ds:schemaRef ds:uri="http://schemas.microsoft.com/sharepoint/v3/contenttype/forms"/>
  </ds:schemaRefs>
</ds:datastoreItem>
</file>

<file path=customXml/itemProps6.xml><?xml version="1.0" encoding="utf-8"?>
<ds:datastoreItem xmlns:ds="http://schemas.openxmlformats.org/officeDocument/2006/customXml" ds:itemID="{FF66F4B1-89BC-4112-A329-833EB669ED92}">
  <ds:schemaRefs>
    <ds:schemaRef ds:uri="http://schemas.openxmlformats.org/officeDocument/2006/bibliography"/>
  </ds:schemaRefs>
</ds:datastoreItem>
</file>

<file path=customXml/itemProps7.xml><?xml version="1.0" encoding="utf-8"?>
<ds:datastoreItem xmlns:ds="http://schemas.openxmlformats.org/officeDocument/2006/customXml" ds:itemID="{5B0FB07A-1E4C-4671-84E9-8486F424AFBE}">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38622</Words>
  <Characters>220146</Characters>
  <Application>Microsoft Office Word</Application>
  <DocSecurity>4</DocSecurity>
  <Lines>1834</Lines>
  <Paragraphs>516</Paragraphs>
  <ScaleCrop>false</ScaleCrop>
  <Manager/>
  <Company/>
  <LinksUpToDate>false</LinksUpToDate>
  <CharactersWithSpaces>258252</CharactersWithSpaces>
  <SharedDoc>false</SharedDoc>
  <HLinks>
    <vt:vector size="210" baseType="variant">
      <vt:variant>
        <vt:i4>7536673</vt:i4>
      </vt:variant>
      <vt:variant>
        <vt:i4>183</vt:i4>
      </vt:variant>
      <vt:variant>
        <vt:i4>0</vt:i4>
      </vt:variant>
      <vt:variant>
        <vt:i4>5</vt:i4>
      </vt:variant>
      <vt:variant>
        <vt:lpwstr>http://www.onr.org.uk/copyright</vt:lpwstr>
      </vt:variant>
      <vt:variant>
        <vt:lpwstr/>
      </vt:variant>
      <vt:variant>
        <vt:i4>3932223</vt:i4>
      </vt:variant>
      <vt:variant>
        <vt:i4>180</vt:i4>
      </vt:variant>
      <vt:variant>
        <vt:i4>0</vt:i4>
      </vt:variant>
      <vt:variant>
        <vt:i4>5</vt:i4>
      </vt:variant>
      <vt:variant>
        <vt:lpwstr>https://www.nationalarchives.gov.uk/doc/open-government-licence/version/3/</vt:lpwstr>
      </vt:variant>
      <vt:variant>
        <vt:lpwstr/>
      </vt:variant>
      <vt:variant>
        <vt:i4>4456513</vt:i4>
      </vt:variant>
      <vt:variant>
        <vt:i4>177</vt:i4>
      </vt:variant>
      <vt:variant>
        <vt:i4>0</vt:i4>
      </vt:variant>
      <vt:variant>
        <vt:i4>5</vt:i4>
      </vt:variant>
      <vt:variant>
        <vt:lpwstr>https://www.gov.uk/government/publications/national-nuclear-emergency-planning-and-response-guidance</vt:lpwstr>
      </vt:variant>
      <vt:variant>
        <vt:lpwstr/>
      </vt:variant>
      <vt:variant>
        <vt:i4>2818148</vt:i4>
      </vt:variant>
      <vt:variant>
        <vt:i4>174</vt:i4>
      </vt:variant>
      <vt:variant>
        <vt:i4>0</vt:i4>
      </vt:variant>
      <vt:variant>
        <vt:i4>5</vt:i4>
      </vt:variant>
      <vt:variant>
        <vt:lpwstr>https://www.onr.org.uk/media/zamdzwr1/reppir-2019-acop.pdf</vt:lpwstr>
      </vt:variant>
      <vt:variant>
        <vt:lpwstr/>
      </vt:variant>
      <vt:variant>
        <vt:i4>1769555</vt:i4>
      </vt:variant>
      <vt:variant>
        <vt:i4>171</vt:i4>
      </vt:variant>
      <vt:variant>
        <vt:i4>0</vt:i4>
      </vt:variant>
      <vt:variant>
        <vt:i4>5</vt:i4>
      </vt:variant>
      <vt:variant>
        <vt:lpwstr>https://www.hse.gov.uk/pubns/priced/l121.pdf</vt:lpwstr>
      </vt:variant>
      <vt:variant>
        <vt:lpwstr/>
      </vt:variant>
      <vt:variant>
        <vt:i4>7012425</vt:i4>
      </vt:variant>
      <vt:variant>
        <vt:i4>168</vt:i4>
      </vt:variant>
      <vt:variant>
        <vt:i4>0</vt:i4>
      </vt:variant>
      <vt:variant>
        <vt:i4>5</vt:i4>
      </vt:variant>
      <vt:variant>
        <vt:lpwstr>https://assets.publishing.service.gov.uk/media/6693ad9e49b9c0597fdafc36/IQ8.10.J_Document_9_Health_and_Safety_Executive__Reducing_risks__protecting_people__HSE_s_decision-making_process__2001.pdf</vt:lpwstr>
      </vt:variant>
      <vt:variant>
        <vt:lpwstr/>
      </vt:variant>
      <vt:variant>
        <vt:i4>8192105</vt:i4>
      </vt:variant>
      <vt:variant>
        <vt:i4>165</vt:i4>
      </vt:variant>
      <vt:variant>
        <vt:i4>0</vt:i4>
      </vt:variant>
      <vt:variant>
        <vt:i4>5</vt:i4>
      </vt:variant>
      <vt:variant>
        <vt:lpwstr>https://www.onr.org.uk/media/v1vi3v21/tolerability.pdf</vt:lpwstr>
      </vt:variant>
      <vt:variant>
        <vt:lpwstr/>
      </vt:variant>
      <vt:variant>
        <vt:i4>7143525</vt:i4>
      </vt:variant>
      <vt:variant>
        <vt:i4>162</vt:i4>
      </vt:variant>
      <vt:variant>
        <vt:i4>0</vt:i4>
      </vt:variant>
      <vt:variant>
        <vt:i4>5</vt:i4>
      </vt:variant>
      <vt:variant>
        <vt:lpwstr>https://nucleus-apps.iaea.org/nss-oui/collections/publishedcollections</vt:lpwstr>
      </vt:variant>
      <vt:variant>
        <vt:lpwstr/>
      </vt:variant>
      <vt:variant>
        <vt:i4>6422650</vt:i4>
      </vt:variant>
      <vt:variant>
        <vt:i4>159</vt:i4>
      </vt:variant>
      <vt:variant>
        <vt:i4>0</vt:i4>
      </vt:variant>
      <vt:variant>
        <vt:i4>5</vt:i4>
      </vt:variant>
      <vt:variant>
        <vt:lpwstr>https://view.officeapps.live.com/op/view.aspx?src=https%3A%2F%2Fwww.onr.org.uk%2Fmedia%2Fwawbf3li%2Fonr-saf-fw-001.docx&amp;wdOrigin=BROWSELINK</vt:lpwstr>
      </vt:variant>
      <vt:variant>
        <vt:lpwstr/>
      </vt:variant>
      <vt:variant>
        <vt:i4>4</vt:i4>
      </vt:variant>
      <vt:variant>
        <vt:i4>156</vt:i4>
      </vt:variant>
      <vt:variant>
        <vt:i4>0</vt:i4>
      </vt:variant>
      <vt:variant>
        <vt:i4>5</vt:i4>
      </vt:variant>
      <vt:variant>
        <vt:lpwstr>https://www.onr.org.uk/media/g05fszjn/security-assessment-principles.pdf</vt:lpwstr>
      </vt:variant>
      <vt:variant>
        <vt:lpwstr/>
      </vt:variant>
      <vt:variant>
        <vt:i4>1048627</vt:i4>
      </vt:variant>
      <vt:variant>
        <vt:i4>137</vt:i4>
      </vt:variant>
      <vt:variant>
        <vt:i4>0</vt:i4>
      </vt:variant>
      <vt:variant>
        <vt:i4>5</vt:i4>
      </vt:variant>
      <vt:variant>
        <vt:lpwstr/>
      </vt:variant>
      <vt:variant>
        <vt:lpwstr>_Toc233121043</vt:lpwstr>
      </vt:variant>
      <vt:variant>
        <vt:i4>1048627</vt:i4>
      </vt:variant>
      <vt:variant>
        <vt:i4>131</vt:i4>
      </vt:variant>
      <vt:variant>
        <vt:i4>0</vt:i4>
      </vt:variant>
      <vt:variant>
        <vt:i4>5</vt:i4>
      </vt:variant>
      <vt:variant>
        <vt:lpwstr/>
      </vt:variant>
      <vt:variant>
        <vt:lpwstr>_Toc233121042</vt:lpwstr>
      </vt:variant>
      <vt:variant>
        <vt:i4>1048627</vt:i4>
      </vt:variant>
      <vt:variant>
        <vt:i4>125</vt:i4>
      </vt:variant>
      <vt:variant>
        <vt:i4>0</vt:i4>
      </vt:variant>
      <vt:variant>
        <vt:i4>5</vt:i4>
      </vt:variant>
      <vt:variant>
        <vt:lpwstr/>
      </vt:variant>
      <vt:variant>
        <vt:lpwstr>_Toc233121041</vt:lpwstr>
      </vt:variant>
      <vt:variant>
        <vt:i4>1048627</vt:i4>
      </vt:variant>
      <vt:variant>
        <vt:i4>119</vt:i4>
      </vt:variant>
      <vt:variant>
        <vt:i4>0</vt:i4>
      </vt:variant>
      <vt:variant>
        <vt:i4>5</vt:i4>
      </vt:variant>
      <vt:variant>
        <vt:lpwstr/>
      </vt:variant>
      <vt:variant>
        <vt:lpwstr>_Toc233121040</vt:lpwstr>
      </vt:variant>
      <vt:variant>
        <vt:i4>1507379</vt:i4>
      </vt:variant>
      <vt:variant>
        <vt:i4>113</vt:i4>
      </vt:variant>
      <vt:variant>
        <vt:i4>0</vt:i4>
      </vt:variant>
      <vt:variant>
        <vt:i4>5</vt:i4>
      </vt:variant>
      <vt:variant>
        <vt:lpwstr/>
      </vt:variant>
      <vt:variant>
        <vt:lpwstr>_Toc233121039</vt:lpwstr>
      </vt:variant>
      <vt:variant>
        <vt:i4>1507379</vt:i4>
      </vt:variant>
      <vt:variant>
        <vt:i4>107</vt:i4>
      </vt:variant>
      <vt:variant>
        <vt:i4>0</vt:i4>
      </vt:variant>
      <vt:variant>
        <vt:i4>5</vt:i4>
      </vt:variant>
      <vt:variant>
        <vt:lpwstr/>
      </vt:variant>
      <vt:variant>
        <vt:lpwstr>_Toc233121038</vt:lpwstr>
      </vt:variant>
      <vt:variant>
        <vt:i4>1507379</vt:i4>
      </vt:variant>
      <vt:variant>
        <vt:i4>101</vt:i4>
      </vt:variant>
      <vt:variant>
        <vt:i4>0</vt:i4>
      </vt:variant>
      <vt:variant>
        <vt:i4>5</vt:i4>
      </vt:variant>
      <vt:variant>
        <vt:lpwstr/>
      </vt:variant>
      <vt:variant>
        <vt:lpwstr>_Toc233121037</vt:lpwstr>
      </vt:variant>
      <vt:variant>
        <vt:i4>1507379</vt:i4>
      </vt:variant>
      <vt:variant>
        <vt:i4>95</vt:i4>
      </vt:variant>
      <vt:variant>
        <vt:i4>0</vt:i4>
      </vt:variant>
      <vt:variant>
        <vt:i4>5</vt:i4>
      </vt:variant>
      <vt:variant>
        <vt:lpwstr/>
      </vt:variant>
      <vt:variant>
        <vt:lpwstr>_Toc233121036</vt:lpwstr>
      </vt:variant>
      <vt:variant>
        <vt:i4>1507379</vt:i4>
      </vt:variant>
      <vt:variant>
        <vt:i4>89</vt:i4>
      </vt:variant>
      <vt:variant>
        <vt:i4>0</vt:i4>
      </vt:variant>
      <vt:variant>
        <vt:i4>5</vt:i4>
      </vt:variant>
      <vt:variant>
        <vt:lpwstr/>
      </vt:variant>
      <vt:variant>
        <vt:lpwstr>_Toc233121035</vt:lpwstr>
      </vt:variant>
      <vt:variant>
        <vt:i4>1507379</vt:i4>
      </vt:variant>
      <vt:variant>
        <vt:i4>83</vt:i4>
      </vt:variant>
      <vt:variant>
        <vt:i4>0</vt:i4>
      </vt:variant>
      <vt:variant>
        <vt:i4>5</vt:i4>
      </vt:variant>
      <vt:variant>
        <vt:lpwstr/>
      </vt:variant>
      <vt:variant>
        <vt:lpwstr>_Toc233121034</vt:lpwstr>
      </vt:variant>
      <vt:variant>
        <vt:i4>1507379</vt:i4>
      </vt:variant>
      <vt:variant>
        <vt:i4>77</vt:i4>
      </vt:variant>
      <vt:variant>
        <vt:i4>0</vt:i4>
      </vt:variant>
      <vt:variant>
        <vt:i4>5</vt:i4>
      </vt:variant>
      <vt:variant>
        <vt:lpwstr/>
      </vt:variant>
      <vt:variant>
        <vt:lpwstr>_Toc233121033</vt:lpwstr>
      </vt:variant>
      <vt:variant>
        <vt:i4>1507379</vt:i4>
      </vt:variant>
      <vt:variant>
        <vt:i4>71</vt:i4>
      </vt:variant>
      <vt:variant>
        <vt:i4>0</vt:i4>
      </vt:variant>
      <vt:variant>
        <vt:i4>5</vt:i4>
      </vt:variant>
      <vt:variant>
        <vt:lpwstr/>
      </vt:variant>
      <vt:variant>
        <vt:lpwstr>_Toc233121032</vt:lpwstr>
      </vt:variant>
      <vt:variant>
        <vt:i4>1507379</vt:i4>
      </vt:variant>
      <vt:variant>
        <vt:i4>65</vt:i4>
      </vt:variant>
      <vt:variant>
        <vt:i4>0</vt:i4>
      </vt:variant>
      <vt:variant>
        <vt:i4>5</vt:i4>
      </vt:variant>
      <vt:variant>
        <vt:lpwstr/>
      </vt:variant>
      <vt:variant>
        <vt:lpwstr>_Toc233121031</vt:lpwstr>
      </vt:variant>
      <vt:variant>
        <vt:i4>1507379</vt:i4>
      </vt:variant>
      <vt:variant>
        <vt:i4>59</vt:i4>
      </vt:variant>
      <vt:variant>
        <vt:i4>0</vt:i4>
      </vt:variant>
      <vt:variant>
        <vt:i4>5</vt:i4>
      </vt:variant>
      <vt:variant>
        <vt:lpwstr/>
      </vt:variant>
      <vt:variant>
        <vt:lpwstr>_Toc233121030</vt:lpwstr>
      </vt:variant>
      <vt:variant>
        <vt:i4>1441843</vt:i4>
      </vt:variant>
      <vt:variant>
        <vt:i4>53</vt:i4>
      </vt:variant>
      <vt:variant>
        <vt:i4>0</vt:i4>
      </vt:variant>
      <vt:variant>
        <vt:i4>5</vt:i4>
      </vt:variant>
      <vt:variant>
        <vt:lpwstr/>
      </vt:variant>
      <vt:variant>
        <vt:lpwstr>_Toc233121029</vt:lpwstr>
      </vt:variant>
      <vt:variant>
        <vt:i4>1441843</vt:i4>
      </vt:variant>
      <vt:variant>
        <vt:i4>47</vt:i4>
      </vt:variant>
      <vt:variant>
        <vt:i4>0</vt:i4>
      </vt:variant>
      <vt:variant>
        <vt:i4>5</vt:i4>
      </vt:variant>
      <vt:variant>
        <vt:lpwstr/>
      </vt:variant>
      <vt:variant>
        <vt:lpwstr>_Toc233121028</vt:lpwstr>
      </vt:variant>
      <vt:variant>
        <vt:i4>1441843</vt:i4>
      </vt:variant>
      <vt:variant>
        <vt:i4>41</vt:i4>
      </vt:variant>
      <vt:variant>
        <vt:i4>0</vt:i4>
      </vt:variant>
      <vt:variant>
        <vt:i4>5</vt:i4>
      </vt:variant>
      <vt:variant>
        <vt:lpwstr/>
      </vt:variant>
      <vt:variant>
        <vt:lpwstr>_Toc233121027</vt:lpwstr>
      </vt:variant>
      <vt:variant>
        <vt:i4>1441843</vt:i4>
      </vt:variant>
      <vt:variant>
        <vt:i4>35</vt:i4>
      </vt:variant>
      <vt:variant>
        <vt:i4>0</vt:i4>
      </vt:variant>
      <vt:variant>
        <vt:i4>5</vt:i4>
      </vt:variant>
      <vt:variant>
        <vt:lpwstr/>
      </vt:variant>
      <vt:variant>
        <vt:lpwstr>_Toc233121026</vt:lpwstr>
      </vt:variant>
      <vt:variant>
        <vt:i4>1441843</vt:i4>
      </vt:variant>
      <vt:variant>
        <vt:i4>29</vt:i4>
      </vt:variant>
      <vt:variant>
        <vt:i4>0</vt:i4>
      </vt:variant>
      <vt:variant>
        <vt:i4>5</vt:i4>
      </vt:variant>
      <vt:variant>
        <vt:lpwstr/>
      </vt:variant>
      <vt:variant>
        <vt:lpwstr>_Toc233121025</vt:lpwstr>
      </vt:variant>
      <vt:variant>
        <vt:i4>1441843</vt:i4>
      </vt:variant>
      <vt:variant>
        <vt:i4>23</vt:i4>
      </vt:variant>
      <vt:variant>
        <vt:i4>0</vt:i4>
      </vt:variant>
      <vt:variant>
        <vt:i4>5</vt:i4>
      </vt:variant>
      <vt:variant>
        <vt:lpwstr/>
      </vt:variant>
      <vt:variant>
        <vt:lpwstr>_Toc233121024</vt:lpwstr>
      </vt:variant>
      <vt:variant>
        <vt:i4>1441843</vt:i4>
      </vt:variant>
      <vt:variant>
        <vt:i4>17</vt:i4>
      </vt:variant>
      <vt:variant>
        <vt:i4>0</vt:i4>
      </vt:variant>
      <vt:variant>
        <vt:i4>5</vt:i4>
      </vt:variant>
      <vt:variant>
        <vt:lpwstr/>
      </vt:variant>
      <vt:variant>
        <vt:lpwstr>_Toc233121023</vt:lpwstr>
      </vt:variant>
      <vt:variant>
        <vt:i4>1441843</vt:i4>
      </vt:variant>
      <vt:variant>
        <vt:i4>11</vt:i4>
      </vt:variant>
      <vt:variant>
        <vt:i4>0</vt:i4>
      </vt:variant>
      <vt:variant>
        <vt:i4>5</vt:i4>
      </vt:variant>
      <vt:variant>
        <vt:lpwstr/>
      </vt:variant>
      <vt:variant>
        <vt:lpwstr>_Toc233121022</vt:lpwstr>
      </vt:variant>
      <vt:variant>
        <vt:i4>6750303</vt:i4>
      </vt:variant>
      <vt:variant>
        <vt:i4>6</vt:i4>
      </vt:variant>
      <vt:variant>
        <vt:i4>0</vt:i4>
      </vt:variant>
      <vt:variant>
        <vt:i4>5</vt:i4>
      </vt:variant>
      <vt:variant>
        <vt:lpwstr/>
      </vt:variant>
      <vt:variant>
        <vt:lpwstr>_Abbreviations</vt:lpwstr>
      </vt:variant>
      <vt:variant>
        <vt:i4>589857</vt:i4>
      </vt:variant>
      <vt:variant>
        <vt:i4>3</vt:i4>
      </vt:variant>
      <vt:variant>
        <vt:i4>0</vt:i4>
      </vt:variant>
      <vt:variant>
        <vt:i4>5</vt:i4>
      </vt:variant>
      <vt:variant>
        <vt:lpwstr/>
      </vt:variant>
      <vt:variant>
        <vt:lpwstr>_Glossary</vt:lpwstr>
      </vt:variant>
      <vt:variant>
        <vt:i4>5898341</vt:i4>
      </vt:variant>
      <vt:variant>
        <vt:i4>0</vt:i4>
      </vt:variant>
      <vt:variant>
        <vt:i4>0</vt:i4>
      </vt:variant>
      <vt:variant>
        <vt:i4>5</vt:i4>
      </vt:variant>
      <vt:variant>
        <vt:lpwstr/>
      </vt:variant>
      <vt:variant>
        <vt:lpwstr>_SAPs_revision_history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2026-07-24T10:13:00Z</dcterms:created>
  <dcterms:modified xsi:type="dcterms:W3CDTF">2026-07-24T10:13:00Z</dcterms:modified>
  <cp:contentStatus>0 (For consultation)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2026-07-22T16:18:48Z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5c5c20bd-018c-47e5-beff-b32bb0cd5675</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y fmtid="{D5CDD505-2E9C-101B-9397-08002B2CF9AE}" pid="10" name="ContentTypeId">
    <vt:lpwstr>0x0101000C70A82DFAAC384DB9F6EBA2C8B87C5700D27B61D2EA57AC4F87A5F2CF441D8227</vt:lpwstr>
  </property>
</Properties>
</file>