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7832CDB2" w:rsidR="00595C8C" w:rsidRPr="00595C8C" w:rsidRDefault="00595C8C" w:rsidP="00595C8C">
            <w:pPr>
              <w:pStyle w:val="InnerCoverTitle"/>
              <w:rPr>
                <w:sz w:val="36"/>
                <w:szCs w:val="36"/>
              </w:rPr>
            </w:pPr>
            <w:r w:rsidRPr="00595C8C">
              <w:rPr>
                <w:sz w:val="36"/>
                <w:szCs w:val="36"/>
              </w:rPr>
              <w:t xml:space="preserve">ONR </w:t>
            </w:r>
            <w:r w:rsidR="000950B3">
              <w:rPr>
                <w:sz w:val="36"/>
                <w:szCs w:val="36"/>
              </w:rPr>
              <w:t>Technical Assessment Guide</w:t>
            </w:r>
          </w:p>
          <w:p w14:paraId="7C4EA414" w14:textId="1976A383" w:rsidR="00D0226A" w:rsidRPr="001E03E1" w:rsidRDefault="00000000" w:rsidP="001E03E1">
            <w:pPr>
              <w:pStyle w:val="CoverTitle"/>
              <w:rPr>
                <w:szCs w:val="90"/>
              </w:rPr>
            </w:pPr>
            <w:sdt>
              <w:sdtPr>
                <w:rPr>
                  <w:sz w:val="52"/>
                  <w:szCs w:val="52"/>
                </w:rPr>
                <w:id w:val="1228188510"/>
                <w:placeholder>
                  <w:docPart w:val="DefaultPlaceholder_-1854013440"/>
                </w:placeholder>
              </w:sdtPr>
              <w:sdtEndPr>
                <w:rPr>
                  <w:sz w:val="72"/>
                  <w:szCs w:val="72"/>
                </w:rPr>
              </w:sdtEndPr>
              <w:sdtContent>
                <w:sdt>
                  <w:sdtPr>
                    <w:rPr>
                      <w:sz w:val="52"/>
                      <w:szCs w:val="52"/>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ED2225">
                      <w:rPr>
                        <w:sz w:val="52"/>
                        <w:szCs w:val="52"/>
                      </w:rPr>
                      <w:t>External Hazards</w:t>
                    </w:r>
                  </w:sdtContent>
                </w:sdt>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58240"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FC2DA37" w:rsidR="00004C16" w:rsidRPr="00136064" w:rsidRDefault="00004C16" w:rsidP="00004C16">
      <w:pPr>
        <w:rPr>
          <w:color w:val="22413A"/>
          <w:sz w:val="36"/>
          <w:szCs w:val="36"/>
        </w:rPr>
      </w:pPr>
      <w:r w:rsidRPr="00136064">
        <w:rPr>
          <w:color w:val="22413A"/>
          <w:sz w:val="36"/>
          <w:szCs w:val="36"/>
        </w:rPr>
        <w:lastRenderedPageBreak/>
        <w:t xml:space="preserve">ONR </w:t>
      </w:r>
      <w:r w:rsidR="000950B3" w:rsidRPr="00136064">
        <w:rPr>
          <w:color w:val="22413A"/>
          <w:sz w:val="36"/>
          <w:szCs w:val="36"/>
        </w:rPr>
        <w:t>Technical Assessment Guide</w:t>
      </w:r>
      <w:r w:rsidR="007C0AD9" w:rsidRPr="00136064">
        <w:rPr>
          <w:color w:val="22413A"/>
          <w:sz w:val="36"/>
          <w:szCs w:val="36"/>
        </w:rPr>
        <w:t xml:space="preserve"> (TAG)</w:t>
      </w:r>
    </w:p>
    <w:p w14:paraId="297D790E" w14:textId="733FA17A" w:rsidR="00004C16" w:rsidRPr="00F63AA5" w:rsidRDefault="00000000" w:rsidP="00004C16">
      <w:pPr>
        <w:rPr>
          <w:sz w:val="18"/>
          <w:szCs w:val="16"/>
        </w:rPr>
      </w:pPr>
      <w:sdt>
        <w:sdtPr>
          <w:rPr>
            <w:rStyle w:val="Style2"/>
            <w:sz w:val="36"/>
            <w:szCs w:val="16"/>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rPr>
        </w:sdtEndPr>
        <w:sdtContent>
          <w:r w:rsidR="00425CD1">
            <w:rPr>
              <w:rStyle w:val="Style2"/>
              <w:sz w:val="36"/>
              <w:szCs w:val="16"/>
            </w:rPr>
            <w:t>External Hazards</w:t>
          </w:r>
        </w:sdtContent>
      </w:sdt>
    </w:p>
    <w:p w14:paraId="61A25C0F" w14:textId="77777777" w:rsidR="00004C16" w:rsidRDefault="00004C16" w:rsidP="00004C16">
      <w:pPr>
        <w:rPr>
          <w:sz w:val="28"/>
          <w:szCs w:val="28"/>
        </w:rPr>
      </w:pPr>
    </w:p>
    <w:p w14:paraId="4C7A948F" w14:textId="193D1B70" w:rsidR="00245A0D" w:rsidRPr="00004C16" w:rsidRDefault="00245A0D" w:rsidP="00245A0D">
      <w:pPr>
        <w:rPr>
          <w:sz w:val="28"/>
          <w:szCs w:val="28"/>
        </w:rPr>
      </w:pPr>
      <w:r w:rsidRPr="00004C16">
        <w:rPr>
          <w:sz w:val="28"/>
          <w:szCs w:val="28"/>
        </w:rPr>
        <w:t>Authored by</w:t>
      </w:r>
      <w:r w:rsidR="00CE1DB2">
        <w:rPr>
          <w:sz w:val="28"/>
          <w:szCs w:val="28"/>
        </w:rPr>
        <w:t>:</w:t>
      </w:r>
      <w:r w:rsidRPr="00004C16">
        <w:rPr>
          <w:sz w:val="28"/>
          <w:szCs w:val="28"/>
        </w:rPr>
        <w:t xml:space="preserve"> </w:t>
      </w:r>
      <w:r w:rsidR="001747CE">
        <w:rPr>
          <w:sz w:val="28"/>
          <w:szCs w:val="28"/>
        </w:rPr>
        <w:t xml:space="preserve">Inspector </w:t>
      </w:r>
      <w:r w:rsidR="00E16C3E">
        <w:rPr>
          <w:sz w:val="28"/>
          <w:szCs w:val="28"/>
        </w:rPr>
        <w:t>Nuclear Safety</w:t>
      </w:r>
    </w:p>
    <w:p w14:paraId="15A21CF3" w14:textId="7F6FA49B" w:rsidR="00245A0D" w:rsidRDefault="00245A0D" w:rsidP="00245A0D">
      <w:pPr>
        <w:rPr>
          <w:sz w:val="28"/>
          <w:szCs w:val="28"/>
        </w:rPr>
      </w:pPr>
      <w:r w:rsidRPr="00004C16">
        <w:rPr>
          <w:sz w:val="28"/>
          <w:szCs w:val="28"/>
        </w:rPr>
        <w:t>Approved by</w:t>
      </w:r>
      <w:r w:rsidR="00CE1DB2">
        <w:rPr>
          <w:sz w:val="28"/>
          <w:szCs w:val="28"/>
        </w:rPr>
        <w:t>:</w:t>
      </w:r>
      <w:r w:rsidRPr="00004C16">
        <w:rPr>
          <w:sz w:val="28"/>
          <w:szCs w:val="28"/>
        </w:rPr>
        <w:t xml:space="preserve"> </w:t>
      </w:r>
      <w:r w:rsidR="00E16C3E">
        <w:rPr>
          <w:sz w:val="28"/>
          <w:szCs w:val="28"/>
        </w:rPr>
        <w:t>Principal Inspector</w:t>
      </w:r>
      <w:r w:rsidR="001747CE">
        <w:rPr>
          <w:sz w:val="28"/>
          <w:szCs w:val="28"/>
        </w:rPr>
        <w:t xml:space="preserve"> Nuclear Safety</w:t>
      </w:r>
    </w:p>
    <w:p w14:paraId="29270FF3" w14:textId="5654822F" w:rsidR="00CE1DB2" w:rsidRDefault="00CE1DB2" w:rsidP="00245A0D">
      <w:pPr>
        <w:rPr>
          <w:sz w:val="28"/>
          <w:szCs w:val="28"/>
        </w:rPr>
      </w:pPr>
      <w:r>
        <w:rPr>
          <w:sz w:val="28"/>
          <w:szCs w:val="28"/>
        </w:rPr>
        <w:t xml:space="preserve">Professional Lead: </w:t>
      </w:r>
      <w:r w:rsidR="00136064">
        <w:rPr>
          <w:sz w:val="28"/>
          <w:szCs w:val="28"/>
        </w:rPr>
        <w:t xml:space="preserve">Professional Lead – </w:t>
      </w:r>
      <w:r w:rsidR="001747CE">
        <w:rPr>
          <w:sz w:val="28"/>
          <w:szCs w:val="28"/>
        </w:rPr>
        <w:t>Civil Engineering &amp; External Hazards</w:t>
      </w:r>
      <w:r w:rsidR="00136064">
        <w:rPr>
          <w:sz w:val="28"/>
          <w:szCs w:val="28"/>
        </w:rPr>
        <w:t xml:space="preserve"> </w:t>
      </w:r>
    </w:p>
    <w:p w14:paraId="3ADDCB72" w14:textId="77777777" w:rsidR="000950B3" w:rsidRPr="00004C16" w:rsidRDefault="000950B3" w:rsidP="00004C16">
      <w:pPr>
        <w:rPr>
          <w:sz w:val="28"/>
          <w:szCs w:val="28"/>
        </w:rPr>
      </w:pPr>
    </w:p>
    <w:p w14:paraId="247E3769" w14:textId="0FA856D9" w:rsid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C10C99">
            <w:rPr>
              <w:sz w:val="28"/>
              <w:szCs w:val="28"/>
            </w:rPr>
            <w:t>9</w:t>
          </w:r>
        </w:sdtContent>
      </w:sdt>
    </w:p>
    <w:p w14:paraId="19206F45" w14:textId="3294C73F" w:rsidR="00004C16" w:rsidRDefault="00004C16" w:rsidP="00004C16">
      <w:pPr>
        <w:rPr>
          <w:sz w:val="28"/>
          <w:szCs w:val="28"/>
        </w:rPr>
      </w:pPr>
      <w:r w:rsidRPr="00004C16">
        <w:rPr>
          <w:sz w:val="28"/>
          <w:szCs w:val="28"/>
        </w:rPr>
        <w:t xml:space="preserve">Publication Date: </w:t>
      </w:r>
      <w:r w:rsidR="00147911">
        <w:rPr>
          <w:sz w:val="28"/>
          <w:szCs w:val="28"/>
        </w:rPr>
        <w:t>Oct</w:t>
      </w:r>
      <w:r w:rsidRPr="00245A0D">
        <w:rPr>
          <w:sz w:val="28"/>
          <w:szCs w:val="28"/>
        </w:rPr>
        <w:t>-</w:t>
      </w:r>
      <w:r w:rsidR="00ED2225">
        <w:rPr>
          <w:sz w:val="28"/>
          <w:szCs w:val="28"/>
        </w:rPr>
        <w:t>23</w:t>
      </w:r>
    </w:p>
    <w:p w14:paraId="06A6B3A5" w14:textId="315CE9A3" w:rsidR="00E57DB9" w:rsidRDefault="00E57DB9" w:rsidP="00E57DB9">
      <w:pPr>
        <w:rPr>
          <w:sz w:val="28"/>
          <w:szCs w:val="28"/>
        </w:rPr>
      </w:pPr>
      <w:r>
        <w:rPr>
          <w:sz w:val="28"/>
          <w:szCs w:val="28"/>
        </w:rPr>
        <w:t>Next Major Review Date:</w:t>
      </w:r>
      <w:r w:rsidR="00AE4F54">
        <w:rPr>
          <w:sz w:val="28"/>
          <w:szCs w:val="28"/>
        </w:rPr>
        <w:t xml:space="preserve"> </w:t>
      </w:r>
      <w:r w:rsidR="00147911">
        <w:rPr>
          <w:sz w:val="28"/>
          <w:szCs w:val="28"/>
        </w:rPr>
        <w:t>Oct</w:t>
      </w:r>
      <w:r>
        <w:rPr>
          <w:sz w:val="28"/>
          <w:szCs w:val="28"/>
        </w:rPr>
        <w:t>-</w:t>
      </w:r>
      <w:r w:rsidR="00ED2225">
        <w:rPr>
          <w:sz w:val="28"/>
          <w:szCs w:val="28"/>
        </w:rPr>
        <w:t>28</w:t>
      </w:r>
    </w:p>
    <w:p w14:paraId="7BCD15D0" w14:textId="146EEC47" w:rsidR="007D5CA8" w:rsidRDefault="00347CA8" w:rsidP="00E57DB9">
      <w:pPr>
        <w:rPr>
          <w:sz w:val="28"/>
          <w:szCs w:val="28"/>
        </w:rPr>
      </w:pPr>
      <w:r>
        <w:rPr>
          <w:sz w:val="28"/>
          <w:szCs w:val="28"/>
        </w:rPr>
        <w:t xml:space="preserve">Doc. Ref.: </w:t>
      </w:r>
      <w:r w:rsidR="007D5CA8" w:rsidRPr="007D5CA8">
        <w:rPr>
          <w:sz w:val="28"/>
          <w:szCs w:val="28"/>
        </w:rPr>
        <w:t>NS-TAST-GD-013</w:t>
      </w:r>
    </w:p>
    <w:p w14:paraId="55057C62" w14:textId="1F8DE6F4" w:rsidR="00004C16" w:rsidRPr="00004C16" w:rsidRDefault="00004C16" w:rsidP="00004C16">
      <w:pPr>
        <w:rPr>
          <w:sz w:val="28"/>
          <w:szCs w:val="28"/>
        </w:rPr>
      </w:pPr>
      <w:r w:rsidRPr="00004C16">
        <w:rPr>
          <w:sz w:val="28"/>
          <w:szCs w:val="28"/>
        </w:rPr>
        <w:t xml:space="preserve">Record Ref. No.: </w:t>
      </w:r>
      <w:r w:rsidR="001F2811" w:rsidRPr="001F2811">
        <w:rPr>
          <w:sz w:val="28"/>
          <w:szCs w:val="28"/>
        </w:rPr>
        <w:t>202</w:t>
      </w:r>
      <w:r w:rsidR="004A1C0C">
        <w:rPr>
          <w:sz w:val="28"/>
          <w:szCs w:val="28"/>
        </w:rPr>
        <w:t>0/227479</w:t>
      </w:r>
    </w:p>
    <w:p w14:paraId="39BC0EA4" w14:textId="77777777" w:rsidR="00420A11" w:rsidRDefault="00420A11" w:rsidP="00323E71"/>
    <w:p w14:paraId="1921DBD9" w14:textId="65317CBD" w:rsidR="00CE1DB2" w:rsidRDefault="00CE1DB2" w:rsidP="00CE1DB2">
      <w:pPr>
        <w:pStyle w:val="Caption"/>
        <w:keepNext/>
      </w:pPr>
      <w:r>
        <w:t>Revision commentary</w:t>
      </w:r>
    </w:p>
    <w:tbl>
      <w:tblPr>
        <w:tblStyle w:val="ONRTable1"/>
        <w:tblW w:w="0" w:type="auto"/>
        <w:tblInd w:w="10" w:type="dxa"/>
        <w:tblLook w:val="04A0" w:firstRow="1" w:lastRow="0" w:firstColumn="1" w:lastColumn="0" w:noHBand="0" w:noVBand="1"/>
      </w:tblPr>
      <w:tblGrid>
        <w:gridCol w:w="1550"/>
        <w:gridCol w:w="7466"/>
      </w:tblGrid>
      <w:tr w:rsidR="00595C8C" w:rsidRPr="00CE1DB2" w14:paraId="116B87DF" w14:textId="77777777" w:rsidTr="00E20B32">
        <w:trPr>
          <w:cnfStyle w:val="100000000000" w:firstRow="1" w:lastRow="0" w:firstColumn="0" w:lastColumn="0" w:oddVBand="0" w:evenVBand="0" w:oddHBand="0" w:evenHBand="0" w:firstRowFirstColumn="0" w:firstRowLastColumn="0" w:lastRowFirstColumn="0" w:lastRowLastColumn="0"/>
        </w:trPr>
        <w:tc>
          <w:tcPr>
            <w:tcW w:w="1550" w:type="dxa"/>
          </w:tcPr>
          <w:p w14:paraId="72366D01" w14:textId="5285E8FF" w:rsidR="00595C8C" w:rsidRPr="00CE1DB2" w:rsidRDefault="00595C8C" w:rsidP="00595C8C">
            <w:pPr>
              <w:spacing w:before="60" w:after="60"/>
              <w:rPr>
                <w:b w:val="0"/>
                <w:bCs/>
              </w:rPr>
            </w:pPr>
            <w:r w:rsidRPr="00CE1DB2">
              <w:rPr>
                <w:b w:val="0"/>
                <w:bCs/>
              </w:rPr>
              <w:t>Issue</w:t>
            </w:r>
            <w:r w:rsidR="004E3932" w:rsidRPr="00CE1DB2">
              <w:rPr>
                <w:b w:val="0"/>
                <w:bCs/>
              </w:rPr>
              <w:t xml:space="preserve"> No.</w:t>
            </w:r>
          </w:p>
        </w:tc>
        <w:tc>
          <w:tcPr>
            <w:tcW w:w="7466" w:type="dxa"/>
          </w:tcPr>
          <w:p w14:paraId="2D00C3FD" w14:textId="26176D05" w:rsidR="00595C8C" w:rsidRPr="00CE1DB2" w:rsidRDefault="00595C8C" w:rsidP="00595C8C">
            <w:pPr>
              <w:spacing w:before="60" w:after="60"/>
              <w:rPr>
                <w:b w:val="0"/>
                <w:bCs/>
              </w:rPr>
            </w:pPr>
            <w:r w:rsidRPr="00CE1DB2">
              <w:rPr>
                <w:b w:val="0"/>
                <w:bCs/>
              </w:rPr>
              <w:t>Description of Update(s)</w:t>
            </w:r>
          </w:p>
        </w:tc>
      </w:tr>
      <w:tr w:rsidR="00595C8C" w14:paraId="0B4E4E42" w14:textId="77777777" w:rsidTr="00E20B32">
        <w:tc>
          <w:tcPr>
            <w:tcW w:w="1550" w:type="dxa"/>
          </w:tcPr>
          <w:p w14:paraId="65482A03" w14:textId="6EBBB825" w:rsidR="00595C8C" w:rsidRDefault="00000000" w:rsidP="00595C8C">
            <w:pPr>
              <w:spacing w:before="60" w:after="60"/>
            </w:pPr>
            <w:sdt>
              <w:sdtPr>
                <w:rPr>
                  <w:sz w:val="28"/>
                  <w:szCs w:val="28"/>
                </w:rPr>
                <w:alias w:val="Issue No."/>
                <w:tag w:val=""/>
                <w:id w:val="251869044"/>
                <w:placeholder>
                  <w:docPart w:val="7B9BDFF14BD54958B10F73A803ABCB8B"/>
                </w:placeholder>
                <w:dataBinding w:prefixMappings="xmlns:ns0='http://purl.org/dc/elements/1.1/' xmlns:ns1='http://schemas.openxmlformats.org/package/2006/metadata/core-properties' " w:xpath="/ns1:coreProperties[1]/ns1:contentStatus[1]" w:storeItemID="{6C3C8BC8-F283-45AE-878A-BAB7291924A1}"/>
                <w:text/>
              </w:sdtPr>
              <w:sdtContent>
                <w:r w:rsidR="00A928C6">
                  <w:rPr>
                    <w:sz w:val="28"/>
                    <w:szCs w:val="28"/>
                  </w:rPr>
                  <w:t>9</w:t>
                </w:r>
              </w:sdtContent>
            </w:sdt>
          </w:p>
        </w:tc>
        <w:tc>
          <w:tcPr>
            <w:tcW w:w="7466" w:type="dxa"/>
          </w:tcPr>
          <w:p w14:paraId="1C80912E" w14:textId="47430A0B" w:rsidR="00595C8C" w:rsidRDefault="0077126F" w:rsidP="007700CF">
            <w:pPr>
              <w:spacing w:before="60" w:after="60"/>
            </w:pPr>
            <w:r>
              <w:t>Full Review of document</w:t>
            </w:r>
          </w:p>
        </w:tc>
      </w:tr>
    </w:tbl>
    <w:p w14:paraId="1FDB4B56" w14:textId="6C10B266" w:rsidR="00595C8C" w:rsidRDefault="00595C8C" w:rsidP="00323E71">
      <w:pPr>
        <w:sectPr w:rsidR="00595C8C" w:rsidSect="000B2BCD">
          <w:headerReference w:type="default" r:id="rId11"/>
          <w:footerReference w:type="default" r:id="rId12"/>
          <w:pgSz w:w="11906" w:h="16838" w:code="9"/>
          <w:pgMar w:top="1440" w:right="1440" w:bottom="1440" w:left="1440" w:header="397" w:footer="397" w:gutter="0"/>
          <w:cols w:space="312"/>
          <w:titlePg/>
          <w:docGrid w:linePitch="360"/>
        </w:sectPr>
      </w:pPr>
    </w:p>
    <w:p w14:paraId="3AE5EE98" w14:textId="77777777" w:rsidR="00267815" w:rsidRPr="00B97043" w:rsidRDefault="00267815" w:rsidP="00EE0C77">
      <w:pPr>
        <w:pStyle w:val="ContentsHeading"/>
      </w:pPr>
      <w:r w:rsidRPr="00B97043">
        <w:lastRenderedPageBreak/>
        <w:t>Contents</w:t>
      </w:r>
    </w:p>
    <w:p w14:paraId="726DFC1A" w14:textId="6C17DFDB" w:rsidR="007D433E" w:rsidRDefault="0097785C" w:rsidP="00594BC1">
      <w:pPr>
        <w:pStyle w:val="TOC1"/>
        <w:tabs>
          <w:tab w:val="left" w:pos="720"/>
        </w:tabs>
        <w:spacing w:before="0"/>
        <w:rPr>
          <w:rFonts w:asciiTheme="minorHAnsi" w:eastAsiaTheme="minorEastAsia" w:hAnsiTheme="minorHAnsi" w:cstheme="minorBidi"/>
          <w:sz w:val="22"/>
          <w:lang w:eastAsia="en-GB" w:bidi="ar-SA"/>
        </w:rPr>
      </w:pPr>
      <w:r w:rsidRPr="00B97043">
        <w:fldChar w:fldCharType="begin"/>
      </w:r>
      <w:r w:rsidRPr="00B97043">
        <w:instrText xml:space="preserve"> TOC \o "1-2" \h \z \u </w:instrText>
      </w:r>
      <w:r w:rsidRPr="00B97043">
        <w:fldChar w:fldCharType="separate"/>
      </w:r>
      <w:hyperlink w:anchor="_Toc140137233" w:history="1">
        <w:r w:rsidR="007D433E" w:rsidRPr="00267623">
          <w:rPr>
            <w:rStyle w:val="Hyperlink"/>
          </w:rPr>
          <w:t>1.</w:t>
        </w:r>
        <w:r w:rsidR="007D433E">
          <w:rPr>
            <w:rFonts w:asciiTheme="minorHAnsi" w:eastAsiaTheme="minorEastAsia" w:hAnsiTheme="minorHAnsi" w:cstheme="minorBidi"/>
            <w:sz w:val="22"/>
            <w:lang w:eastAsia="en-GB" w:bidi="ar-SA"/>
          </w:rPr>
          <w:tab/>
        </w:r>
        <w:r w:rsidR="007D433E" w:rsidRPr="00267623">
          <w:rPr>
            <w:rStyle w:val="Hyperlink"/>
          </w:rPr>
          <w:t>Introduction</w:t>
        </w:r>
        <w:r w:rsidR="007D433E">
          <w:rPr>
            <w:webHidden/>
          </w:rPr>
          <w:tab/>
        </w:r>
        <w:r w:rsidR="007D433E">
          <w:rPr>
            <w:webHidden/>
          </w:rPr>
          <w:fldChar w:fldCharType="begin"/>
        </w:r>
        <w:r w:rsidR="007D433E">
          <w:rPr>
            <w:webHidden/>
          </w:rPr>
          <w:instrText xml:space="preserve"> PAGEREF _Toc140137233 \h </w:instrText>
        </w:r>
        <w:r w:rsidR="007D433E">
          <w:rPr>
            <w:webHidden/>
          </w:rPr>
        </w:r>
        <w:r w:rsidR="007D433E">
          <w:rPr>
            <w:webHidden/>
          </w:rPr>
          <w:fldChar w:fldCharType="separate"/>
        </w:r>
        <w:r w:rsidR="00516936">
          <w:rPr>
            <w:webHidden/>
          </w:rPr>
          <w:t>4</w:t>
        </w:r>
        <w:r w:rsidR="007D433E">
          <w:rPr>
            <w:webHidden/>
          </w:rPr>
          <w:fldChar w:fldCharType="end"/>
        </w:r>
      </w:hyperlink>
    </w:p>
    <w:p w14:paraId="006D606B" w14:textId="2ED5F34A" w:rsidR="007D433E" w:rsidRDefault="00000000" w:rsidP="00594BC1">
      <w:pPr>
        <w:pStyle w:val="TOC1"/>
        <w:tabs>
          <w:tab w:val="left" w:pos="720"/>
        </w:tabs>
        <w:spacing w:before="0"/>
        <w:rPr>
          <w:rFonts w:asciiTheme="minorHAnsi" w:eastAsiaTheme="minorEastAsia" w:hAnsiTheme="minorHAnsi" w:cstheme="minorBidi"/>
          <w:sz w:val="22"/>
          <w:lang w:eastAsia="en-GB" w:bidi="ar-SA"/>
        </w:rPr>
      </w:pPr>
      <w:hyperlink w:anchor="_Toc140137234" w:history="1">
        <w:r w:rsidR="007D433E" w:rsidRPr="00267623">
          <w:rPr>
            <w:rStyle w:val="Hyperlink"/>
          </w:rPr>
          <w:t>2.</w:t>
        </w:r>
        <w:r w:rsidR="007D433E">
          <w:rPr>
            <w:rFonts w:asciiTheme="minorHAnsi" w:eastAsiaTheme="minorEastAsia" w:hAnsiTheme="minorHAnsi" w:cstheme="minorBidi"/>
            <w:sz w:val="22"/>
            <w:lang w:eastAsia="en-GB" w:bidi="ar-SA"/>
          </w:rPr>
          <w:tab/>
        </w:r>
        <w:r w:rsidR="007D433E" w:rsidRPr="00267623">
          <w:rPr>
            <w:rStyle w:val="Hyperlink"/>
          </w:rPr>
          <w:t>Purpose and Scope</w:t>
        </w:r>
        <w:r w:rsidR="007D433E">
          <w:rPr>
            <w:webHidden/>
          </w:rPr>
          <w:tab/>
        </w:r>
        <w:r w:rsidR="007D433E">
          <w:rPr>
            <w:webHidden/>
          </w:rPr>
          <w:fldChar w:fldCharType="begin"/>
        </w:r>
        <w:r w:rsidR="007D433E">
          <w:rPr>
            <w:webHidden/>
          </w:rPr>
          <w:instrText xml:space="preserve"> PAGEREF _Toc140137234 \h </w:instrText>
        </w:r>
        <w:r w:rsidR="007D433E">
          <w:rPr>
            <w:webHidden/>
          </w:rPr>
        </w:r>
        <w:r w:rsidR="007D433E">
          <w:rPr>
            <w:webHidden/>
          </w:rPr>
          <w:fldChar w:fldCharType="separate"/>
        </w:r>
        <w:r w:rsidR="00516936">
          <w:rPr>
            <w:webHidden/>
          </w:rPr>
          <w:t>5</w:t>
        </w:r>
        <w:r w:rsidR="007D433E">
          <w:rPr>
            <w:webHidden/>
          </w:rPr>
          <w:fldChar w:fldCharType="end"/>
        </w:r>
      </w:hyperlink>
    </w:p>
    <w:p w14:paraId="7F189CCB" w14:textId="1D83A662" w:rsidR="007D433E" w:rsidRDefault="00000000" w:rsidP="00594BC1">
      <w:pPr>
        <w:pStyle w:val="TOC2"/>
        <w:tabs>
          <w:tab w:val="left" w:pos="1100"/>
        </w:tabs>
        <w:spacing w:before="0"/>
        <w:rPr>
          <w:rFonts w:asciiTheme="minorHAnsi" w:eastAsiaTheme="minorEastAsia" w:hAnsiTheme="minorHAnsi" w:cstheme="minorBidi"/>
          <w:sz w:val="22"/>
          <w:lang w:eastAsia="en-GB" w:bidi="ar-SA"/>
        </w:rPr>
      </w:pPr>
      <w:hyperlink w:anchor="_Toc140137235" w:history="1">
        <w:r w:rsidR="007D433E" w:rsidRPr="00267623">
          <w:rPr>
            <w:rStyle w:val="Hyperlink"/>
          </w:rPr>
          <w:t>2.1.</w:t>
        </w:r>
        <w:r w:rsidR="007D433E">
          <w:rPr>
            <w:rFonts w:asciiTheme="minorHAnsi" w:eastAsiaTheme="minorEastAsia" w:hAnsiTheme="minorHAnsi" w:cstheme="minorBidi"/>
            <w:sz w:val="22"/>
            <w:lang w:eastAsia="en-GB" w:bidi="ar-SA"/>
          </w:rPr>
          <w:tab/>
        </w:r>
        <w:r w:rsidR="007D433E" w:rsidRPr="00267623">
          <w:rPr>
            <w:rStyle w:val="Hyperlink"/>
          </w:rPr>
          <w:t>Documents Supporting TAG 13</w:t>
        </w:r>
        <w:r w:rsidR="007D433E">
          <w:rPr>
            <w:webHidden/>
          </w:rPr>
          <w:tab/>
        </w:r>
        <w:r w:rsidR="007D433E">
          <w:rPr>
            <w:webHidden/>
          </w:rPr>
          <w:fldChar w:fldCharType="begin"/>
        </w:r>
        <w:r w:rsidR="007D433E">
          <w:rPr>
            <w:webHidden/>
          </w:rPr>
          <w:instrText xml:space="preserve"> PAGEREF _Toc140137235 \h </w:instrText>
        </w:r>
        <w:r w:rsidR="007D433E">
          <w:rPr>
            <w:webHidden/>
          </w:rPr>
        </w:r>
        <w:r w:rsidR="007D433E">
          <w:rPr>
            <w:webHidden/>
          </w:rPr>
          <w:fldChar w:fldCharType="separate"/>
        </w:r>
        <w:r w:rsidR="00516936">
          <w:rPr>
            <w:webHidden/>
          </w:rPr>
          <w:t>6</w:t>
        </w:r>
        <w:r w:rsidR="007D433E">
          <w:rPr>
            <w:webHidden/>
          </w:rPr>
          <w:fldChar w:fldCharType="end"/>
        </w:r>
      </w:hyperlink>
    </w:p>
    <w:p w14:paraId="6E44133A" w14:textId="7FF25DF7" w:rsidR="007D433E" w:rsidRDefault="00000000" w:rsidP="00594BC1">
      <w:pPr>
        <w:pStyle w:val="TOC2"/>
        <w:tabs>
          <w:tab w:val="left" w:pos="1100"/>
        </w:tabs>
        <w:spacing w:before="0"/>
        <w:rPr>
          <w:rFonts w:asciiTheme="minorHAnsi" w:eastAsiaTheme="minorEastAsia" w:hAnsiTheme="minorHAnsi" w:cstheme="minorBidi"/>
          <w:sz w:val="22"/>
          <w:lang w:eastAsia="en-GB" w:bidi="ar-SA"/>
        </w:rPr>
      </w:pPr>
      <w:hyperlink w:anchor="_Toc140137236" w:history="1">
        <w:r w:rsidR="007D433E" w:rsidRPr="00267623">
          <w:rPr>
            <w:rStyle w:val="Hyperlink"/>
          </w:rPr>
          <w:t>2.2.</w:t>
        </w:r>
        <w:r w:rsidR="007D433E">
          <w:rPr>
            <w:rFonts w:asciiTheme="minorHAnsi" w:eastAsiaTheme="minorEastAsia" w:hAnsiTheme="minorHAnsi" w:cstheme="minorBidi"/>
            <w:sz w:val="22"/>
            <w:lang w:eastAsia="en-GB" w:bidi="ar-SA"/>
          </w:rPr>
          <w:tab/>
        </w:r>
        <w:r w:rsidR="007D433E" w:rsidRPr="00267623">
          <w:rPr>
            <w:rStyle w:val="Hyperlink"/>
          </w:rPr>
          <w:t>Definition and Major Features of External Hazards</w:t>
        </w:r>
        <w:r w:rsidR="007D433E">
          <w:rPr>
            <w:webHidden/>
          </w:rPr>
          <w:tab/>
        </w:r>
        <w:r w:rsidR="007D433E">
          <w:rPr>
            <w:webHidden/>
          </w:rPr>
          <w:fldChar w:fldCharType="begin"/>
        </w:r>
        <w:r w:rsidR="007D433E">
          <w:rPr>
            <w:webHidden/>
          </w:rPr>
          <w:instrText xml:space="preserve"> PAGEREF _Toc140137236 \h </w:instrText>
        </w:r>
        <w:r w:rsidR="007D433E">
          <w:rPr>
            <w:webHidden/>
          </w:rPr>
        </w:r>
        <w:r w:rsidR="007D433E">
          <w:rPr>
            <w:webHidden/>
          </w:rPr>
          <w:fldChar w:fldCharType="separate"/>
        </w:r>
        <w:r w:rsidR="00516936">
          <w:rPr>
            <w:webHidden/>
          </w:rPr>
          <w:t>8</w:t>
        </w:r>
        <w:r w:rsidR="007D433E">
          <w:rPr>
            <w:webHidden/>
          </w:rPr>
          <w:fldChar w:fldCharType="end"/>
        </w:r>
      </w:hyperlink>
    </w:p>
    <w:p w14:paraId="44A28AA3" w14:textId="50CF8504" w:rsidR="007D433E" w:rsidRDefault="00000000" w:rsidP="00594BC1">
      <w:pPr>
        <w:pStyle w:val="TOC2"/>
        <w:tabs>
          <w:tab w:val="left" w:pos="1100"/>
        </w:tabs>
        <w:spacing w:before="0"/>
        <w:rPr>
          <w:rFonts w:asciiTheme="minorHAnsi" w:eastAsiaTheme="minorEastAsia" w:hAnsiTheme="minorHAnsi" w:cstheme="minorBidi"/>
          <w:sz w:val="22"/>
          <w:lang w:eastAsia="en-GB" w:bidi="ar-SA"/>
        </w:rPr>
      </w:pPr>
      <w:hyperlink w:anchor="_Toc140137237" w:history="1">
        <w:r w:rsidR="007D433E" w:rsidRPr="00267623">
          <w:rPr>
            <w:rStyle w:val="Hyperlink"/>
          </w:rPr>
          <w:t>2.3.</w:t>
        </w:r>
        <w:r w:rsidR="007D433E">
          <w:rPr>
            <w:rFonts w:asciiTheme="minorHAnsi" w:eastAsiaTheme="minorEastAsia" w:hAnsiTheme="minorHAnsi" w:cstheme="minorBidi"/>
            <w:sz w:val="22"/>
            <w:lang w:eastAsia="en-GB" w:bidi="ar-SA"/>
          </w:rPr>
          <w:tab/>
        </w:r>
        <w:r w:rsidR="007D433E" w:rsidRPr="00267623">
          <w:rPr>
            <w:rStyle w:val="Hyperlink"/>
          </w:rPr>
          <w:t>Scope of External Hazards Assessment</w:t>
        </w:r>
        <w:r w:rsidR="007D433E">
          <w:rPr>
            <w:webHidden/>
          </w:rPr>
          <w:tab/>
        </w:r>
        <w:r w:rsidR="007D433E">
          <w:rPr>
            <w:webHidden/>
          </w:rPr>
          <w:fldChar w:fldCharType="begin"/>
        </w:r>
        <w:r w:rsidR="007D433E">
          <w:rPr>
            <w:webHidden/>
          </w:rPr>
          <w:instrText xml:space="preserve"> PAGEREF _Toc140137237 \h </w:instrText>
        </w:r>
        <w:r w:rsidR="007D433E">
          <w:rPr>
            <w:webHidden/>
          </w:rPr>
        </w:r>
        <w:r w:rsidR="007D433E">
          <w:rPr>
            <w:webHidden/>
          </w:rPr>
          <w:fldChar w:fldCharType="separate"/>
        </w:r>
        <w:r w:rsidR="00516936">
          <w:rPr>
            <w:webHidden/>
          </w:rPr>
          <w:t>9</w:t>
        </w:r>
        <w:r w:rsidR="007D433E">
          <w:rPr>
            <w:webHidden/>
          </w:rPr>
          <w:fldChar w:fldCharType="end"/>
        </w:r>
      </w:hyperlink>
    </w:p>
    <w:p w14:paraId="2AAD5EB7" w14:textId="2D22BBB4" w:rsidR="007D433E" w:rsidRDefault="00000000" w:rsidP="00594BC1">
      <w:pPr>
        <w:pStyle w:val="TOC2"/>
        <w:tabs>
          <w:tab w:val="left" w:pos="1100"/>
        </w:tabs>
        <w:spacing w:before="0"/>
        <w:rPr>
          <w:rFonts w:asciiTheme="minorHAnsi" w:eastAsiaTheme="minorEastAsia" w:hAnsiTheme="minorHAnsi" w:cstheme="minorBidi"/>
          <w:sz w:val="22"/>
          <w:lang w:eastAsia="en-GB" w:bidi="ar-SA"/>
        </w:rPr>
      </w:pPr>
      <w:hyperlink w:anchor="_Toc140137238" w:history="1">
        <w:r w:rsidR="007D433E" w:rsidRPr="00267623">
          <w:rPr>
            <w:rStyle w:val="Hyperlink"/>
          </w:rPr>
          <w:t>2.4.</w:t>
        </w:r>
        <w:r w:rsidR="007D433E">
          <w:rPr>
            <w:rFonts w:asciiTheme="minorHAnsi" w:eastAsiaTheme="minorEastAsia" w:hAnsiTheme="minorHAnsi" w:cstheme="minorBidi"/>
            <w:sz w:val="22"/>
            <w:lang w:eastAsia="en-GB" w:bidi="ar-SA"/>
          </w:rPr>
          <w:tab/>
        </w:r>
        <w:r w:rsidR="007D433E" w:rsidRPr="00267623">
          <w:rPr>
            <w:rStyle w:val="Hyperlink"/>
          </w:rPr>
          <w:t>Characterising External Hazards</w:t>
        </w:r>
        <w:r w:rsidR="007D433E">
          <w:rPr>
            <w:webHidden/>
          </w:rPr>
          <w:tab/>
        </w:r>
        <w:r w:rsidR="007D433E">
          <w:rPr>
            <w:webHidden/>
          </w:rPr>
          <w:fldChar w:fldCharType="begin"/>
        </w:r>
        <w:r w:rsidR="007D433E">
          <w:rPr>
            <w:webHidden/>
          </w:rPr>
          <w:instrText xml:space="preserve"> PAGEREF _Toc140137238 \h </w:instrText>
        </w:r>
        <w:r w:rsidR="007D433E">
          <w:rPr>
            <w:webHidden/>
          </w:rPr>
        </w:r>
        <w:r w:rsidR="007D433E">
          <w:rPr>
            <w:webHidden/>
          </w:rPr>
          <w:fldChar w:fldCharType="separate"/>
        </w:r>
        <w:r w:rsidR="00516936">
          <w:rPr>
            <w:webHidden/>
          </w:rPr>
          <w:t>10</w:t>
        </w:r>
        <w:r w:rsidR="007D433E">
          <w:rPr>
            <w:webHidden/>
          </w:rPr>
          <w:fldChar w:fldCharType="end"/>
        </w:r>
      </w:hyperlink>
    </w:p>
    <w:p w14:paraId="5817619B" w14:textId="58A534B5" w:rsidR="007D433E" w:rsidRDefault="00000000" w:rsidP="00594BC1">
      <w:pPr>
        <w:pStyle w:val="TOC1"/>
        <w:tabs>
          <w:tab w:val="left" w:pos="720"/>
        </w:tabs>
        <w:spacing w:before="0"/>
        <w:rPr>
          <w:rFonts w:asciiTheme="minorHAnsi" w:eastAsiaTheme="minorEastAsia" w:hAnsiTheme="minorHAnsi" w:cstheme="minorBidi"/>
          <w:sz w:val="22"/>
          <w:lang w:eastAsia="en-GB" w:bidi="ar-SA"/>
        </w:rPr>
      </w:pPr>
      <w:hyperlink w:anchor="_Toc140137239" w:history="1">
        <w:r w:rsidR="007D433E" w:rsidRPr="00267623">
          <w:rPr>
            <w:rStyle w:val="Hyperlink"/>
          </w:rPr>
          <w:t>3.</w:t>
        </w:r>
        <w:r w:rsidR="007D433E">
          <w:rPr>
            <w:rFonts w:asciiTheme="minorHAnsi" w:eastAsiaTheme="minorEastAsia" w:hAnsiTheme="minorHAnsi" w:cstheme="minorBidi"/>
            <w:sz w:val="22"/>
            <w:lang w:eastAsia="en-GB" w:bidi="ar-SA"/>
          </w:rPr>
          <w:tab/>
        </w:r>
        <w:r w:rsidR="007D433E" w:rsidRPr="00267623">
          <w:rPr>
            <w:rStyle w:val="Hyperlink"/>
          </w:rPr>
          <w:t>Relationship to Licence and other Relevant Legislation</w:t>
        </w:r>
        <w:r w:rsidR="007D433E">
          <w:rPr>
            <w:webHidden/>
          </w:rPr>
          <w:tab/>
        </w:r>
        <w:r w:rsidR="007D433E">
          <w:rPr>
            <w:webHidden/>
          </w:rPr>
          <w:fldChar w:fldCharType="begin"/>
        </w:r>
        <w:r w:rsidR="007D433E">
          <w:rPr>
            <w:webHidden/>
          </w:rPr>
          <w:instrText xml:space="preserve"> PAGEREF _Toc140137239 \h </w:instrText>
        </w:r>
        <w:r w:rsidR="007D433E">
          <w:rPr>
            <w:webHidden/>
          </w:rPr>
        </w:r>
        <w:r w:rsidR="007D433E">
          <w:rPr>
            <w:webHidden/>
          </w:rPr>
          <w:fldChar w:fldCharType="separate"/>
        </w:r>
        <w:r w:rsidR="00516936">
          <w:rPr>
            <w:webHidden/>
          </w:rPr>
          <w:t>13</w:t>
        </w:r>
        <w:r w:rsidR="007D433E">
          <w:rPr>
            <w:webHidden/>
          </w:rPr>
          <w:fldChar w:fldCharType="end"/>
        </w:r>
      </w:hyperlink>
    </w:p>
    <w:p w14:paraId="140849F5" w14:textId="0932230F" w:rsidR="007D433E" w:rsidRDefault="00000000" w:rsidP="00841A10">
      <w:pPr>
        <w:pStyle w:val="TOC1"/>
        <w:tabs>
          <w:tab w:val="left" w:pos="720"/>
        </w:tabs>
        <w:spacing w:before="0"/>
        <w:rPr>
          <w:rFonts w:asciiTheme="minorHAnsi" w:eastAsiaTheme="minorEastAsia" w:hAnsiTheme="minorHAnsi" w:cstheme="minorBidi"/>
          <w:sz w:val="22"/>
          <w:lang w:eastAsia="en-GB" w:bidi="ar-SA"/>
        </w:rPr>
      </w:pPr>
      <w:hyperlink w:anchor="_Toc140137240" w:history="1">
        <w:r w:rsidR="007D433E" w:rsidRPr="00267623">
          <w:rPr>
            <w:rStyle w:val="Hyperlink"/>
          </w:rPr>
          <w:t>4.</w:t>
        </w:r>
        <w:r w:rsidR="007D433E">
          <w:rPr>
            <w:rFonts w:asciiTheme="minorHAnsi" w:eastAsiaTheme="minorEastAsia" w:hAnsiTheme="minorHAnsi" w:cstheme="minorBidi"/>
            <w:sz w:val="22"/>
            <w:lang w:eastAsia="en-GB" w:bidi="ar-SA"/>
          </w:rPr>
          <w:tab/>
        </w:r>
        <w:r w:rsidR="007D433E" w:rsidRPr="00267623">
          <w:rPr>
            <w:rStyle w:val="Hyperlink"/>
          </w:rPr>
          <w:t>Relationship to Safety Assessment Principles, WENRA Reference Levels, and IAEA Safety Standards and Guides</w:t>
        </w:r>
        <w:r w:rsidR="007D433E">
          <w:rPr>
            <w:webHidden/>
          </w:rPr>
          <w:tab/>
        </w:r>
        <w:r w:rsidR="007D433E">
          <w:rPr>
            <w:webHidden/>
          </w:rPr>
          <w:fldChar w:fldCharType="begin"/>
        </w:r>
        <w:r w:rsidR="007D433E">
          <w:rPr>
            <w:webHidden/>
          </w:rPr>
          <w:instrText xml:space="preserve"> PAGEREF _Toc140137240 \h </w:instrText>
        </w:r>
        <w:r w:rsidR="007D433E">
          <w:rPr>
            <w:webHidden/>
          </w:rPr>
        </w:r>
        <w:r w:rsidR="007D433E">
          <w:rPr>
            <w:webHidden/>
          </w:rPr>
          <w:fldChar w:fldCharType="separate"/>
        </w:r>
        <w:r w:rsidR="00516936">
          <w:rPr>
            <w:webHidden/>
          </w:rPr>
          <w:t>14</w:t>
        </w:r>
        <w:r w:rsidR="007D433E">
          <w:rPr>
            <w:webHidden/>
          </w:rPr>
          <w:fldChar w:fldCharType="end"/>
        </w:r>
      </w:hyperlink>
    </w:p>
    <w:p w14:paraId="1D09FCE5" w14:textId="15BA786C" w:rsidR="007D433E" w:rsidRDefault="00000000" w:rsidP="00594BC1">
      <w:pPr>
        <w:pStyle w:val="TOC1"/>
        <w:tabs>
          <w:tab w:val="left" w:pos="720"/>
        </w:tabs>
        <w:spacing w:before="0"/>
        <w:rPr>
          <w:rFonts w:asciiTheme="minorHAnsi" w:eastAsiaTheme="minorEastAsia" w:hAnsiTheme="minorHAnsi" w:cstheme="minorBidi"/>
          <w:sz w:val="22"/>
          <w:lang w:eastAsia="en-GB" w:bidi="ar-SA"/>
        </w:rPr>
      </w:pPr>
      <w:hyperlink w:anchor="_Toc140137241" w:history="1">
        <w:r w:rsidR="007D433E" w:rsidRPr="00267623">
          <w:rPr>
            <w:rStyle w:val="Hyperlink"/>
          </w:rPr>
          <w:t>5.</w:t>
        </w:r>
        <w:r w:rsidR="007D433E">
          <w:rPr>
            <w:rFonts w:asciiTheme="minorHAnsi" w:eastAsiaTheme="minorEastAsia" w:hAnsiTheme="minorHAnsi" w:cstheme="minorBidi"/>
            <w:sz w:val="22"/>
            <w:lang w:eastAsia="en-GB" w:bidi="ar-SA"/>
          </w:rPr>
          <w:tab/>
        </w:r>
        <w:r w:rsidR="007D433E" w:rsidRPr="00267623">
          <w:rPr>
            <w:rStyle w:val="Hyperlink"/>
          </w:rPr>
          <w:t>Advice to Inspectors</w:t>
        </w:r>
        <w:r w:rsidR="007D433E">
          <w:rPr>
            <w:webHidden/>
          </w:rPr>
          <w:tab/>
        </w:r>
        <w:r w:rsidR="007D433E">
          <w:rPr>
            <w:webHidden/>
          </w:rPr>
          <w:fldChar w:fldCharType="begin"/>
        </w:r>
        <w:r w:rsidR="007D433E">
          <w:rPr>
            <w:webHidden/>
          </w:rPr>
          <w:instrText xml:space="preserve"> PAGEREF _Toc140137241 \h </w:instrText>
        </w:r>
        <w:r w:rsidR="007D433E">
          <w:rPr>
            <w:webHidden/>
          </w:rPr>
        </w:r>
        <w:r w:rsidR="007D433E">
          <w:rPr>
            <w:webHidden/>
          </w:rPr>
          <w:fldChar w:fldCharType="separate"/>
        </w:r>
        <w:r w:rsidR="00516936">
          <w:rPr>
            <w:webHidden/>
          </w:rPr>
          <w:t>15</w:t>
        </w:r>
        <w:r w:rsidR="007D433E">
          <w:rPr>
            <w:webHidden/>
          </w:rPr>
          <w:fldChar w:fldCharType="end"/>
        </w:r>
      </w:hyperlink>
    </w:p>
    <w:p w14:paraId="23379C35" w14:textId="1275491F" w:rsidR="007D433E" w:rsidRDefault="00000000" w:rsidP="00594BC1">
      <w:pPr>
        <w:pStyle w:val="TOC2"/>
        <w:tabs>
          <w:tab w:val="left" w:pos="1100"/>
        </w:tabs>
        <w:spacing w:before="0"/>
        <w:rPr>
          <w:rFonts w:asciiTheme="minorHAnsi" w:eastAsiaTheme="minorEastAsia" w:hAnsiTheme="minorHAnsi" w:cstheme="minorBidi"/>
          <w:sz w:val="22"/>
          <w:lang w:eastAsia="en-GB" w:bidi="ar-SA"/>
        </w:rPr>
      </w:pPr>
      <w:hyperlink w:anchor="_Toc140137242" w:history="1">
        <w:r w:rsidR="007D433E" w:rsidRPr="00267623">
          <w:rPr>
            <w:rStyle w:val="Hyperlink"/>
          </w:rPr>
          <w:t>5.1.</w:t>
        </w:r>
        <w:r w:rsidR="007D433E">
          <w:rPr>
            <w:rFonts w:asciiTheme="minorHAnsi" w:eastAsiaTheme="minorEastAsia" w:hAnsiTheme="minorHAnsi" w:cstheme="minorBidi"/>
            <w:sz w:val="22"/>
            <w:lang w:eastAsia="en-GB" w:bidi="ar-SA"/>
          </w:rPr>
          <w:tab/>
        </w:r>
        <w:r w:rsidR="007D433E" w:rsidRPr="00267623">
          <w:rPr>
            <w:rStyle w:val="Hyperlink"/>
          </w:rPr>
          <w:t>Overview of the Design Process for a Nuclear Facility and the Relationship between External Hazards, Engineering and Fault Studies</w:t>
        </w:r>
        <w:r w:rsidR="007D433E">
          <w:rPr>
            <w:webHidden/>
          </w:rPr>
          <w:tab/>
        </w:r>
        <w:r w:rsidR="007D433E">
          <w:rPr>
            <w:webHidden/>
          </w:rPr>
          <w:fldChar w:fldCharType="begin"/>
        </w:r>
        <w:r w:rsidR="007D433E">
          <w:rPr>
            <w:webHidden/>
          </w:rPr>
          <w:instrText xml:space="preserve"> PAGEREF _Toc140137242 \h </w:instrText>
        </w:r>
        <w:r w:rsidR="007D433E">
          <w:rPr>
            <w:webHidden/>
          </w:rPr>
        </w:r>
        <w:r w:rsidR="007D433E">
          <w:rPr>
            <w:webHidden/>
          </w:rPr>
          <w:fldChar w:fldCharType="separate"/>
        </w:r>
        <w:r w:rsidR="00516936">
          <w:rPr>
            <w:webHidden/>
          </w:rPr>
          <w:t>15</w:t>
        </w:r>
        <w:r w:rsidR="007D433E">
          <w:rPr>
            <w:webHidden/>
          </w:rPr>
          <w:fldChar w:fldCharType="end"/>
        </w:r>
      </w:hyperlink>
    </w:p>
    <w:p w14:paraId="27706DE1" w14:textId="05448AFD" w:rsidR="007D433E" w:rsidRDefault="00000000" w:rsidP="00594BC1">
      <w:pPr>
        <w:pStyle w:val="TOC2"/>
        <w:tabs>
          <w:tab w:val="left" w:pos="1100"/>
        </w:tabs>
        <w:spacing w:before="0"/>
        <w:rPr>
          <w:rFonts w:asciiTheme="minorHAnsi" w:eastAsiaTheme="minorEastAsia" w:hAnsiTheme="minorHAnsi" w:cstheme="minorBidi"/>
          <w:sz w:val="22"/>
          <w:lang w:eastAsia="en-GB" w:bidi="ar-SA"/>
        </w:rPr>
      </w:pPr>
      <w:hyperlink w:anchor="_Toc140137243" w:history="1">
        <w:r w:rsidR="007D433E" w:rsidRPr="00267623">
          <w:rPr>
            <w:rStyle w:val="Hyperlink"/>
          </w:rPr>
          <w:t>5.2.</w:t>
        </w:r>
        <w:r w:rsidR="007D433E">
          <w:rPr>
            <w:rFonts w:asciiTheme="minorHAnsi" w:eastAsiaTheme="minorEastAsia" w:hAnsiTheme="minorHAnsi" w:cstheme="minorBidi"/>
            <w:sz w:val="22"/>
            <w:lang w:eastAsia="en-GB" w:bidi="ar-SA"/>
          </w:rPr>
          <w:tab/>
        </w:r>
        <w:r w:rsidR="007D433E" w:rsidRPr="00267623">
          <w:rPr>
            <w:rStyle w:val="Hyperlink"/>
          </w:rPr>
          <w:t>Hazard Identification</w:t>
        </w:r>
        <w:r w:rsidR="007D433E">
          <w:rPr>
            <w:webHidden/>
          </w:rPr>
          <w:tab/>
        </w:r>
        <w:r w:rsidR="007D433E">
          <w:rPr>
            <w:webHidden/>
          </w:rPr>
          <w:fldChar w:fldCharType="begin"/>
        </w:r>
        <w:r w:rsidR="007D433E">
          <w:rPr>
            <w:webHidden/>
          </w:rPr>
          <w:instrText xml:space="preserve"> PAGEREF _Toc140137243 \h </w:instrText>
        </w:r>
        <w:r w:rsidR="007D433E">
          <w:rPr>
            <w:webHidden/>
          </w:rPr>
        </w:r>
        <w:r w:rsidR="007D433E">
          <w:rPr>
            <w:webHidden/>
          </w:rPr>
          <w:fldChar w:fldCharType="separate"/>
        </w:r>
        <w:r w:rsidR="00516936">
          <w:rPr>
            <w:webHidden/>
          </w:rPr>
          <w:t>17</w:t>
        </w:r>
        <w:r w:rsidR="007D433E">
          <w:rPr>
            <w:webHidden/>
          </w:rPr>
          <w:fldChar w:fldCharType="end"/>
        </w:r>
      </w:hyperlink>
    </w:p>
    <w:p w14:paraId="1F34154D" w14:textId="4FE88FAF" w:rsidR="007D433E" w:rsidRDefault="00000000" w:rsidP="00594BC1">
      <w:pPr>
        <w:pStyle w:val="TOC2"/>
        <w:tabs>
          <w:tab w:val="left" w:pos="1100"/>
        </w:tabs>
        <w:spacing w:before="0"/>
        <w:rPr>
          <w:rFonts w:asciiTheme="minorHAnsi" w:eastAsiaTheme="minorEastAsia" w:hAnsiTheme="minorHAnsi" w:cstheme="minorBidi"/>
          <w:sz w:val="22"/>
          <w:lang w:eastAsia="en-GB" w:bidi="ar-SA"/>
        </w:rPr>
      </w:pPr>
      <w:hyperlink w:anchor="_Toc140137244" w:history="1">
        <w:r w:rsidR="007D433E" w:rsidRPr="00267623">
          <w:rPr>
            <w:rStyle w:val="Hyperlink"/>
          </w:rPr>
          <w:t>5.3.</w:t>
        </w:r>
        <w:r w:rsidR="007D433E">
          <w:rPr>
            <w:rFonts w:asciiTheme="minorHAnsi" w:eastAsiaTheme="minorEastAsia" w:hAnsiTheme="minorHAnsi" w:cstheme="minorBidi"/>
            <w:sz w:val="22"/>
            <w:lang w:eastAsia="en-GB" w:bidi="ar-SA"/>
          </w:rPr>
          <w:tab/>
        </w:r>
        <w:r w:rsidR="007D433E" w:rsidRPr="00267623">
          <w:rPr>
            <w:rStyle w:val="Hyperlink"/>
          </w:rPr>
          <w:t>Fault Identification (Fault Initiation)</w:t>
        </w:r>
        <w:r w:rsidR="007D433E">
          <w:rPr>
            <w:webHidden/>
          </w:rPr>
          <w:tab/>
        </w:r>
        <w:r w:rsidR="007D433E">
          <w:rPr>
            <w:webHidden/>
          </w:rPr>
          <w:fldChar w:fldCharType="begin"/>
        </w:r>
        <w:r w:rsidR="007D433E">
          <w:rPr>
            <w:webHidden/>
          </w:rPr>
          <w:instrText xml:space="preserve"> PAGEREF _Toc140137244 \h </w:instrText>
        </w:r>
        <w:r w:rsidR="007D433E">
          <w:rPr>
            <w:webHidden/>
          </w:rPr>
        </w:r>
        <w:r w:rsidR="007D433E">
          <w:rPr>
            <w:webHidden/>
          </w:rPr>
          <w:fldChar w:fldCharType="separate"/>
        </w:r>
        <w:r w:rsidR="00516936">
          <w:rPr>
            <w:webHidden/>
          </w:rPr>
          <w:t>17</w:t>
        </w:r>
        <w:r w:rsidR="007D433E">
          <w:rPr>
            <w:webHidden/>
          </w:rPr>
          <w:fldChar w:fldCharType="end"/>
        </w:r>
      </w:hyperlink>
    </w:p>
    <w:p w14:paraId="2C21E62B" w14:textId="5EC7FFFC" w:rsidR="007D433E" w:rsidRDefault="00000000" w:rsidP="00594BC1">
      <w:pPr>
        <w:pStyle w:val="TOC2"/>
        <w:tabs>
          <w:tab w:val="left" w:pos="1100"/>
        </w:tabs>
        <w:spacing w:before="0"/>
        <w:rPr>
          <w:rFonts w:asciiTheme="minorHAnsi" w:eastAsiaTheme="minorEastAsia" w:hAnsiTheme="minorHAnsi" w:cstheme="minorBidi"/>
          <w:sz w:val="22"/>
          <w:lang w:eastAsia="en-GB" w:bidi="ar-SA"/>
        </w:rPr>
      </w:pPr>
      <w:hyperlink w:anchor="_Toc140137245" w:history="1">
        <w:r w:rsidR="007D433E" w:rsidRPr="00267623">
          <w:rPr>
            <w:rStyle w:val="Hyperlink"/>
          </w:rPr>
          <w:t>5.4.</w:t>
        </w:r>
        <w:r w:rsidR="007D433E">
          <w:rPr>
            <w:rFonts w:asciiTheme="minorHAnsi" w:eastAsiaTheme="minorEastAsia" w:hAnsiTheme="minorHAnsi" w:cstheme="minorBidi"/>
            <w:sz w:val="22"/>
            <w:lang w:eastAsia="en-GB" w:bidi="ar-SA"/>
          </w:rPr>
          <w:tab/>
        </w:r>
        <w:r w:rsidR="007D433E" w:rsidRPr="00267623">
          <w:rPr>
            <w:rStyle w:val="Hyperlink"/>
          </w:rPr>
          <w:t>External Hazards Screening</w:t>
        </w:r>
        <w:r w:rsidR="007D433E">
          <w:rPr>
            <w:webHidden/>
          </w:rPr>
          <w:tab/>
        </w:r>
        <w:r w:rsidR="007D433E">
          <w:rPr>
            <w:webHidden/>
          </w:rPr>
          <w:fldChar w:fldCharType="begin"/>
        </w:r>
        <w:r w:rsidR="007D433E">
          <w:rPr>
            <w:webHidden/>
          </w:rPr>
          <w:instrText xml:space="preserve"> PAGEREF _Toc140137245 \h </w:instrText>
        </w:r>
        <w:r w:rsidR="007D433E">
          <w:rPr>
            <w:webHidden/>
          </w:rPr>
        </w:r>
        <w:r w:rsidR="007D433E">
          <w:rPr>
            <w:webHidden/>
          </w:rPr>
          <w:fldChar w:fldCharType="separate"/>
        </w:r>
        <w:r w:rsidR="00516936">
          <w:rPr>
            <w:webHidden/>
          </w:rPr>
          <w:t>18</w:t>
        </w:r>
        <w:r w:rsidR="007D433E">
          <w:rPr>
            <w:webHidden/>
          </w:rPr>
          <w:fldChar w:fldCharType="end"/>
        </w:r>
      </w:hyperlink>
    </w:p>
    <w:p w14:paraId="2B87C621" w14:textId="28D8B043" w:rsidR="007D433E" w:rsidRDefault="00000000" w:rsidP="00594BC1">
      <w:pPr>
        <w:pStyle w:val="TOC2"/>
        <w:tabs>
          <w:tab w:val="left" w:pos="1100"/>
        </w:tabs>
        <w:spacing w:before="0"/>
        <w:rPr>
          <w:rFonts w:asciiTheme="minorHAnsi" w:eastAsiaTheme="minorEastAsia" w:hAnsiTheme="minorHAnsi" w:cstheme="minorBidi"/>
          <w:sz w:val="22"/>
          <w:lang w:eastAsia="en-GB" w:bidi="ar-SA"/>
        </w:rPr>
      </w:pPr>
      <w:hyperlink w:anchor="_Toc140137246" w:history="1">
        <w:r w:rsidR="007D433E" w:rsidRPr="00267623">
          <w:rPr>
            <w:rStyle w:val="Hyperlink"/>
          </w:rPr>
          <w:t>5.5.</w:t>
        </w:r>
        <w:r w:rsidR="007D433E">
          <w:rPr>
            <w:rFonts w:asciiTheme="minorHAnsi" w:eastAsiaTheme="minorEastAsia" w:hAnsiTheme="minorHAnsi" w:cstheme="minorBidi"/>
            <w:sz w:val="22"/>
            <w:lang w:eastAsia="en-GB" w:bidi="ar-SA"/>
          </w:rPr>
          <w:tab/>
        </w:r>
        <w:r w:rsidR="007D433E" w:rsidRPr="00267623">
          <w:rPr>
            <w:rStyle w:val="Hyperlink"/>
          </w:rPr>
          <w:t>Hazard Analysis Characterisation</w:t>
        </w:r>
        <w:r w:rsidR="007D433E">
          <w:rPr>
            <w:webHidden/>
          </w:rPr>
          <w:tab/>
        </w:r>
        <w:r w:rsidR="007D433E">
          <w:rPr>
            <w:webHidden/>
          </w:rPr>
          <w:fldChar w:fldCharType="begin"/>
        </w:r>
        <w:r w:rsidR="007D433E">
          <w:rPr>
            <w:webHidden/>
          </w:rPr>
          <w:instrText xml:space="preserve"> PAGEREF _Toc140137246 \h </w:instrText>
        </w:r>
        <w:r w:rsidR="007D433E">
          <w:rPr>
            <w:webHidden/>
          </w:rPr>
        </w:r>
        <w:r w:rsidR="007D433E">
          <w:rPr>
            <w:webHidden/>
          </w:rPr>
          <w:fldChar w:fldCharType="separate"/>
        </w:r>
        <w:r w:rsidR="00516936">
          <w:rPr>
            <w:webHidden/>
          </w:rPr>
          <w:t>18</w:t>
        </w:r>
        <w:r w:rsidR="007D433E">
          <w:rPr>
            <w:webHidden/>
          </w:rPr>
          <w:fldChar w:fldCharType="end"/>
        </w:r>
      </w:hyperlink>
    </w:p>
    <w:p w14:paraId="12C8B6E8" w14:textId="291912EF" w:rsidR="007D433E" w:rsidRDefault="00000000" w:rsidP="00594BC1">
      <w:pPr>
        <w:pStyle w:val="TOC2"/>
        <w:tabs>
          <w:tab w:val="left" w:pos="1100"/>
        </w:tabs>
        <w:spacing w:before="0"/>
        <w:rPr>
          <w:rFonts w:asciiTheme="minorHAnsi" w:eastAsiaTheme="minorEastAsia" w:hAnsiTheme="minorHAnsi" w:cstheme="minorBidi"/>
          <w:sz w:val="22"/>
          <w:lang w:eastAsia="en-GB" w:bidi="ar-SA"/>
        </w:rPr>
      </w:pPr>
      <w:hyperlink w:anchor="_Toc140137247" w:history="1">
        <w:r w:rsidR="007D433E" w:rsidRPr="00267623">
          <w:rPr>
            <w:rStyle w:val="Hyperlink"/>
          </w:rPr>
          <w:t>5.6.</w:t>
        </w:r>
        <w:r w:rsidR="007D433E">
          <w:rPr>
            <w:rFonts w:asciiTheme="minorHAnsi" w:eastAsiaTheme="minorEastAsia" w:hAnsiTheme="minorHAnsi" w:cstheme="minorBidi"/>
            <w:sz w:val="22"/>
            <w:lang w:eastAsia="en-GB" w:bidi="ar-SA"/>
          </w:rPr>
          <w:tab/>
        </w:r>
        <w:r w:rsidR="007D433E" w:rsidRPr="00267623">
          <w:rPr>
            <w:rStyle w:val="Hyperlink"/>
          </w:rPr>
          <w:t>Engineering and Hazard Analysis</w:t>
        </w:r>
        <w:r w:rsidR="007D433E">
          <w:rPr>
            <w:webHidden/>
          </w:rPr>
          <w:tab/>
        </w:r>
        <w:r w:rsidR="007D433E">
          <w:rPr>
            <w:webHidden/>
          </w:rPr>
          <w:fldChar w:fldCharType="begin"/>
        </w:r>
        <w:r w:rsidR="007D433E">
          <w:rPr>
            <w:webHidden/>
          </w:rPr>
          <w:instrText xml:space="preserve"> PAGEREF _Toc140137247 \h </w:instrText>
        </w:r>
        <w:r w:rsidR="007D433E">
          <w:rPr>
            <w:webHidden/>
          </w:rPr>
        </w:r>
        <w:r w:rsidR="007D433E">
          <w:rPr>
            <w:webHidden/>
          </w:rPr>
          <w:fldChar w:fldCharType="separate"/>
        </w:r>
        <w:r w:rsidR="00516936">
          <w:rPr>
            <w:webHidden/>
          </w:rPr>
          <w:t>20</w:t>
        </w:r>
        <w:r w:rsidR="007D433E">
          <w:rPr>
            <w:webHidden/>
          </w:rPr>
          <w:fldChar w:fldCharType="end"/>
        </w:r>
      </w:hyperlink>
    </w:p>
    <w:p w14:paraId="391DB0BB" w14:textId="51BDE241" w:rsidR="007D433E" w:rsidRDefault="00000000" w:rsidP="00594BC1">
      <w:pPr>
        <w:pStyle w:val="TOC2"/>
        <w:tabs>
          <w:tab w:val="left" w:pos="1100"/>
        </w:tabs>
        <w:spacing w:before="0"/>
        <w:rPr>
          <w:rFonts w:asciiTheme="minorHAnsi" w:eastAsiaTheme="minorEastAsia" w:hAnsiTheme="minorHAnsi" w:cstheme="minorBidi"/>
          <w:sz w:val="22"/>
          <w:lang w:eastAsia="en-GB" w:bidi="ar-SA"/>
        </w:rPr>
      </w:pPr>
      <w:hyperlink w:anchor="_Toc140137248" w:history="1">
        <w:r w:rsidR="007D433E" w:rsidRPr="00267623">
          <w:rPr>
            <w:rStyle w:val="Hyperlink"/>
          </w:rPr>
          <w:t>5.7.</w:t>
        </w:r>
        <w:r w:rsidR="007D433E">
          <w:rPr>
            <w:rFonts w:asciiTheme="minorHAnsi" w:eastAsiaTheme="minorEastAsia" w:hAnsiTheme="minorHAnsi" w:cstheme="minorBidi"/>
            <w:sz w:val="22"/>
            <w:lang w:eastAsia="en-GB" w:bidi="ar-SA"/>
          </w:rPr>
          <w:tab/>
        </w:r>
        <w:r w:rsidR="007D433E" w:rsidRPr="00267623">
          <w:rPr>
            <w:rStyle w:val="Hyperlink"/>
          </w:rPr>
          <w:t>Application of External Hazards to Facilities</w:t>
        </w:r>
        <w:r w:rsidR="007D433E">
          <w:rPr>
            <w:webHidden/>
          </w:rPr>
          <w:tab/>
        </w:r>
        <w:r w:rsidR="007D433E">
          <w:rPr>
            <w:webHidden/>
          </w:rPr>
          <w:fldChar w:fldCharType="begin"/>
        </w:r>
        <w:r w:rsidR="007D433E">
          <w:rPr>
            <w:webHidden/>
          </w:rPr>
          <w:instrText xml:space="preserve"> PAGEREF _Toc140137248 \h </w:instrText>
        </w:r>
        <w:r w:rsidR="007D433E">
          <w:rPr>
            <w:webHidden/>
          </w:rPr>
        </w:r>
        <w:r w:rsidR="007D433E">
          <w:rPr>
            <w:webHidden/>
          </w:rPr>
          <w:fldChar w:fldCharType="separate"/>
        </w:r>
        <w:r w:rsidR="00516936">
          <w:rPr>
            <w:webHidden/>
          </w:rPr>
          <w:t>34</w:t>
        </w:r>
        <w:r w:rsidR="007D433E">
          <w:rPr>
            <w:webHidden/>
          </w:rPr>
          <w:fldChar w:fldCharType="end"/>
        </w:r>
      </w:hyperlink>
    </w:p>
    <w:p w14:paraId="4311D697" w14:textId="0BE0978D" w:rsidR="007D433E" w:rsidRDefault="00000000" w:rsidP="00594BC1">
      <w:pPr>
        <w:pStyle w:val="TOC2"/>
        <w:tabs>
          <w:tab w:val="left" w:pos="1100"/>
        </w:tabs>
        <w:spacing w:before="0"/>
        <w:rPr>
          <w:rFonts w:asciiTheme="minorHAnsi" w:eastAsiaTheme="minorEastAsia" w:hAnsiTheme="minorHAnsi" w:cstheme="minorBidi"/>
          <w:sz w:val="22"/>
          <w:lang w:eastAsia="en-GB" w:bidi="ar-SA"/>
        </w:rPr>
      </w:pPr>
      <w:hyperlink w:anchor="_Toc140137268" w:history="1">
        <w:r w:rsidR="007D433E" w:rsidRPr="00267623">
          <w:rPr>
            <w:rStyle w:val="Hyperlink"/>
          </w:rPr>
          <w:t>5.8.</w:t>
        </w:r>
        <w:r w:rsidR="007D433E">
          <w:rPr>
            <w:rFonts w:asciiTheme="minorHAnsi" w:eastAsiaTheme="minorEastAsia" w:hAnsiTheme="minorHAnsi" w:cstheme="minorBidi"/>
            <w:sz w:val="22"/>
            <w:lang w:eastAsia="en-GB" w:bidi="ar-SA"/>
          </w:rPr>
          <w:tab/>
        </w:r>
        <w:r w:rsidR="007D433E" w:rsidRPr="00267623">
          <w:rPr>
            <w:rStyle w:val="Hyperlink"/>
          </w:rPr>
          <w:t>Modifications of External Hazards Design Basis Event Definitions</w:t>
        </w:r>
        <w:r w:rsidR="007D433E">
          <w:rPr>
            <w:webHidden/>
          </w:rPr>
          <w:tab/>
        </w:r>
        <w:r w:rsidR="007D433E">
          <w:rPr>
            <w:webHidden/>
          </w:rPr>
          <w:fldChar w:fldCharType="begin"/>
        </w:r>
        <w:r w:rsidR="007D433E">
          <w:rPr>
            <w:webHidden/>
          </w:rPr>
          <w:instrText xml:space="preserve"> PAGEREF _Toc140137268 \h </w:instrText>
        </w:r>
        <w:r w:rsidR="007D433E">
          <w:rPr>
            <w:webHidden/>
          </w:rPr>
        </w:r>
        <w:r w:rsidR="007D433E">
          <w:rPr>
            <w:webHidden/>
          </w:rPr>
          <w:fldChar w:fldCharType="separate"/>
        </w:r>
        <w:r w:rsidR="00516936">
          <w:rPr>
            <w:webHidden/>
          </w:rPr>
          <w:t>38</w:t>
        </w:r>
        <w:r w:rsidR="007D433E">
          <w:rPr>
            <w:webHidden/>
          </w:rPr>
          <w:fldChar w:fldCharType="end"/>
        </w:r>
      </w:hyperlink>
    </w:p>
    <w:p w14:paraId="1E6244D6" w14:textId="4C40B797" w:rsidR="007D433E" w:rsidRDefault="00000000" w:rsidP="00594BC1">
      <w:pPr>
        <w:pStyle w:val="TOC2"/>
        <w:tabs>
          <w:tab w:val="left" w:pos="1100"/>
        </w:tabs>
        <w:spacing w:before="0"/>
        <w:rPr>
          <w:rFonts w:asciiTheme="minorHAnsi" w:eastAsiaTheme="minorEastAsia" w:hAnsiTheme="minorHAnsi" w:cstheme="minorBidi"/>
          <w:sz w:val="22"/>
          <w:lang w:eastAsia="en-GB" w:bidi="ar-SA"/>
        </w:rPr>
      </w:pPr>
      <w:hyperlink w:anchor="_Toc140137269" w:history="1">
        <w:r w:rsidR="007D433E" w:rsidRPr="00267623">
          <w:rPr>
            <w:rStyle w:val="Hyperlink"/>
          </w:rPr>
          <w:t>5.9.</w:t>
        </w:r>
        <w:r w:rsidR="007D433E">
          <w:rPr>
            <w:rFonts w:asciiTheme="minorHAnsi" w:eastAsiaTheme="minorEastAsia" w:hAnsiTheme="minorHAnsi" w:cstheme="minorBidi"/>
            <w:sz w:val="22"/>
            <w:lang w:eastAsia="en-GB" w:bidi="ar-SA"/>
          </w:rPr>
          <w:tab/>
        </w:r>
        <w:r w:rsidR="007D433E" w:rsidRPr="00267623">
          <w:rPr>
            <w:rStyle w:val="Hyperlink"/>
          </w:rPr>
          <w:t>Periodic Safety Review</w:t>
        </w:r>
        <w:r w:rsidR="007D433E">
          <w:rPr>
            <w:webHidden/>
          </w:rPr>
          <w:tab/>
        </w:r>
        <w:r w:rsidR="007D433E">
          <w:rPr>
            <w:webHidden/>
          </w:rPr>
          <w:fldChar w:fldCharType="begin"/>
        </w:r>
        <w:r w:rsidR="007D433E">
          <w:rPr>
            <w:webHidden/>
          </w:rPr>
          <w:instrText xml:space="preserve"> PAGEREF _Toc140137269 \h </w:instrText>
        </w:r>
        <w:r w:rsidR="007D433E">
          <w:rPr>
            <w:webHidden/>
          </w:rPr>
        </w:r>
        <w:r w:rsidR="007D433E">
          <w:rPr>
            <w:webHidden/>
          </w:rPr>
          <w:fldChar w:fldCharType="separate"/>
        </w:r>
        <w:r w:rsidR="00516936">
          <w:rPr>
            <w:webHidden/>
          </w:rPr>
          <w:t>39</w:t>
        </w:r>
        <w:r w:rsidR="007D433E">
          <w:rPr>
            <w:webHidden/>
          </w:rPr>
          <w:fldChar w:fldCharType="end"/>
        </w:r>
      </w:hyperlink>
    </w:p>
    <w:p w14:paraId="3AF78163" w14:textId="13FE6DF1" w:rsidR="007D433E" w:rsidRDefault="00000000" w:rsidP="00594BC1">
      <w:pPr>
        <w:pStyle w:val="TOC2"/>
        <w:tabs>
          <w:tab w:val="left" w:pos="1100"/>
        </w:tabs>
        <w:spacing w:before="0"/>
        <w:rPr>
          <w:rFonts w:asciiTheme="minorHAnsi" w:eastAsiaTheme="minorEastAsia" w:hAnsiTheme="minorHAnsi" w:cstheme="minorBidi"/>
          <w:sz w:val="22"/>
          <w:lang w:eastAsia="en-GB" w:bidi="ar-SA"/>
        </w:rPr>
      </w:pPr>
      <w:hyperlink w:anchor="_Toc140137270" w:history="1">
        <w:r w:rsidR="007D433E" w:rsidRPr="00267623">
          <w:rPr>
            <w:rStyle w:val="Hyperlink"/>
          </w:rPr>
          <w:t>5.10.</w:t>
        </w:r>
        <w:r w:rsidR="007D433E">
          <w:rPr>
            <w:rFonts w:asciiTheme="minorHAnsi" w:eastAsiaTheme="minorEastAsia" w:hAnsiTheme="minorHAnsi" w:cstheme="minorBidi"/>
            <w:sz w:val="22"/>
            <w:lang w:eastAsia="en-GB" w:bidi="ar-SA"/>
          </w:rPr>
          <w:tab/>
        </w:r>
        <w:r w:rsidR="007D433E" w:rsidRPr="00267623">
          <w:rPr>
            <w:rStyle w:val="Hyperlink"/>
          </w:rPr>
          <w:t>Interface of External Hazards with other Disciplines</w:t>
        </w:r>
        <w:r w:rsidR="007D433E">
          <w:rPr>
            <w:webHidden/>
          </w:rPr>
          <w:tab/>
        </w:r>
        <w:r w:rsidR="007D433E">
          <w:rPr>
            <w:webHidden/>
          </w:rPr>
          <w:fldChar w:fldCharType="begin"/>
        </w:r>
        <w:r w:rsidR="007D433E">
          <w:rPr>
            <w:webHidden/>
          </w:rPr>
          <w:instrText xml:space="preserve"> PAGEREF _Toc140137270 \h </w:instrText>
        </w:r>
        <w:r w:rsidR="007D433E">
          <w:rPr>
            <w:webHidden/>
          </w:rPr>
        </w:r>
        <w:r w:rsidR="007D433E">
          <w:rPr>
            <w:webHidden/>
          </w:rPr>
          <w:fldChar w:fldCharType="separate"/>
        </w:r>
        <w:r w:rsidR="00516936">
          <w:rPr>
            <w:webHidden/>
          </w:rPr>
          <w:t>40</w:t>
        </w:r>
        <w:r w:rsidR="007D433E">
          <w:rPr>
            <w:webHidden/>
          </w:rPr>
          <w:fldChar w:fldCharType="end"/>
        </w:r>
      </w:hyperlink>
    </w:p>
    <w:p w14:paraId="442B7CEB" w14:textId="66C17CDA" w:rsidR="007D433E" w:rsidRDefault="00000000" w:rsidP="00594BC1">
      <w:pPr>
        <w:pStyle w:val="TOC1"/>
        <w:spacing w:before="0"/>
        <w:rPr>
          <w:rFonts w:asciiTheme="minorHAnsi" w:eastAsiaTheme="minorEastAsia" w:hAnsiTheme="minorHAnsi" w:cstheme="minorBidi"/>
          <w:sz w:val="22"/>
          <w:lang w:eastAsia="en-GB" w:bidi="ar-SA"/>
        </w:rPr>
      </w:pPr>
      <w:hyperlink w:anchor="_Toc140137271" w:history="1">
        <w:r w:rsidR="007D433E" w:rsidRPr="00267623">
          <w:rPr>
            <w:rStyle w:val="Hyperlink"/>
          </w:rPr>
          <w:t>References</w:t>
        </w:r>
        <w:r w:rsidR="007D433E">
          <w:rPr>
            <w:webHidden/>
          </w:rPr>
          <w:tab/>
        </w:r>
        <w:r w:rsidR="007D433E">
          <w:rPr>
            <w:webHidden/>
          </w:rPr>
          <w:fldChar w:fldCharType="begin"/>
        </w:r>
        <w:r w:rsidR="007D433E">
          <w:rPr>
            <w:webHidden/>
          </w:rPr>
          <w:instrText xml:space="preserve"> PAGEREF _Toc140137271 \h </w:instrText>
        </w:r>
        <w:r w:rsidR="007D433E">
          <w:rPr>
            <w:webHidden/>
          </w:rPr>
        </w:r>
        <w:r w:rsidR="007D433E">
          <w:rPr>
            <w:webHidden/>
          </w:rPr>
          <w:fldChar w:fldCharType="separate"/>
        </w:r>
        <w:r w:rsidR="00516936">
          <w:rPr>
            <w:webHidden/>
          </w:rPr>
          <w:t>43</w:t>
        </w:r>
        <w:r w:rsidR="007D433E">
          <w:rPr>
            <w:webHidden/>
          </w:rPr>
          <w:fldChar w:fldCharType="end"/>
        </w:r>
      </w:hyperlink>
    </w:p>
    <w:p w14:paraId="536427ED" w14:textId="5F80AA9E" w:rsidR="007D433E" w:rsidRDefault="00000000" w:rsidP="00594BC1">
      <w:pPr>
        <w:pStyle w:val="TOC1"/>
        <w:spacing w:before="0"/>
        <w:rPr>
          <w:rFonts w:asciiTheme="minorHAnsi" w:eastAsiaTheme="minorEastAsia" w:hAnsiTheme="minorHAnsi" w:cstheme="minorBidi"/>
          <w:sz w:val="22"/>
          <w:lang w:eastAsia="en-GB" w:bidi="ar-SA"/>
        </w:rPr>
      </w:pPr>
      <w:hyperlink w:anchor="_Toc140137272" w:history="1">
        <w:r w:rsidR="007D433E" w:rsidRPr="00267623">
          <w:rPr>
            <w:rStyle w:val="Hyperlink"/>
          </w:rPr>
          <w:t>Abbreviations</w:t>
        </w:r>
        <w:r w:rsidR="007D433E">
          <w:rPr>
            <w:webHidden/>
          </w:rPr>
          <w:tab/>
        </w:r>
        <w:r w:rsidR="007D433E">
          <w:rPr>
            <w:webHidden/>
          </w:rPr>
          <w:fldChar w:fldCharType="begin"/>
        </w:r>
        <w:r w:rsidR="007D433E">
          <w:rPr>
            <w:webHidden/>
          </w:rPr>
          <w:instrText xml:space="preserve"> PAGEREF _Toc140137272 \h </w:instrText>
        </w:r>
        <w:r w:rsidR="007D433E">
          <w:rPr>
            <w:webHidden/>
          </w:rPr>
        </w:r>
        <w:r w:rsidR="007D433E">
          <w:rPr>
            <w:webHidden/>
          </w:rPr>
          <w:fldChar w:fldCharType="separate"/>
        </w:r>
        <w:r w:rsidR="00516936">
          <w:rPr>
            <w:webHidden/>
          </w:rPr>
          <w:t>47</w:t>
        </w:r>
        <w:r w:rsidR="007D433E">
          <w:rPr>
            <w:webHidden/>
          </w:rPr>
          <w:fldChar w:fldCharType="end"/>
        </w:r>
      </w:hyperlink>
    </w:p>
    <w:p w14:paraId="445C7FCC" w14:textId="5FEC4B60" w:rsidR="007D433E" w:rsidRDefault="00000000" w:rsidP="00594BC1">
      <w:pPr>
        <w:pStyle w:val="TOC1"/>
        <w:spacing w:before="0"/>
        <w:rPr>
          <w:rFonts w:asciiTheme="minorHAnsi" w:eastAsiaTheme="minorEastAsia" w:hAnsiTheme="minorHAnsi" w:cstheme="minorBidi"/>
          <w:sz w:val="22"/>
          <w:lang w:eastAsia="en-GB" w:bidi="ar-SA"/>
        </w:rPr>
      </w:pPr>
      <w:hyperlink w:anchor="_Toc140137273" w:history="1">
        <w:r w:rsidR="007D433E" w:rsidRPr="00267623">
          <w:rPr>
            <w:rStyle w:val="Hyperlink"/>
          </w:rPr>
          <w:t>Glossary</w:t>
        </w:r>
        <w:r w:rsidR="007D433E">
          <w:rPr>
            <w:webHidden/>
          </w:rPr>
          <w:tab/>
        </w:r>
        <w:r w:rsidR="007D433E">
          <w:rPr>
            <w:webHidden/>
          </w:rPr>
          <w:fldChar w:fldCharType="begin"/>
        </w:r>
        <w:r w:rsidR="007D433E">
          <w:rPr>
            <w:webHidden/>
          </w:rPr>
          <w:instrText xml:space="preserve"> PAGEREF _Toc140137273 \h </w:instrText>
        </w:r>
        <w:r w:rsidR="007D433E">
          <w:rPr>
            <w:webHidden/>
          </w:rPr>
        </w:r>
        <w:r w:rsidR="007D433E">
          <w:rPr>
            <w:webHidden/>
          </w:rPr>
          <w:fldChar w:fldCharType="separate"/>
        </w:r>
        <w:r w:rsidR="00516936">
          <w:rPr>
            <w:webHidden/>
          </w:rPr>
          <w:t>48</w:t>
        </w:r>
        <w:r w:rsidR="007D433E">
          <w:rPr>
            <w:webHidden/>
          </w:rPr>
          <w:fldChar w:fldCharType="end"/>
        </w:r>
      </w:hyperlink>
    </w:p>
    <w:p w14:paraId="2B9F80A3" w14:textId="3BE9D892" w:rsidR="007D433E" w:rsidRDefault="00000000" w:rsidP="00594BC1">
      <w:pPr>
        <w:pStyle w:val="TOC1"/>
        <w:spacing w:before="0"/>
        <w:rPr>
          <w:rFonts w:asciiTheme="minorHAnsi" w:eastAsiaTheme="minorEastAsia" w:hAnsiTheme="minorHAnsi" w:cstheme="minorBidi"/>
          <w:sz w:val="22"/>
          <w:lang w:eastAsia="en-GB" w:bidi="ar-SA"/>
        </w:rPr>
      </w:pPr>
      <w:hyperlink w:anchor="_Toc140137274" w:history="1">
        <w:r w:rsidR="007D433E" w:rsidRPr="00267623">
          <w:rPr>
            <w:rStyle w:val="Hyperlink"/>
          </w:rPr>
          <w:t>Appendix A</w:t>
        </w:r>
        <w:r w:rsidR="007D433E">
          <w:rPr>
            <w:webHidden/>
          </w:rPr>
          <w:tab/>
        </w:r>
        <w:r w:rsidR="007D433E">
          <w:rPr>
            <w:webHidden/>
          </w:rPr>
          <w:fldChar w:fldCharType="begin"/>
        </w:r>
        <w:r w:rsidR="007D433E">
          <w:rPr>
            <w:webHidden/>
          </w:rPr>
          <w:instrText xml:space="preserve"> PAGEREF _Toc140137274 \h </w:instrText>
        </w:r>
        <w:r w:rsidR="007D433E">
          <w:rPr>
            <w:webHidden/>
          </w:rPr>
        </w:r>
        <w:r w:rsidR="007D433E">
          <w:rPr>
            <w:webHidden/>
          </w:rPr>
          <w:fldChar w:fldCharType="separate"/>
        </w:r>
        <w:r w:rsidR="00516936">
          <w:rPr>
            <w:webHidden/>
          </w:rPr>
          <w:t>59</w:t>
        </w:r>
        <w:r w:rsidR="007D433E">
          <w:rPr>
            <w:webHidden/>
          </w:rPr>
          <w:fldChar w:fldCharType="end"/>
        </w:r>
      </w:hyperlink>
    </w:p>
    <w:p w14:paraId="1C10B744" w14:textId="696F1719" w:rsidR="00767D70" w:rsidRPr="00B97043" w:rsidRDefault="0097785C" w:rsidP="00547634">
      <w:pPr>
        <w:pStyle w:val="TableofFigures"/>
        <w:tabs>
          <w:tab w:val="right" w:leader="dot" w:pos="9016"/>
        </w:tabs>
        <w:spacing w:before="120"/>
      </w:pPr>
      <w:r w:rsidRPr="00B97043">
        <w:fldChar w:fldCharType="end"/>
      </w:r>
    </w:p>
    <w:p w14:paraId="514EC234" w14:textId="7A6C7341" w:rsidR="007D433E" w:rsidRDefault="00767D70">
      <w:pPr>
        <w:pStyle w:val="TableofFigures"/>
        <w:tabs>
          <w:tab w:val="right" w:leader="dot" w:pos="9016"/>
        </w:tabs>
        <w:rPr>
          <w:rFonts w:asciiTheme="minorHAnsi" w:eastAsiaTheme="minorEastAsia" w:hAnsiTheme="minorHAnsi" w:cstheme="minorBidi"/>
          <w:noProof/>
          <w:sz w:val="22"/>
          <w:lang w:eastAsia="en-GB" w:bidi="ar-SA"/>
        </w:rPr>
      </w:pPr>
      <w:r w:rsidRPr="00B97043">
        <w:fldChar w:fldCharType="begin"/>
      </w:r>
      <w:r w:rsidRPr="00B97043">
        <w:instrText xml:space="preserve"> TOC \h \z \c "Table" </w:instrText>
      </w:r>
      <w:r w:rsidRPr="00B97043">
        <w:fldChar w:fldCharType="separate"/>
      </w:r>
      <w:hyperlink w:anchor="_Toc140137289" w:history="1">
        <w:r w:rsidR="007D433E" w:rsidRPr="004E66A5">
          <w:rPr>
            <w:rStyle w:val="Hyperlink"/>
            <w:noProof/>
          </w:rPr>
          <w:t>Table 1: Categories of external hazards</w:t>
        </w:r>
        <w:r w:rsidR="007D433E">
          <w:rPr>
            <w:noProof/>
            <w:webHidden/>
          </w:rPr>
          <w:tab/>
        </w:r>
        <w:r w:rsidR="007D433E">
          <w:rPr>
            <w:noProof/>
            <w:webHidden/>
          </w:rPr>
          <w:fldChar w:fldCharType="begin"/>
        </w:r>
        <w:r w:rsidR="007D433E">
          <w:rPr>
            <w:noProof/>
            <w:webHidden/>
          </w:rPr>
          <w:instrText xml:space="preserve"> PAGEREF _Toc140137289 \h </w:instrText>
        </w:r>
        <w:r w:rsidR="007D433E">
          <w:rPr>
            <w:noProof/>
            <w:webHidden/>
          </w:rPr>
        </w:r>
        <w:r w:rsidR="007D433E">
          <w:rPr>
            <w:noProof/>
            <w:webHidden/>
          </w:rPr>
          <w:fldChar w:fldCharType="separate"/>
        </w:r>
        <w:r w:rsidR="00CF705B">
          <w:rPr>
            <w:noProof/>
            <w:webHidden/>
          </w:rPr>
          <w:t>50</w:t>
        </w:r>
        <w:r w:rsidR="007D433E">
          <w:rPr>
            <w:noProof/>
            <w:webHidden/>
          </w:rPr>
          <w:fldChar w:fldCharType="end"/>
        </w:r>
      </w:hyperlink>
    </w:p>
    <w:p w14:paraId="557D34C2" w14:textId="4CD556EA" w:rsidR="007D433E" w:rsidRDefault="00000000">
      <w:pPr>
        <w:pStyle w:val="TableofFigures"/>
        <w:tabs>
          <w:tab w:val="right" w:leader="dot" w:pos="9016"/>
        </w:tabs>
        <w:rPr>
          <w:rFonts w:asciiTheme="minorHAnsi" w:eastAsiaTheme="minorEastAsia" w:hAnsiTheme="minorHAnsi" w:cstheme="minorBidi"/>
          <w:noProof/>
          <w:sz w:val="22"/>
          <w:lang w:eastAsia="en-GB" w:bidi="ar-SA"/>
        </w:rPr>
      </w:pPr>
      <w:hyperlink w:anchor="_Toc140137290" w:history="1">
        <w:r w:rsidR="007D433E" w:rsidRPr="004E66A5">
          <w:rPr>
            <w:rStyle w:val="Hyperlink"/>
            <w:noProof/>
          </w:rPr>
          <w:t>Table 2: Example list of external hazards relevant to nuclear sites in the UK</w:t>
        </w:r>
        <w:r w:rsidR="007D433E">
          <w:rPr>
            <w:noProof/>
            <w:webHidden/>
          </w:rPr>
          <w:tab/>
        </w:r>
        <w:r w:rsidR="007D433E">
          <w:rPr>
            <w:noProof/>
            <w:webHidden/>
          </w:rPr>
          <w:fldChar w:fldCharType="begin"/>
        </w:r>
        <w:r w:rsidR="007D433E">
          <w:rPr>
            <w:noProof/>
            <w:webHidden/>
          </w:rPr>
          <w:instrText xml:space="preserve"> PAGEREF _Toc140137290 \h </w:instrText>
        </w:r>
        <w:r w:rsidR="007D433E">
          <w:rPr>
            <w:noProof/>
            <w:webHidden/>
          </w:rPr>
        </w:r>
        <w:r w:rsidR="007D433E">
          <w:rPr>
            <w:noProof/>
            <w:webHidden/>
          </w:rPr>
          <w:fldChar w:fldCharType="separate"/>
        </w:r>
        <w:r w:rsidR="00CF705B">
          <w:rPr>
            <w:noProof/>
            <w:webHidden/>
          </w:rPr>
          <w:t>51</w:t>
        </w:r>
        <w:r w:rsidR="007D433E">
          <w:rPr>
            <w:noProof/>
            <w:webHidden/>
          </w:rPr>
          <w:fldChar w:fldCharType="end"/>
        </w:r>
      </w:hyperlink>
    </w:p>
    <w:p w14:paraId="3F5DD796" w14:textId="17B16E99" w:rsidR="007D433E" w:rsidRDefault="00000000">
      <w:pPr>
        <w:pStyle w:val="TableofFigures"/>
        <w:tabs>
          <w:tab w:val="right" w:leader="dot" w:pos="9016"/>
        </w:tabs>
        <w:rPr>
          <w:rFonts w:asciiTheme="minorHAnsi" w:eastAsiaTheme="minorEastAsia" w:hAnsiTheme="minorHAnsi" w:cstheme="minorBidi"/>
          <w:noProof/>
          <w:sz w:val="22"/>
          <w:lang w:eastAsia="en-GB" w:bidi="ar-SA"/>
        </w:rPr>
      </w:pPr>
      <w:hyperlink w:anchor="_Toc140137291" w:history="1">
        <w:r w:rsidR="007D433E" w:rsidRPr="004E66A5">
          <w:rPr>
            <w:rStyle w:val="Hyperlink"/>
            <w:noProof/>
          </w:rPr>
          <w:t>Table 3: Interfaces between external hazards and other disciplines</w:t>
        </w:r>
        <w:r w:rsidR="007D433E">
          <w:rPr>
            <w:noProof/>
            <w:webHidden/>
          </w:rPr>
          <w:tab/>
        </w:r>
        <w:r w:rsidR="007D433E">
          <w:rPr>
            <w:noProof/>
            <w:webHidden/>
          </w:rPr>
          <w:fldChar w:fldCharType="begin"/>
        </w:r>
        <w:r w:rsidR="007D433E">
          <w:rPr>
            <w:noProof/>
            <w:webHidden/>
          </w:rPr>
          <w:instrText xml:space="preserve"> PAGEREF _Toc140137291 \h </w:instrText>
        </w:r>
        <w:r w:rsidR="007D433E">
          <w:rPr>
            <w:noProof/>
            <w:webHidden/>
          </w:rPr>
        </w:r>
        <w:r w:rsidR="007D433E">
          <w:rPr>
            <w:noProof/>
            <w:webHidden/>
          </w:rPr>
          <w:fldChar w:fldCharType="separate"/>
        </w:r>
        <w:r w:rsidR="00CF705B">
          <w:rPr>
            <w:noProof/>
            <w:webHidden/>
          </w:rPr>
          <w:t>53</w:t>
        </w:r>
        <w:r w:rsidR="007D433E">
          <w:rPr>
            <w:noProof/>
            <w:webHidden/>
          </w:rPr>
          <w:fldChar w:fldCharType="end"/>
        </w:r>
      </w:hyperlink>
    </w:p>
    <w:p w14:paraId="0E24588E" w14:textId="6FE118C7" w:rsidR="007D433E" w:rsidRDefault="00000000">
      <w:pPr>
        <w:pStyle w:val="TableofFigures"/>
        <w:tabs>
          <w:tab w:val="right" w:leader="dot" w:pos="9016"/>
        </w:tabs>
        <w:rPr>
          <w:rFonts w:asciiTheme="minorHAnsi" w:eastAsiaTheme="minorEastAsia" w:hAnsiTheme="minorHAnsi" w:cstheme="minorBidi"/>
          <w:noProof/>
          <w:sz w:val="22"/>
          <w:lang w:eastAsia="en-GB" w:bidi="ar-SA"/>
        </w:rPr>
      </w:pPr>
      <w:hyperlink w:anchor="_Toc140137292" w:history="1">
        <w:r w:rsidR="007D433E" w:rsidRPr="004E66A5">
          <w:rPr>
            <w:rStyle w:val="Hyperlink"/>
            <w:noProof/>
          </w:rPr>
          <w:t>Table 4: Comparison with WENRA Reference Levels</w:t>
        </w:r>
        <w:r w:rsidR="007D433E">
          <w:rPr>
            <w:noProof/>
            <w:webHidden/>
          </w:rPr>
          <w:tab/>
        </w:r>
        <w:r w:rsidR="007D433E">
          <w:rPr>
            <w:noProof/>
            <w:webHidden/>
          </w:rPr>
          <w:fldChar w:fldCharType="begin"/>
        </w:r>
        <w:r w:rsidR="007D433E">
          <w:rPr>
            <w:noProof/>
            <w:webHidden/>
          </w:rPr>
          <w:instrText xml:space="preserve"> PAGEREF _Toc140137292 \h </w:instrText>
        </w:r>
        <w:r w:rsidR="007D433E">
          <w:rPr>
            <w:noProof/>
            <w:webHidden/>
          </w:rPr>
        </w:r>
        <w:r w:rsidR="007D433E">
          <w:rPr>
            <w:noProof/>
            <w:webHidden/>
          </w:rPr>
          <w:fldChar w:fldCharType="separate"/>
        </w:r>
        <w:r w:rsidR="00CF705B">
          <w:rPr>
            <w:noProof/>
            <w:webHidden/>
          </w:rPr>
          <w:t>54</w:t>
        </w:r>
        <w:r w:rsidR="007D433E">
          <w:rPr>
            <w:noProof/>
            <w:webHidden/>
          </w:rPr>
          <w:fldChar w:fldCharType="end"/>
        </w:r>
      </w:hyperlink>
    </w:p>
    <w:p w14:paraId="236608DE" w14:textId="3F85478B" w:rsidR="007D433E" w:rsidRDefault="00000000">
      <w:pPr>
        <w:pStyle w:val="TableofFigures"/>
        <w:tabs>
          <w:tab w:val="right" w:leader="dot" w:pos="9016"/>
        </w:tabs>
        <w:rPr>
          <w:rFonts w:asciiTheme="minorHAnsi" w:eastAsiaTheme="minorEastAsia" w:hAnsiTheme="minorHAnsi" w:cstheme="minorBidi"/>
          <w:noProof/>
          <w:sz w:val="22"/>
          <w:lang w:eastAsia="en-GB" w:bidi="ar-SA"/>
        </w:rPr>
      </w:pPr>
      <w:hyperlink w:anchor="_Toc140137293" w:history="1">
        <w:r w:rsidR="007D433E" w:rsidRPr="004E66A5">
          <w:rPr>
            <w:rStyle w:val="Hyperlink"/>
            <w:noProof/>
          </w:rPr>
          <w:t>Table 5: IAEA safety guides referenced in TAG 13</w:t>
        </w:r>
        <w:r w:rsidR="007D433E">
          <w:rPr>
            <w:noProof/>
            <w:webHidden/>
          </w:rPr>
          <w:tab/>
        </w:r>
        <w:r w:rsidR="007D433E">
          <w:rPr>
            <w:noProof/>
            <w:webHidden/>
          </w:rPr>
          <w:fldChar w:fldCharType="begin"/>
        </w:r>
        <w:r w:rsidR="007D433E">
          <w:rPr>
            <w:noProof/>
            <w:webHidden/>
          </w:rPr>
          <w:instrText xml:space="preserve"> PAGEREF _Toc140137293 \h </w:instrText>
        </w:r>
        <w:r w:rsidR="007D433E">
          <w:rPr>
            <w:noProof/>
            <w:webHidden/>
          </w:rPr>
        </w:r>
        <w:r w:rsidR="007D433E">
          <w:rPr>
            <w:noProof/>
            <w:webHidden/>
          </w:rPr>
          <w:fldChar w:fldCharType="separate"/>
        </w:r>
        <w:r w:rsidR="00CF705B">
          <w:rPr>
            <w:noProof/>
            <w:webHidden/>
          </w:rPr>
          <w:t>57</w:t>
        </w:r>
        <w:r w:rsidR="007D433E">
          <w:rPr>
            <w:noProof/>
            <w:webHidden/>
          </w:rPr>
          <w:fldChar w:fldCharType="end"/>
        </w:r>
      </w:hyperlink>
    </w:p>
    <w:p w14:paraId="1C6EF8DA" w14:textId="31A76788" w:rsidR="007D433E" w:rsidRDefault="00000000">
      <w:pPr>
        <w:pStyle w:val="TableofFigures"/>
        <w:tabs>
          <w:tab w:val="right" w:leader="dot" w:pos="9016"/>
        </w:tabs>
        <w:rPr>
          <w:rFonts w:asciiTheme="minorHAnsi" w:eastAsiaTheme="minorEastAsia" w:hAnsiTheme="minorHAnsi" w:cstheme="minorBidi"/>
          <w:noProof/>
          <w:sz w:val="22"/>
          <w:lang w:eastAsia="en-GB" w:bidi="ar-SA"/>
        </w:rPr>
      </w:pPr>
      <w:hyperlink w:anchor="_Toc140137294" w:history="1">
        <w:r w:rsidR="007D433E" w:rsidRPr="004E66A5">
          <w:rPr>
            <w:rStyle w:val="Hyperlink"/>
            <w:noProof/>
          </w:rPr>
          <w:t>Table 6: Example screening criteria for combinations of external hazards</w:t>
        </w:r>
        <w:r w:rsidR="007D433E">
          <w:rPr>
            <w:noProof/>
            <w:webHidden/>
          </w:rPr>
          <w:tab/>
        </w:r>
        <w:r w:rsidR="007D433E">
          <w:rPr>
            <w:noProof/>
            <w:webHidden/>
          </w:rPr>
          <w:fldChar w:fldCharType="begin"/>
        </w:r>
        <w:r w:rsidR="007D433E">
          <w:rPr>
            <w:noProof/>
            <w:webHidden/>
          </w:rPr>
          <w:instrText xml:space="preserve"> PAGEREF _Toc140137294 \h </w:instrText>
        </w:r>
        <w:r w:rsidR="007D433E">
          <w:rPr>
            <w:noProof/>
            <w:webHidden/>
          </w:rPr>
        </w:r>
        <w:r w:rsidR="007D433E">
          <w:rPr>
            <w:noProof/>
            <w:webHidden/>
          </w:rPr>
          <w:fldChar w:fldCharType="separate"/>
        </w:r>
        <w:r w:rsidR="00CF705B">
          <w:rPr>
            <w:noProof/>
            <w:webHidden/>
          </w:rPr>
          <w:t>58</w:t>
        </w:r>
        <w:r w:rsidR="007D433E">
          <w:rPr>
            <w:noProof/>
            <w:webHidden/>
          </w:rPr>
          <w:fldChar w:fldCharType="end"/>
        </w:r>
      </w:hyperlink>
    </w:p>
    <w:p w14:paraId="1336D1E1" w14:textId="684D929E" w:rsidR="00CF200D" w:rsidRPr="00B97043" w:rsidRDefault="00767D70" w:rsidP="00CF200D">
      <w:r w:rsidRPr="00B97043">
        <w:fldChar w:fldCharType="end"/>
      </w:r>
    </w:p>
    <w:p w14:paraId="4AE45B67" w14:textId="7A81DD8E" w:rsidR="007D433E" w:rsidRDefault="00E52A6D">
      <w:pPr>
        <w:pStyle w:val="TableofFigures"/>
        <w:tabs>
          <w:tab w:val="right" w:leader="dot" w:pos="9016"/>
        </w:tabs>
        <w:rPr>
          <w:rFonts w:asciiTheme="minorHAnsi" w:eastAsiaTheme="minorEastAsia" w:hAnsiTheme="minorHAnsi" w:cstheme="minorBidi"/>
          <w:noProof/>
          <w:sz w:val="22"/>
          <w:lang w:eastAsia="en-GB" w:bidi="ar-SA"/>
        </w:rPr>
      </w:pPr>
      <w:r w:rsidRPr="00B97043">
        <w:fldChar w:fldCharType="begin"/>
      </w:r>
      <w:r w:rsidRPr="00B97043">
        <w:instrText xml:space="preserve"> TOC \h \z \c "Figure" </w:instrText>
      </w:r>
      <w:r w:rsidRPr="00B97043">
        <w:fldChar w:fldCharType="separate"/>
      </w:r>
      <w:hyperlink w:anchor="_Toc140137295" w:history="1">
        <w:r w:rsidR="007D433E" w:rsidRPr="00E27D15">
          <w:rPr>
            <w:rStyle w:val="Hyperlink"/>
            <w:noProof/>
          </w:rPr>
          <w:t>Figure 1: Overview of TAG 13 Documentation</w:t>
        </w:r>
        <w:r w:rsidR="007D433E">
          <w:rPr>
            <w:noProof/>
            <w:webHidden/>
          </w:rPr>
          <w:tab/>
        </w:r>
        <w:r w:rsidR="007D433E">
          <w:rPr>
            <w:noProof/>
            <w:webHidden/>
          </w:rPr>
          <w:fldChar w:fldCharType="begin"/>
        </w:r>
        <w:r w:rsidR="007D433E">
          <w:rPr>
            <w:noProof/>
            <w:webHidden/>
          </w:rPr>
          <w:instrText xml:space="preserve"> PAGEREF _Toc140137295 \h </w:instrText>
        </w:r>
        <w:r w:rsidR="007D433E">
          <w:rPr>
            <w:noProof/>
            <w:webHidden/>
          </w:rPr>
        </w:r>
        <w:r w:rsidR="007D433E">
          <w:rPr>
            <w:noProof/>
            <w:webHidden/>
          </w:rPr>
          <w:fldChar w:fldCharType="separate"/>
        </w:r>
        <w:r w:rsidR="00516936">
          <w:rPr>
            <w:noProof/>
            <w:webHidden/>
          </w:rPr>
          <w:t>7</w:t>
        </w:r>
        <w:r w:rsidR="007D433E">
          <w:rPr>
            <w:noProof/>
            <w:webHidden/>
          </w:rPr>
          <w:fldChar w:fldCharType="end"/>
        </w:r>
      </w:hyperlink>
    </w:p>
    <w:p w14:paraId="3593605A" w14:textId="5DF469B0" w:rsidR="007D433E" w:rsidRDefault="00000000">
      <w:pPr>
        <w:pStyle w:val="TableofFigures"/>
        <w:tabs>
          <w:tab w:val="right" w:leader="dot" w:pos="9016"/>
        </w:tabs>
        <w:rPr>
          <w:rFonts w:asciiTheme="minorHAnsi" w:eastAsiaTheme="minorEastAsia" w:hAnsiTheme="minorHAnsi" w:cstheme="minorBidi"/>
          <w:noProof/>
          <w:sz w:val="22"/>
          <w:lang w:eastAsia="en-GB" w:bidi="ar-SA"/>
        </w:rPr>
      </w:pPr>
      <w:hyperlink w:anchor="_Toc140137296" w:history="1">
        <w:r w:rsidR="007D433E" w:rsidRPr="00E27D15">
          <w:rPr>
            <w:rStyle w:val="Hyperlink"/>
            <w:noProof/>
          </w:rPr>
          <w:t>Figure 2: Engineering and Fault Studies criterion for External Hazards</w:t>
        </w:r>
        <w:r w:rsidR="007D433E">
          <w:rPr>
            <w:noProof/>
            <w:webHidden/>
          </w:rPr>
          <w:tab/>
        </w:r>
        <w:r w:rsidR="007D433E">
          <w:rPr>
            <w:noProof/>
            <w:webHidden/>
          </w:rPr>
          <w:fldChar w:fldCharType="begin"/>
        </w:r>
        <w:r w:rsidR="007D433E">
          <w:rPr>
            <w:noProof/>
            <w:webHidden/>
          </w:rPr>
          <w:instrText xml:space="preserve"> PAGEREF _Toc140137296 \h </w:instrText>
        </w:r>
        <w:r w:rsidR="007D433E">
          <w:rPr>
            <w:noProof/>
            <w:webHidden/>
          </w:rPr>
        </w:r>
        <w:r w:rsidR="007D433E">
          <w:rPr>
            <w:noProof/>
            <w:webHidden/>
          </w:rPr>
          <w:fldChar w:fldCharType="separate"/>
        </w:r>
        <w:r w:rsidR="00516936">
          <w:rPr>
            <w:noProof/>
            <w:webHidden/>
          </w:rPr>
          <w:t>23</w:t>
        </w:r>
        <w:r w:rsidR="007D433E">
          <w:rPr>
            <w:noProof/>
            <w:webHidden/>
          </w:rPr>
          <w:fldChar w:fldCharType="end"/>
        </w:r>
      </w:hyperlink>
    </w:p>
    <w:p w14:paraId="5546A1BE" w14:textId="71E41FAE" w:rsidR="003E098E" w:rsidRDefault="00E52A6D" w:rsidP="00267815">
      <w:r w:rsidRPr="00B97043">
        <w:fldChar w:fldCharType="end"/>
      </w:r>
    </w:p>
    <w:p w14:paraId="4812BFF8" w14:textId="0FFDF0E7" w:rsidR="00E52A6D" w:rsidRDefault="00E52A6D" w:rsidP="00267815">
      <w:pPr>
        <w:sectPr w:rsidR="00E52A6D" w:rsidSect="000B2BCD">
          <w:headerReference w:type="even" r:id="rId13"/>
          <w:headerReference w:type="default" r:id="rId14"/>
          <w:footerReference w:type="even" r:id="rId15"/>
          <w:footerReference w:type="default" r:id="rId16"/>
          <w:pgSz w:w="11906" w:h="16838" w:code="9"/>
          <w:pgMar w:top="1440" w:right="1440" w:bottom="1440" w:left="1440" w:header="397" w:footer="397" w:gutter="0"/>
          <w:cols w:space="312"/>
          <w:docGrid w:linePitch="360"/>
        </w:sectPr>
      </w:pPr>
    </w:p>
    <w:p w14:paraId="43A875A4" w14:textId="6F1F6685" w:rsidR="008D49A5" w:rsidRDefault="008D49A5" w:rsidP="00E90780">
      <w:pPr>
        <w:pStyle w:val="Heading1"/>
        <w:numPr>
          <w:ilvl w:val="0"/>
          <w:numId w:val="25"/>
        </w:numPr>
        <w:ind w:left="851" w:hanging="851"/>
      </w:pPr>
      <w:bookmarkStart w:id="1" w:name="_Toc138924316"/>
      <w:bookmarkStart w:id="2" w:name="_Toc138924499"/>
      <w:bookmarkStart w:id="3" w:name="_Toc138924654"/>
      <w:bookmarkStart w:id="4" w:name="_Toc138924747"/>
      <w:bookmarkStart w:id="5" w:name="_Toc138924886"/>
      <w:bookmarkStart w:id="6" w:name="_Toc138924977"/>
      <w:bookmarkStart w:id="7" w:name="_Toc138925066"/>
      <w:bookmarkStart w:id="8" w:name="_Toc138925494"/>
      <w:bookmarkStart w:id="9" w:name="_Toc138931775"/>
      <w:bookmarkStart w:id="10" w:name="_Toc138943820"/>
      <w:bookmarkStart w:id="11" w:name="_Toc138924317"/>
      <w:bookmarkStart w:id="12" w:name="_Toc138924500"/>
      <w:bookmarkStart w:id="13" w:name="_Toc138924655"/>
      <w:bookmarkStart w:id="14" w:name="_Toc138924748"/>
      <w:bookmarkStart w:id="15" w:name="_Toc138924887"/>
      <w:bookmarkStart w:id="16" w:name="_Toc138924978"/>
      <w:bookmarkStart w:id="17" w:name="_Toc138925067"/>
      <w:bookmarkStart w:id="18" w:name="_Toc138925495"/>
      <w:bookmarkStart w:id="19" w:name="_Toc138931776"/>
      <w:bookmarkStart w:id="20" w:name="_Toc138943821"/>
      <w:bookmarkStart w:id="21" w:name="_Toc138924318"/>
      <w:bookmarkStart w:id="22" w:name="_Toc138924501"/>
      <w:bookmarkStart w:id="23" w:name="_Toc138924656"/>
      <w:bookmarkStart w:id="24" w:name="_Toc138924749"/>
      <w:bookmarkStart w:id="25" w:name="_Toc138924888"/>
      <w:bookmarkStart w:id="26" w:name="_Toc138924979"/>
      <w:bookmarkStart w:id="27" w:name="_Toc138925068"/>
      <w:bookmarkStart w:id="28" w:name="_Toc138925496"/>
      <w:bookmarkStart w:id="29" w:name="_Toc138931777"/>
      <w:bookmarkStart w:id="30" w:name="_Toc138943822"/>
      <w:bookmarkStart w:id="31" w:name="_Toc138924319"/>
      <w:bookmarkStart w:id="32" w:name="_Toc138924502"/>
      <w:bookmarkStart w:id="33" w:name="_Toc138924657"/>
      <w:bookmarkStart w:id="34" w:name="_Toc138924750"/>
      <w:bookmarkStart w:id="35" w:name="_Toc138924889"/>
      <w:bookmarkStart w:id="36" w:name="_Toc138924980"/>
      <w:bookmarkStart w:id="37" w:name="_Toc138925069"/>
      <w:bookmarkStart w:id="38" w:name="_Toc138925497"/>
      <w:bookmarkStart w:id="39" w:name="_Toc138931778"/>
      <w:bookmarkStart w:id="40" w:name="_Toc138943823"/>
      <w:bookmarkStart w:id="41" w:name="_Toc138924320"/>
      <w:bookmarkStart w:id="42" w:name="_Toc138924503"/>
      <w:bookmarkStart w:id="43" w:name="_Toc138924658"/>
      <w:bookmarkStart w:id="44" w:name="_Toc138924751"/>
      <w:bookmarkStart w:id="45" w:name="_Toc138924890"/>
      <w:bookmarkStart w:id="46" w:name="_Toc138924981"/>
      <w:bookmarkStart w:id="47" w:name="_Toc138925070"/>
      <w:bookmarkStart w:id="48" w:name="_Toc138925498"/>
      <w:bookmarkStart w:id="49" w:name="_Toc138931779"/>
      <w:bookmarkStart w:id="50" w:name="_Toc138943824"/>
      <w:bookmarkStart w:id="51" w:name="_Toc138924321"/>
      <w:bookmarkStart w:id="52" w:name="_Toc138924504"/>
      <w:bookmarkStart w:id="53" w:name="_Toc138924659"/>
      <w:bookmarkStart w:id="54" w:name="_Toc138924752"/>
      <w:bookmarkStart w:id="55" w:name="_Toc138924891"/>
      <w:bookmarkStart w:id="56" w:name="_Toc138924982"/>
      <w:bookmarkStart w:id="57" w:name="_Toc138925071"/>
      <w:bookmarkStart w:id="58" w:name="_Toc138925499"/>
      <w:bookmarkStart w:id="59" w:name="_Toc138931780"/>
      <w:bookmarkStart w:id="60" w:name="_Toc138943825"/>
      <w:bookmarkStart w:id="61" w:name="_Toc138924322"/>
      <w:bookmarkStart w:id="62" w:name="_Toc138924505"/>
      <w:bookmarkStart w:id="63" w:name="_Toc138924660"/>
      <w:bookmarkStart w:id="64" w:name="_Toc138924753"/>
      <w:bookmarkStart w:id="65" w:name="_Toc138924892"/>
      <w:bookmarkStart w:id="66" w:name="_Toc138924983"/>
      <w:bookmarkStart w:id="67" w:name="_Toc138925072"/>
      <w:bookmarkStart w:id="68" w:name="_Toc138925500"/>
      <w:bookmarkStart w:id="69" w:name="_Toc138931781"/>
      <w:bookmarkStart w:id="70" w:name="_Toc138943826"/>
      <w:bookmarkStart w:id="71" w:name="_Toc138924323"/>
      <w:bookmarkStart w:id="72" w:name="_Toc138924506"/>
      <w:bookmarkStart w:id="73" w:name="_Toc138924661"/>
      <w:bookmarkStart w:id="74" w:name="_Toc138924754"/>
      <w:bookmarkStart w:id="75" w:name="_Toc138924893"/>
      <w:bookmarkStart w:id="76" w:name="_Toc138924984"/>
      <w:bookmarkStart w:id="77" w:name="_Toc138925073"/>
      <w:bookmarkStart w:id="78" w:name="_Toc138925501"/>
      <w:bookmarkStart w:id="79" w:name="_Toc138931782"/>
      <w:bookmarkStart w:id="80" w:name="_Toc138943827"/>
      <w:bookmarkStart w:id="81" w:name="_Toc138924324"/>
      <w:bookmarkStart w:id="82" w:name="_Toc138924507"/>
      <w:bookmarkStart w:id="83" w:name="_Toc138924662"/>
      <w:bookmarkStart w:id="84" w:name="_Toc138924755"/>
      <w:bookmarkStart w:id="85" w:name="_Toc138924894"/>
      <w:bookmarkStart w:id="86" w:name="_Toc138924985"/>
      <w:bookmarkStart w:id="87" w:name="_Toc138925074"/>
      <w:bookmarkStart w:id="88" w:name="_Toc138925502"/>
      <w:bookmarkStart w:id="89" w:name="_Toc138931783"/>
      <w:bookmarkStart w:id="90" w:name="_Toc138943828"/>
      <w:bookmarkStart w:id="91" w:name="_Toc138924325"/>
      <w:bookmarkStart w:id="92" w:name="_Toc138924508"/>
      <w:bookmarkStart w:id="93" w:name="_Toc138924663"/>
      <w:bookmarkStart w:id="94" w:name="_Toc138924756"/>
      <w:bookmarkStart w:id="95" w:name="_Toc138924895"/>
      <w:bookmarkStart w:id="96" w:name="_Toc138924986"/>
      <w:bookmarkStart w:id="97" w:name="_Toc138925075"/>
      <w:bookmarkStart w:id="98" w:name="_Toc138925503"/>
      <w:bookmarkStart w:id="99" w:name="_Toc138931784"/>
      <w:bookmarkStart w:id="100" w:name="_Toc138943829"/>
      <w:bookmarkStart w:id="101" w:name="_Toc138924326"/>
      <w:bookmarkStart w:id="102" w:name="_Toc138924509"/>
      <w:bookmarkStart w:id="103" w:name="_Toc138924664"/>
      <w:bookmarkStart w:id="104" w:name="_Toc138924757"/>
      <w:bookmarkStart w:id="105" w:name="_Toc138924896"/>
      <w:bookmarkStart w:id="106" w:name="_Toc138924987"/>
      <w:bookmarkStart w:id="107" w:name="_Toc138925076"/>
      <w:bookmarkStart w:id="108" w:name="_Toc138925504"/>
      <w:bookmarkStart w:id="109" w:name="_Toc138931785"/>
      <w:bookmarkStart w:id="110" w:name="_Toc138943830"/>
      <w:bookmarkStart w:id="111" w:name="_Toc138924327"/>
      <w:bookmarkStart w:id="112" w:name="_Toc138924510"/>
      <w:bookmarkStart w:id="113" w:name="_Toc138924665"/>
      <w:bookmarkStart w:id="114" w:name="_Toc138924758"/>
      <w:bookmarkStart w:id="115" w:name="_Toc138924897"/>
      <w:bookmarkStart w:id="116" w:name="_Toc138924988"/>
      <w:bookmarkStart w:id="117" w:name="_Toc138925077"/>
      <w:bookmarkStart w:id="118" w:name="_Toc138925505"/>
      <w:bookmarkStart w:id="119" w:name="_Toc138931786"/>
      <w:bookmarkStart w:id="120" w:name="_Toc138943831"/>
      <w:bookmarkStart w:id="121" w:name="_Toc138924328"/>
      <w:bookmarkStart w:id="122" w:name="_Toc138924511"/>
      <w:bookmarkStart w:id="123" w:name="_Toc138924666"/>
      <w:bookmarkStart w:id="124" w:name="_Toc138924759"/>
      <w:bookmarkStart w:id="125" w:name="_Toc138924898"/>
      <w:bookmarkStart w:id="126" w:name="_Toc138924989"/>
      <w:bookmarkStart w:id="127" w:name="_Toc138925078"/>
      <w:bookmarkStart w:id="128" w:name="_Toc138925506"/>
      <w:bookmarkStart w:id="129" w:name="_Toc138931787"/>
      <w:bookmarkStart w:id="130" w:name="_Toc138943832"/>
      <w:bookmarkStart w:id="131" w:name="_Toc138924329"/>
      <w:bookmarkStart w:id="132" w:name="_Toc138924512"/>
      <w:bookmarkStart w:id="133" w:name="_Toc138924667"/>
      <w:bookmarkStart w:id="134" w:name="_Toc138924760"/>
      <w:bookmarkStart w:id="135" w:name="_Toc138924899"/>
      <w:bookmarkStart w:id="136" w:name="_Toc138924990"/>
      <w:bookmarkStart w:id="137" w:name="_Toc138925079"/>
      <w:bookmarkStart w:id="138" w:name="_Toc138925507"/>
      <w:bookmarkStart w:id="139" w:name="_Toc138931788"/>
      <w:bookmarkStart w:id="140" w:name="_Toc138943833"/>
      <w:bookmarkStart w:id="141" w:name="_Toc138924330"/>
      <w:bookmarkStart w:id="142" w:name="_Toc138924513"/>
      <w:bookmarkStart w:id="143" w:name="_Toc138924668"/>
      <w:bookmarkStart w:id="144" w:name="_Toc138924761"/>
      <w:bookmarkStart w:id="145" w:name="_Toc138924900"/>
      <w:bookmarkStart w:id="146" w:name="_Toc138924991"/>
      <w:bookmarkStart w:id="147" w:name="_Toc138925080"/>
      <w:bookmarkStart w:id="148" w:name="_Toc138925508"/>
      <w:bookmarkStart w:id="149" w:name="_Toc138931789"/>
      <w:bookmarkStart w:id="150" w:name="_Toc138943834"/>
      <w:bookmarkStart w:id="151" w:name="_Toc138924331"/>
      <w:bookmarkStart w:id="152" w:name="_Toc138924514"/>
      <w:bookmarkStart w:id="153" w:name="_Toc138924669"/>
      <w:bookmarkStart w:id="154" w:name="_Toc138924762"/>
      <w:bookmarkStart w:id="155" w:name="_Toc138924901"/>
      <w:bookmarkStart w:id="156" w:name="_Toc138924992"/>
      <w:bookmarkStart w:id="157" w:name="_Toc138925081"/>
      <w:bookmarkStart w:id="158" w:name="_Toc138925509"/>
      <w:bookmarkStart w:id="159" w:name="_Toc138931790"/>
      <w:bookmarkStart w:id="160" w:name="_Toc138943835"/>
      <w:bookmarkStart w:id="161" w:name="_Toc138924332"/>
      <w:bookmarkStart w:id="162" w:name="_Toc138924515"/>
      <w:bookmarkStart w:id="163" w:name="_Toc138924670"/>
      <w:bookmarkStart w:id="164" w:name="_Toc138924763"/>
      <w:bookmarkStart w:id="165" w:name="_Toc138924902"/>
      <w:bookmarkStart w:id="166" w:name="_Toc138924993"/>
      <w:bookmarkStart w:id="167" w:name="_Toc138925082"/>
      <w:bookmarkStart w:id="168" w:name="_Toc138925510"/>
      <w:bookmarkStart w:id="169" w:name="_Toc138931791"/>
      <w:bookmarkStart w:id="170" w:name="_Toc138943836"/>
      <w:bookmarkStart w:id="171" w:name="_Toc138924333"/>
      <w:bookmarkStart w:id="172" w:name="_Toc138924516"/>
      <w:bookmarkStart w:id="173" w:name="_Toc138924671"/>
      <w:bookmarkStart w:id="174" w:name="_Toc138924764"/>
      <w:bookmarkStart w:id="175" w:name="_Toc138924903"/>
      <w:bookmarkStart w:id="176" w:name="_Toc138924994"/>
      <w:bookmarkStart w:id="177" w:name="_Toc138925083"/>
      <w:bookmarkStart w:id="178" w:name="_Toc138925511"/>
      <w:bookmarkStart w:id="179" w:name="_Toc138931792"/>
      <w:bookmarkStart w:id="180" w:name="_Toc138943837"/>
      <w:bookmarkStart w:id="181" w:name="_Toc138924334"/>
      <w:bookmarkStart w:id="182" w:name="_Toc138924517"/>
      <w:bookmarkStart w:id="183" w:name="_Toc138924672"/>
      <w:bookmarkStart w:id="184" w:name="_Toc138924765"/>
      <w:bookmarkStart w:id="185" w:name="_Toc138924904"/>
      <w:bookmarkStart w:id="186" w:name="_Toc138924995"/>
      <w:bookmarkStart w:id="187" w:name="_Toc138925084"/>
      <w:bookmarkStart w:id="188" w:name="_Toc138925512"/>
      <w:bookmarkStart w:id="189" w:name="_Toc138931793"/>
      <w:bookmarkStart w:id="190" w:name="_Toc138943838"/>
      <w:bookmarkStart w:id="191" w:name="_Toc138924335"/>
      <w:bookmarkStart w:id="192" w:name="_Toc138924518"/>
      <w:bookmarkStart w:id="193" w:name="_Toc138924673"/>
      <w:bookmarkStart w:id="194" w:name="_Toc138924766"/>
      <w:bookmarkStart w:id="195" w:name="_Toc138924905"/>
      <w:bookmarkStart w:id="196" w:name="_Toc138924996"/>
      <w:bookmarkStart w:id="197" w:name="_Toc138925085"/>
      <w:bookmarkStart w:id="198" w:name="_Toc138925513"/>
      <w:bookmarkStart w:id="199" w:name="_Toc138931794"/>
      <w:bookmarkStart w:id="200" w:name="_Toc138943839"/>
      <w:bookmarkStart w:id="201" w:name="_Toc138924336"/>
      <w:bookmarkStart w:id="202" w:name="_Toc138924519"/>
      <w:bookmarkStart w:id="203" w:name="_Toc138924674"/>
      <w:bookmarkStart w:id="204" w:name="_Toc138924767"/>
      <w:bookmarkStart w:id="205" w:name="_Toc138924906"/>
      <w:bookmarkStart w:id="206" w:name="_Toc138924997"/>
      <w:bookmarkStart w:id="207" w:name="_Toc138925086"/>
      <w:bookmarkStart w:id="208" w:name="_Toc138925514"/>
      <w:bookmarkStart w:id="209" w:name="_Toc138931795"/>
      <w:bookmarkStart w:id="210" w:name="_Toc138943840"/>
      <w:bookmarkStart w:id="211" w:name="_Toc138924337"/>
      <w:bookmarkStart w:id="212" w:name="_Toc138924520"/>
      <w:bookmarkStart w:id="213" w:name="_Toc138924675"/>
      <w:bookmarkStart w:id="214" w:name="_Toc138924768"/>
      <w:bookmarkStart w:id="215" w:name="_Toc138924907"/>
      <w:bookmarkStart w:id="216" w:name="_Toc138924998"/>
      <w:bookmarkStart w:id="217" w:name="_Toc138925087"/>
      <w:bookmarkStart w:id="218" w:name="_Toc138925515"/>
      <w:bookmarkStart w:id="219" w:name="_Toc138931796"/>
      <w:bookmarkStart w:id="220" w:name="_Toc138943841"/>
      <w:bookmarkStart w:id="221" w:name="_Toc138924338"/>
      <w:bookmarkStart w:id="222" w:name="_Toc138924521"/>
      <w:bookmarkStart w:id="223" w:name="_Toc138924676"/>
      <w:bookmarkStart w:id="224" w:name="_Toc138924769"/>
      <w:bookmarkStart w:id="225" w:name="_Toc138924908"/>
      <w:bookmarkStart w:id="226" w:name="_Toc138924999"/>
      <w:bookmarkStart w:id="227" w:name="_Toc138925088"/>
      <w:bookmarkStart w:id="228" w:name="_Toc138925516"/>
      <w:bookmarkStart w:id="229" w:name="_Toc138931797"/>
      <w:bookmarkStart w:id="230" w:name="_Toc138943842"/>
      <w:bookmarkStart w:id="231" w:name="_Toc138924339"/>
      <w:bookmarkStart w:id="232" w:name="_Toc138924522"/>
      <w:bookmarkStart w:id="233" w:name="_Toc138924677"/>
      <w:bookmarkStart w:id="234" w:name="_Toc138924770"/>
      <w:bookmarkStart w:id="235" w:name="_Toc138924909"/>
      <w:bookmarkStart w:id="236" w:name="_Toc138925000"/>
      <w:bookmarkStart w:id="237" w:name="_Toc138925089"/>
      <w:bookmarkStart w:id="238" w:name="_Toc138925517"/>
      <w:bookmarkStart w:id="239" w:name="_Toc138931798"/>
      <w:bookmarkStart w:id="240" w:name="_Toc138943843"/>
      <w:bookmarkStart w:id="241" w:name="_Toc138924340"/>
      <w:bookmarkStart w:id="242" w:name="_Toc138924523"/>
      <w:bookmarkStart w:id="243" w:name="_Toc138924678"/>
      <w:bookmarkStart w:id="244" w:name="_Toc138924771"/>
      <w:bookmarkStart w:id="245" w:name="_Toc138924910"/>
      <w:bookmarkStart w:id="246" w:name="_Toc138925001"/>
      <w:bookmarkStart w:id="247" w:name="_Toc138925090"/>
      <w:bookmarkStart w:id="248" w:name="_Toc138925518"/>
      <w:bookmarkStart w:id="249" w:name="_Toc138931799"/>
      <w:bookmarkStart w:id="250" w:name="_Toc138943844"/>
      <w:bookmarkStart w:id="251" w:name="_Toc138924341"/>
      <w:bookmarkStart w:id="252" w:name="_Toc138924524"/>
      <w:bookmarkStart w:id="253" w:name="_Toc138924679"/>
      <w:bookmarkStart w:id="254" w:name="_Toc138924772"/>
      <w:bookmarkStart w:id="255" w:name="_Toc138924911"/>
      <w:bookmarkStart w:id="256" w:name="_Toc138925002"/>
      <w:bookmarkStart w:id="257" w:name="_Toc138925091"/>
      <w:bookmarkStart w:id="258" w:name="_Toc138925519"/>
      <w:bookmarkStart w:id="259" w:name="_Toc138931800"/>
      <w:bookmarkStart w:id="260" w:name="_Toc138943845"/>
      <w:bookmarkStart w:id="261" w:name="_Toc138924342"/>
      <w:bookmarkStart w:id="262" w:name="_Toc138924525"/>
      <w:bookmarkStart w:id="263" w:name="_Toc138924680"/>
      <w:bookmarkStart w:id="264" w:name="_Toc138924773"/>
      <w:bookmarkStart w:id="265" w:name="_Toc138924912"/>
      <w:bookmarkStart w:id="266" w:name="_Toc138925003"/>
      <w:bookmarkStart w:id="267" w:name="_Toc138925092"/>
      <w:bookmarkStart w:id="268" w:name="_Toc138925520"/>
      <w:bookmarkStart w:id="269" w:name="_Toc138931801"/>
      <w:bookmarkStart w:id="270" w:name="_Toc138943846"/>
      <w:bookmarkStart w:id="271" w:name="_Toc138924343"/>
      <w:bookmarkStart w:id="272" w:name="_Toc138924526"/>
      <w:bookmarkStart w:id="273" w:name="_Toc138924681"/>
      <w:bookmarkStart w:id="274" w:name="_Toc138924774"/>
      <w:bookmarkStart w:id="275" w:name="_Toc138924913"/>
      <w:bookmarkStart w:id="276" w:name="_Toc138925004"/>
      <w:bookmarkStart w:id="277" w:name="_Toc138925093"/>
      <w:bookmarkStart w:id="278" w:name="_Toc138925521"/>
      <w:bookmarkStart w:id="279" w:name="_Toc138931802"/>
      <w:bookmarkStart w:id="280" w:name="_Toc138943847"/>
      <w:bookmarkStart w:id="281" w:name="_Toc138924344"/>
      <w:bookmarkStart w:id="282" w:name="_Toc138924527"/>
      <w:bookmarkStart w:id="283" w:name="_Toc138924682"/>
      <w:bookmarkStart w:id="284" w:name="_Toc138924775"/>
      <w:bookmarkStart w:id="285" w:name="_Toc138924914"/>
      <w:bookmarkStart w:id="286" w:name="_Toc138925005"/>
      <w:bookmarkStart w:id="287" w:name="_Toc138925094"/>
      <w:bookmarkStart w:id="288" w:name="_Toc138925522"/>
      <w:bookmarkStart w:id="289" w:name="_Toc138931803"/>
      <w:bookmarkStart w:id="290" w:name="_Toc138943848"/>
      <w:bookmarkStart w:id="291" w:name="_Toc138924345"/>
      <w:bookmarkStart w:id="292" w:name="_Toc138924528"/>
      <w:bookmarkStart w:id="293" w:name="_Toc138924683"/>
      <w:bookmarkStart w:id="294" w:name="_Toc138924776"/>
      <w:bookmarkStart w:id="295" w:name="_Toc138924915"/>
      <w:bookmarkStart w:id="296" w:name="_Toc138925006"/>
      <w:bookmarkStart w:id="297" w:name="_Toc138925095"/>
      <w:bookmarkStart w:id="298" w:name="_Toc138925523"/>
      <w:bookmarkStart w:id="299" w:name="_Toc138931804"/>
      <w:bookmarkStart w:id="300" w:name="_Toc138943849"/>
      <w:bookmarkStart w:id="301" w:name="_Toc138924346"/>
      <w:bookmarkStart w:id="302" w:name="_Toc138924529"/>
      <w:bookmarkStart w:id="303" w:name="_Toc138924684"/>
      <w:bookmarkStart w:id="304" w:name="_Toc138924777"/>
      <w:bookmarkStart w:id="305" w:name="_Toc138924916"/>
      <w:bookmarkStart w:id="306" w:name="_Toc138925007"/>
      <w:bookmarkStart w:id="307" w:name="_Toc138925096"/>
      <w:bookmarkStart w:id="308" w:name="_Toc138925524"/>
      <w:bookmarkStart w:id="309" w:name="_Toc138931805"/>
      <w:bookmarkStart w:id="310" w:name="_Toc138943850"/>
      <w:bookmarkStart w:id="311" w:name="_Toc138924347"/>
      <w:bookmarkStart w:id="312" w:name="_Toc138924530"/>
      <w:bookmarkStart w:id="313" w:name="_Toc138924685"/>
      <w:bookmarkStart w:id="314" w:name="_Toc138924778"/>
      <w:bookmarkStart w:id="315" w:name="_Toc138924917"/>
      <w:bookmarkStart w:id="316" w:name="_Toc138925008"/>
      <w:bookmarkStart w:id="317" w:name="_Toc138925097"/>
      <w:bookmarkStart w:id="318" w:name="_Toc138925525"/>
      <w:bookmarkStart w:id="319" w:name="_Toc138931806"/>
      <w:bookmarkStart w:id="320" w:name="_Toc138943851"/>
      <w:bookmarkStart w:id="321" w:name="_Toc138924348"/>
      <w:bookmarkStart w:id="322" w:name="_Toc138924531"/>
      <w:bookmarkStart w:id="323" w:name="_Toc138924686"/>
      <w:bookmarkStart w:id="324" w:name="_Toc138924779"/>
      <w:bookmarkStart w:id="325" w:name="_Toc138924918"/>
      <w:bookmarkStart w:id="326" w:name="_Toc138925009"/>
      <w:bookmarkStart w:id="327" w:name="_Toc138925098"/>
      <w:bookmarkStart w:id="328" w:name="_Toc138925526"/>
      <w:bookmarkStart w:id="329" w:name="_Toc138931807"/>
      <w:bookmarkStart w:id="330" w:name="_Toc138943852"/>
      <w:bookmarkStart w:id="331" w:name="_Toc138924349"/>
      <w:bookmarkStart w:id="332" w:name="_Toc138924532"/>
      <w:bookmarkStart w:id="333" w:name="_Toc138924687"/>
      <w:bookmarkStart w:id="334" w:name="_Toc138924780"/>
      <w:bookmarkStart w:id="335" w:name="_Toc138924919"/>
      <w:bookmarkStart w:id="336" w:name="_Toc138925010"/>
      <w:bookmarkStart w:id="337" w:name="_Toc138925099"/>
      <w:bookmarkStart w:id="338" w:name="_Toc138925527"/>
      <w:bookmarkStart w:id="339" w:name="_Toc138931808"/>
      <w:bookmarkStart w:id="340" w:name="_Toc138943853"/>
      <w:bookmarkStart w:id="341" w:name="_Toc138924350"/>
      <w:bookmarkStart w:id="342" w:name="_Toc138924533"/>
      <w:bookmarkStart w:id="343" w:name="_Toc138924688"/>
      <w:bookmarkStart w:id="344" w:name="_Toc138924781"/>
      <w:bookmarkStart w:id="345" w:name="_Toc138924920"/>
      <w:bookmarkStart w:id="346" w:name="_Toc138925011"/>
      <w:bookmarkStart w:id="347" w:name="_Toc138925100"/>
      <w:bookmarkStart w:id="348" w:name="_Toc138925528"/>
      <w:bookmarkStart w:id="349" w:name="_Toc138931809"/>
      <w:bookmarkStart w:id="350" w:name="_Toc138943854"/>
      <w:bookmarkStart w:id="351" w:name="_Toc138924363"/>
      <w:bookmarkStart w:id="352" w:name="_Toc138924546"/>
      <w:bookmarkStart w:id="353" w:name="_Toc138924701"/>
      <w:bookmarkStart w:id="354" w:name="_Toc138924794"/>
      <w:bookmarkStart w:id="355" w:name="_Toc138924933"/>
      <w:bookmarkStart w:id="356" w:name="_Toc138925024"/>
      <w:bookmarkStart w:id="357" w:name="_Toc138925113"/>
      <w:bookmarkStart w:id="358" w:name="_Toc138925541"/>
      <w:bookmarkStart w:id="359" w:name="_Toc138931822"/>
      <w:bookmarkStart w:id="360" w:name="_Toc138943867"/>
      <w:bookmarkStart w:id="361" w:name="_Toc138924369"/>
      <w:bookmarkStart w:id="362" w:name="_Toc138924552"/>
      <w:bookmarkStart w:id="363" w:name="_Toc138924707"/>
      <w:bookmarkStart w:id="364" w:name="_Toc138924800"/>
      <w:bookmarkStart w:id="365" w:name="_Toc138924939"/>
      <w:bookmarkStart w:id="366" w:name="_Toc138925030"/>
      <w:bookmarkStart w:id="367" w:name="_Toc138925119"/>
      <w:bookmarkStart w:id="368" w:name="_Toc138925547"/>
      <w:bookmarkStart w:id="369" w:name="_Toc138931828"/>
      <w:bookmarkStart w:id="370" w:name="_Toc138943873"/>
      <w:bookmarkStart w:id="371" w:name="_Toc138924375"/>
      <w:bookmarkStart w:id="372" w:name="_Toc138924558"/>
      <w:bookmarkStart w:id="373" w:name="_Toc138924713"/>
      <w:bookmarkStart w:id="374" w:name="_Toc138924806"/>
      <w:bookmarkStart w:id="375" w:name="_Toc138924945"/>
      <w:bookmarkStart w:id="376" w:name="_Toc138925036"/>
      <w:bookmarkStart w:id="377" w:name="_Toc138925125"/>
      <w:bookmarkStart w:id="378" w:name="_Toc138925553"/>
      <w:bookmarkStart w:id="379" w:name="_Toc138931834"/>
      <w:bookmarkStart w:id="380" w:name="_Toc138943879"/>
      <w:bookmarkStart w:id="381" w:name="_Toc138924376"/>
      <w:bookmarkStart w:id="382" w:name="_Toc138924559"/>
      <w:bookmarkStart w:id="383" w:name="_Toc138924714"/>
      <w:bookmarkStart w:id="384" w:name="_Toc138924807"/>
      <w:bookmarkStart w:id="385" w:name="_Toc138924946"/>
      <w:bookmarkStart w:id="386" w:name="_Toc138925037"/>
      <w:bookmarkStart w:id="387" w:name="_Toc138925126"/>
      <w:bookmarkStart w:id="388" w:name="_Toc138925554"/>
      <w:bookmarkStart w:id="389" w:name="_Toc138931835"/>
      <w:bookmarkStart w:id="390" w:name="_Toc138943880"/>
      <w:bookmarkStart w:id="391" w:name="_Toc138924377"/>
      <w:bookmarkStart w:id="392" w:name="_Toc138924560"/>
      <w:bookmarkStart w:id="393" w:name="_Toc138924715"/>
      <w:bookmarkStart w:id="394" w:name="_Toc138924808"/>
      <w:bookmarkStart w:id="395" w:name="_Toc138924947"/>
      <w:bookmarkStart w:id="396" w:name="_Toc138925038"/>
      <w:bookmarkStart w:id="397" w:name="_Toc138925127"/>
      <w:bookmarkStart w:id="398" w:name="_Toc138925555"/>
      <w:bookmarkStart w:id="399" w:name="_Toc138931836"/>
      <w:bookmarkStart w:id="400" w:name="_Toc138943881"/>
      <w:bookmarkStart w:id="401" w:name="_Toc140137233"/>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r w:rsidRPr="00E90780">
        <w:lastRenderedPageBreak/>
        <w:t>Introduction</w:t>
      </w:r>
      <w:bookmarkEnd w:id="401"/>
    </w:p>
    <w:p w14:paraId="56D71E00" w14:textId="0FCD043F" w:rsidR="000950B3" w:rsidRPr="00712FD1" w:rsidRDefault="00045A82" w:rsidP="000D6BF8">
      <w:pPr>
        <w:pStyle w:val="F9-Paragraph"/>
        <w:ind w:hanging="502"/>
      </w:pPr>
      <w:bookmarkStart w:id="402" w:name="_Hlk64448648"/>
      <w:r>
        <w:t>The Office for Nuclear Regulation (</w:t>
      </w:r>
      <w:r w:rsidR="000950B3" w:rsidRPr="00712FD1">
        <w:t>ONR</w:t>
      </w:r>
      <w:r>
        <w:t>)</w:t>
      </w:r>
      <w:r w:rsidR="000950B3" w:rsidRPr="00712FD1">
        <w:t xml:space="preserve"> has established its </w:t>
      </w:r>
      <w:hyperlink r:id="rId17" w:history="1">
        <w:r w:rsidR="000950B3" w:rsidRPr="000D6BF8">
          <w:t>Safety Assessment Principles</w:t>
        </w:r>
      </w:hyperlink>
      <w:r w:rsidR="000950B3" w:rsidRPr="00712FD1">
        <w:t xml:space="preserve"> (SAPs) </w:t>
      </w:r>
      <w:sdt>
        <w:sdtPr>
          <w:id w:val="-1891410551"/>
          <w:citation/>
        </w:sdtPr>
        <w:sdtContent>
          <w:r w:rsidR="000950B3">
            <w:fldChar w:fldCharType="begin"/>
          </w:r>
          <w:r w:rsidR="00F12D69">
            <w:instrText xml:space="preserve">CITATION ONR2013 \l 2057 </w:instrText>
          </w:r>
          <w:r w:rsidR="000950B3">
            <w:fldChar w:fldCharType="separate"/>
          </w:r>
          <w:r w:rsidR="002A4EED">
            <w:t>[1]</w:t>
          </w:r>
          <w:r w:rsidR="000950B3">
            <w:fldChar w:fldCharType="end"/>
          </w:r>
        </w:sdtContent>
      </w:sdt>
      <w:r w:rsidR="000950B3">
        <w:t xml:space="preserve"> </w:t>
      </w:r>
      <w:r w:rsidR="000950B3" w:rsidRPr="00712FD1">
        <w:t>which apply to the assessment by ONR specialist inspectors of safety cases for nuclear facilities that may be operated by potential licensees, existing licensees, or other duty-holders.</w:t>
      </w:r>
      <w:r w:rsidR="000950B3">
        <w:t xml:space="preserve"> </w:t>
      </w:r>
      <w:r w:rsidR="000950B3" w:rsidRPr="00712FD1">
        <w:t xml:space="preserve">The principles presented in the SAPs are supported by a suite of guides to further assist ONR’s inspectors in their technical assessment work in support of making regulatory judgements and decisions. This technical assessment guide (TAG) </w:t>
      </w:r>
      <w:r w:rsidR="005C35DE">
        <w:t xml:space="preserve">for external hazards </w:t>
      </w:r>
      <w:r w:rsidR="000950B3" w:rsidRPr="00712FD1">
        <w:t>is one of these guides.</w:t>
      </w:r>
    </w:p>
    <w:bookmarkEnd w:id="402"/>
    <w:p w14:paraId="10B3BEA3" w14:textId="366AF6E5" w:rsidR="000A51C3" w:rsidRPr="000A51C3" w:rsidRDefault="000A51C3" w:rsidP="00547634">
      <w:pPr>
        <w:pStyle w:val="F9-Paragraph"/>
        <w:numPr>
          <w:ilvl w:val="0"/>
          <w:numId w:val="0"/>
        </w:numPr>
        <w:ind w:left="383" w:hanging="360"/>
        <w:sectPr w:rsidR="000A51C3" w:rsidRPr="000A51C3" w:rsidSect="000B2BCD">
          <w:headerReference w:type="default" r:id="rId18"/>
          <w:footerReference w:type="default" r:id="rId19"/>
          <w:pgSz w:w="11906" w:h="16838" w:code="9"/>
          <w:pgMar w:top="1440" w:right="1440" w:bottom="1440" w:left="1440" w:header="397" w:footer="397" w:gutter="0"/>
          <w:cols w:space="312"/>
          <w:docGrid w:linePitch="360"/>
        </w:sectPr>
      </w:pPr>
    </w:p>
    <w:p w14:paraId="05AAE39A" w14:textId="0A2D6515" w:rsidR="008D49A5" w:rsidRDefault="000950B3" w:rsidP="00E90780">
      <w:pPr>
        <w:pStyle w:val="Heading1"/>
      </w:pPr>
      <w:bookmarkStart w:id="403" w:name="_Toc140137234"/>
      <w:r>
        <w:lastRenderedPageBreak/>
        <w:t>Purpose and Scope</w:t>
      </w:r>
      <w:bookmarkEnd w:id="403"/>
    </w:p>
    <w:p w14:paraId="495B7D3E" w14:textId="6D3E37A0" w:rsidR="00930799" w:rsidRPr="005B1C10" w:rsidRDefault="00930799" w:rsidP="000D6BF8">
      <w:pPr>
        <w:pStyle w:val="F9-Paragraph"/>
        <w:ind w:hanging="502"/>
      </w:pPr>
      <w:r w:rsidRPr="005B1C10">
        <w:t xml:space="preserve">The SAPs require an effective process to be applied to identify and characterise all external hazards (EHs) that could affect the safety of a facility. EHs should be considered an integral part of demonstrating a facility’s nuclear safety capability. The safety demonstration in relation to EHs should include analysis of the </w:t>
      </w:r>
      <w:r w:rsidR="0050356C">
        <w:t>D</w:t>
      </w:r>
      <w:r w:rsidRPr="005B1C10">
        <w:t xml:space="preserve">esign </w:t>
      </w:r>
      <w:r w:rsidR="0050356C">
        <w:t>B</w:t>
      </w:r>
      <w:r w:rsidRPr="005B1C10">
        <w:t xml:space="preserve">asis </w:t>
      </w:r>
      <w:r w:rsidR="00996208">
        <w:t xml:space="preserve">(DB) </w:t>
      </w:r>
      <w:r w:rsidRPr="005B1C10">
        <w:t xml:space="preserve">and </w:t>
      </w:r>
      <w:r w:rsidR="0050356C">
        <w:t>B</w:t>
      </w:r>
      <w:r w:rsidRPr="005B1C10">
        <w:t xml:space="preserve">eyond </w:t>
      </w:r>
      <w:r w:rsidR="0050356C">
        <w:t>D</w:t>
      </w:r>
      <w:r w:rsidRPr="005B1C10">
        <w:t xml:space="preserve">esign </w:t>
      </w:r>
      <w:r w:rsidR="0050356C">
        <w:t>B</w:t>
      </w:r>
      <w:r w:rsidRPr="005B1C10">
        <w:t>asis (BDB) conditions</w:t>
      </w:r>
      <w:r w:rsidRPr="00A2069F">
        <w:rPr>
          <w:vertAlign w:val="superscript"/>
        </w:rPr>
        <w:footnoteReference w:id="2"/>
      </w:r>
      <w:r w:rsidRPr="005B1C10">
        <w:t xml:space="preserve"> with the aim of defining protection requirements to move the facility towards and maintain it in a safe state and identify opportunities for improvement.</w:t>
      </w:r>
    </w:p>
    <w:p w14:paraId="6B45C28E" w14:textId="4433D1FC" w:rsidR="00AA1DF2" w:rsidRPr="00C742A6" w:rsidRDefault="00AA1DF2" w:rsidP="000D6BF8">
      <w:pPr>
        <w:pStyle w:val="F9-Paragraph"/>
        <w:ind w:hanging="502"/>
      </w:pPr>
      <w:bookmarkStart w:id="404" w:name="_Toc473126204"/>
      <w:bookmarkStart w:id="405" w:name="_Toc473127824"/>
      <w:r w:rsidRPr="005B1C10">
        <w:t xml:space="preserve">EHs on nuclear facilities should be identified </w:t>
      </w:r>
      <w:r w:rsidRPr="00F249E9">
        <w:t xml:space="preserve">and </w:t>
      </w:r>
      <w:r w:rsidRPr="00547634">
        <w:t>accounted for</w:t>
      </w:r>
      <w:r w:rsidRPr="00F249E9">
        <w:t xml:space="preserve"> in the </w:t>
      </w:r>
      <w:r w:rsidR="00CB256E">
        <w:t>l</w:t>
      </w:r>
      <w:r w:rsidRPr="00F249E9">
        <w:t>icensee’s</w:t>
      </w:r>
      <w:r w:rsidR="003C67D0" w:rsidRPr="000D6BF8">
        <w:footnoteReference w:id="3"/>
      </w:r>
      <w:r w:rsidRPr="00F249E9">
        <w:t xml:space="preserve"> safety analysis. This guide explains the approach adopted </w:t>
      </w:r>
      <w:r w:rsidRPr="005B1C10">
        <w:t xml:space="preserve">by ONR in its assessment of </w:t>
      </w:r>
      <w:r w:rsidR="00107A66">
        <w:t>l</w:t>
      </w:r>
      <w:r w:rsidRPr="005B1C10">
        <w:t xml:space="preserve">icensees’ safety submissions where consideration of EHs is relevant to nuclear </w:t>
      </w:r>
      <w:r w:rsidRPr="00C742A6">
        <w:t xml:space="preserve">safety. It covers the relevance of EHs to Licence Conditions (LCs), to other related legislation, and to ONR’s internal guidance </w:t>
      </w:r>
      <w:r w:rsidR="007914A4">
        <w:t xml:space="preserve">– </w:t>
      </w:r>
      <w:r w:rsidRPr="00C742A6">
        <w:t>SAPs and TAGs</w:t>
      </w:r>
      <w:r>
        <w:t xml:space="preserve">. Also, to </w:t>
      </w:r>
      <w:r w:rsidRPr="00C742A6">
        <w:t>other applicable standards, in particular guidance published by the International Atomic Energy Agency (IAEA) and Western European Nuclear Regulators Association (WENRA).</w:t>
      </w:r>
      <w:bookmarkEnd w:id="404"/>
      <w:bookmarkEnd w:id="405"/>
      <w:r w:rsidRPr="00C742A6">
        <w:t xml:space="preserve"> </w:t>
      </w:r>
    </w:p>
    <w:p w14:paraId="5EEB3F9C" w14:textId="293AA7F3" w:rsidR="00930799" w:rsidRDefault="00AA1DF2" w:rsidP="000D6BF8">
      <w:pPr>
        <w:pStyle w:val="F9-Paragraph"/>
        <w:ind w:hanging="502"/>
      </w:pPr>
      <w:r w:rsidRPr="005B1C10">
        <w:t xml:space="preserve">This TAG </w:t>
      </w:r>
      <w:r w:rsidR="00673330">
        <w:t xml:space="preserve">incorporates </w:t>
      </w:r>
      <w:r w:rsidRPr="005B1C10">
        <w:t xml:space="preserve">the learning from the events at Fukushima </w:t>
      </w:r>
      <w:proofErr w:type="spellStart"/>
      <w:r w:rsidRPr="005B1C10">
        <w:t>Dai-ichi</w:t>
      </w:r>
      <w:proofErr w:type="spellEnd"/>
      <w:r w:rsidRPr="005B1C10">
        <w:t xml:space="preserve"> </w:t>
      </w:r>
      <w:r w:rsidR="00F7334B">
        <w:t>i</w:t>
      </w:r>
      <w:r w:rsidRPr="005B1C10">
        <w:t xml:space="preserve">n 2011. There has been extensive development of standards by international bodies since that time and comprehensive safety reviews have been performed by UK </w:t>
      </w:r>
      <w:r w:rsidR="00565F10">
        <w:t>l</w:t>
      </w:r>
      <w:r w:rsidRPr="005B1C10">
        <w:t>icensees. The SAPs were updated in 2014 to reflect this learning.</w:t>
      </w:r>
    </w:p>
    <w:p w14:paraId="500731B7" w14:textId="698F3C4D" w:rsidR="00F5265A" w:rsidRPr="005B1C10" w:rsidRDefault="00F5265A" w:rsidP="000D6BF8">
      <w:pPr>
        <w:pStyle w:val="F9-Paragraph"/>
        <w:ind w:hanging="502"/>
      </w:pPr>
      <w:r w:rsidRPr="005B1C10">
        <w:t>This TAG considers the SAPs in relation to EHs in detail and forms the principal interpretation of these principles by ONR. It contains guidance to advise and inform ONR inspectors in the exercise of their professional regulatory judgement. As for the SAPs, and to avoid repetition in this guide, the judgement is always subject to the As Low As Reasonably Practicable (ALARP) requirement for risk assessment (SAPs</w:t>
      </w:r>
      <w:sdt>
        <w:sdtPr>
          <w:id w:val="-1685358132"/>
          <w:citation/>
        </w:sdtPr>
        <w:sdtContent>
          <w:r w:rsidR="004D300F">
            <w:fldChar w:fldCharType="begin"/>
          </w:r>
          <w:r w:rsidR="00F12D69">
            <w:instrText xml:space="preserve">CITATION ONR2013 \l 2057 </w:instrText>
          </w:r>
          <w:r w:rsidR="004D300F">
            <w:fldChar w:fldCharType="separate"/>
          </w:r>
          <w:r w:rsidR="002A4EED">
            <w:t xml:space="preserve"> [1]</w:t>
          </w:r>
          <w:r w:rsidR="004D300F">
            <w:fldChar w:fldCharType="end"/>
          </w:r>
        </w:sdtContent>
      </w:sdt>
      <w:r w:rsidRPr="005B1C10">
        <w:t xml:space="preserve"> paragraph 16). Not all the guidance applies to all assessments or all facilities, and consideration of proportionality applies throughout. </w:t>
      </w:r>
      <w:r w:rsidR="00FA317E">
        <w:t xml:space="preserve">Some key concepts that relate to the </w:t>
      </w:r>
      <w:r w:rsidRPr="005B1C10">
        <w:t>application of this guidance are explained in more detail below:</w:t>
      </w:r>
    </w:p>
    <w:p w14:paraId="18A3EAC6" w14:textId="59841A7C" w:rsidR="00930799" w:rsidRPr="00C500B4" w:rsidRDefault="00C500B4" w:rsidP="00D810DB">
      <w:pPr>
        <w:pStyle w:val="Bulletlist1"/>
      </w:pPr>
      <w:r w:rsidRPr="005B1C10">
        <w:rPr>
          <w:rFonts w:eastAsia="Times New Roman" w:cs="Times New Roman"/>
          <w:i/>
          <w:szCs w:val="24"/>
        </w:rPr>
        <w:t>Application of the ALARP principle</w:t>
      </w:r>
      <w:r w:rsidRPr="005B1C10">
        <w:rPr>
          <w:rFonts w:eastAsia="Times New Roman" w:cs="Times New Roman"/>
          <w:szCs w:val="24"/>
        </w:rPr>
        <w:t xml:space="preserve">: Inspectors assessing </w:t>
      </w:r>
      <w:r w:rsidR="003577F9">
        <w:rPr>
          <w:rFonts w:eastAsia="Times New Roman" w:cs="Times New Roman"/>
          <w:szCs w:val="24"/>
        </w:rPr>
        <w:t>l</w:t>
      </w:r>
      <w:r w:rsidRPr="005B1C10">
        <w:rPr>
          <w:rFonts w:eastAsia="Times New Roman" w:cs="Times New Roman"/>
          <w:szCs w:val="24"/>
        </w:rPr>
        <w:t xml:space="preserve">icensee safety cases are primarily concerned with forming a judgement as to whether the risk arising from the nuclear activity for which the case provides a safety justification is ALARP. A case that demonstrates this is legally defined as “adequate” and is suitable as a vehicle for supporting a permissioning decision by ONR. The </w:t>
      </w:r>
      <w:r w:rsidR="0010521E">
        <w:rPr>
          <w:rFonts w:eastAsia="Times New Roman" w:cs="Times New Roman"/>
          <w:szCs w:val="24"/>
        </w:rPr>
        <w:t xml:space="preserve">introduction to the </w:t>
      </w:r>
      <w:r w:rsidRPr="005B1C10">
        <w:rPr>
          <w:rFonts w:eastAsia="Times New Roman" w:cs="Times New Roman"/>
          <w:szCs w:val="24"/>
        </w:rPr>
        <w:t>SAPs</w:t>
      </w:r>
      <w:sdt>
        <w:sdtPr>
          <w:rPr>
            <w:rFonts w:eastAsia="Times New Roman" w:cs="Times New Roman"/>
            <w:szCs w:val="24"/>
          </w:rPr>
          <w:id w:val="1477413017"/>
          <w:citation/>
        </w:sdtPr>
        <w:sdtContent>
          <w:r w:rsidR="004D300F">
            <w:rPr>
              <w:rFonts w:eastAsia="Times New Roman" w:cs="Times New Roman"/>
              <w:szCs w:val="24"/>
            </w:rPr>
            <w:fldChar w:fldCharType="begin"/>
          </w:r>
          <w:r w:rsidR="00F12D69">
            <w:rPr>
              <w:rFonts w:eastAsia="Times New Roman" w:cs="Times New Roman"/>
              <w:szCs w:val="24"/>
            </w:rPr>
            <w:instrText xml:space="preserve">CITATION ONR2013 \l 2057 </w:instrText>
          </w:r>
          <w:r w:rsidR="004D300F">
            <w:rPr>
              <w:rFonts w:eastAsia="Times New Roman" w:cs="Times New Roman"/>
              <w:szCs w:val="24"/>
            </w:rPr>
            <w:fldChar w:fldCharType="separate"/>
          </w:r>
          <w:r w:rsidR="002A4EED">
            <w:rPr>
              <w:rFonts w:eastAsia="Times New Roman" w:cs="Times New Roman"/>
              <w:szCs w:val="24"/>
            </w:rPr>
            <w:t xml:space="preserve"> </w:t>
          </w:r>
          <w:r w:rsidR="002A4EED" w:rsidRPr="002A4EED">
            <w:rPr>
              <w:rFonts w:eastAsia="Times New Roman" w:cs="Times New Roman"/>
              <w:szCs w:val="24"/>
            </w:rPr>
            <w:t>[1]</w:t>
          </w:r>
          <w:r w:rsidR="004D300F">
            <w:rPr>
              <w:rFonts w:eastAsia="Times New Roman" w:cs="Times New Roman"/>
              <w:szCs w:val="24"/>
            </w:rPr>
            <w:fldChar w:fldCharType="end"/>
          </w:r>
        </w:sdtContent>
      </w:sdt>
      <w:r w:rsidRPr="005B1C10">
        <w:rPr>
          <w:rFonts w:eastAsia="Times New Roman" w:cs="Times New Roman"/>
          <w:szCs w:val="24"/>
        </w:rPr>
        <w:t xml:space="preserve"> summarise the legal position and the role played by ONR </w:t>
      </w:r>
      <w:r w:rsidRPr="005B1C10">
        <w:rPr>
          <w:rFonts w:eastAsia="Times New Roman" w:cs="Times New Roman"/>
          <w:szCs w:val="24"/>
        </w:rPr>
        <w:lastRenderedPageBreak/>
        <w:t>guidance. SAPs paragraphs 11 and 15 provide useful links between the ALARP principle and the importance of Relevant Good Practice (RGP) in nuclear safety cases</w:t>
      </w:r>
      <w:r>
        <w:rPr>
          <w:rFonts w:eastAsia="Times New Roman" w:cs="Times New Roman"/>
          <w:szCs w:val="24"/>
        </w:rPr>
        <w:t>.</w:t>
      </w:r>
    </w:p>
    <w:p w14:paraId="7D96D35E" w14:textId="715CA628" w:rsidR="00C500B4" w:rsidRPr="005F0580" w:rsidRDefault="005F0580" w:rsidP="00D810DB">
      <w:pPr>
        <w:pStyle w:val="Bulletlist1"/>
      </w:pPr>
      <w:r w:rsidRPr="005B1C10">
        <w:rPr>
          <w:rFonts w:eastAsia="Times New Roman" w:cs="Times New Roman"/>
          <w:i/>
          <w:szCs w:val="24"/>
        </w:rPr>
        <w:t>Proportionality</w:t>
      </w:r>
      <w:r w:rsidRPr="005B1C10">
        <w:rPr>
          <w:rFonts w:eastAsia="Times New Roman" w:cs="Times New Roman"/>
          <w:szCs w:val="24"/>
        </w:rPr>
        <w:t xml:space="preserve">: This concept recognises that ONR regulates a wide variety of nuclear plant and sites. Not all principles in the SAPs are appropriate to all sites and plant activities, and an important consideration is that </w:t>
      </w:r>
      <w:r w:rsidRPr="00A24709">
        <w:rPr>
          <w:rFonts w:eastAsia="Times New Roman" w:cs="Times New Roman"/>
          <w:szCs w:val="24"/>
        </w:rPr>
        <w:t xml:space="preserve">inspectors </w:t>
      </w:r>
      <w:r w:rsidRPr="00547634">
        <w:rPr>
          <w:rFonts w:eastAsia="Times New Roman" w:cs="Times New Roman"/>
          <w:szCs w:val="24"/>
        </w:rPr>
        <w:t>should</w:t>
      </w:r>
      <w:r w:rsidRPr="00A24709">
        <w:rPr>
          <w:rFonts w:eastAsia="Times New Roman" w:cs="Times New Roman"/>
          <w:szCs w:val="24"/>
        </w:rPr>
        <w:t xml:space="preserve"> </w:t>
      </w:r>
      <w:r w:rsidRPr="005B1C10">
        <w:rPr>
          <w:rFonts w:eastAsia="Times New Roman" w:cs="Times New Roman"/>
          <w:szCs w:val="24"/>
        </w:rPr>
        <w:t xml:space="preserve">be proportionate in what they require from </w:t>
      </w:r>
      <w:r w:rsidR="002A0124">
        <w:rPr>
          <w:rFonts w:eastAsia="Times New Roman" w:cs="Times New Roman"/>
          <w:szCs w:val="24"/>
        </w:rPr>
        <w:t>l</w:t>
      </w:r>
      <w:r w:rsidRPr="005B1C10">
        <w:rPr>
          <w:rFonts w:eastAsia="Times New Roman" w:cs="Times New Roman"/>
          <w:szCs w:val="24"/>
        </w:rPr>
        <w:t>icensee safety cases (SAPs</w:t>
      </w:r>
      <w:sdt>
        <w:sdtPr>
          <w:rPr>
            <w:rFonts w:eastAsia="Times New Roman" w:cs="Times New Roman"/>
            <w:szCs w:val="24"/>
          </w:rPr>
          <w:id w:val="-369217415"/>
          <w:citation/>
        </w:sdtPr>
        <w:sdtContent>
          <w:r w:rsidR="004D300F">
            <w:rPr>
              <w:rFonts w:eastAsia="Times New Roman" w:cs="Times New Roman"/>
              <w:szCs w:val="24"/>
            </w:rPr>
            <w:fldChar w:fldCharType="begin"/>
          </w:r>
          <w:r w:rsidR="00F12D69">
            <w:rPr>
              <w:rFonts w:eastAsia="Times New Roman" w:cs="Times New Roman"/>
              <w:szCs w:val="24"/>
            </w:rPr>
            <w:instrText xml:space="preserve">CITATION ONR2013 \l 2057 </w:instrText>
          </w:r>
          <w:r w:rsidR="004D300F">
            <w:rPr>
              <w:rFonts w:eastAsia="Times New Roman" w:cs="Times New Roman"/>
              <w:szCs w:val="24"/>
            </w:rPr>
            <w:fldChar w:fldCharType="separate"/>
          </w:r>
          <w:r w:rsidR="002A4EED">
            <w:rPr>
              <w:rFonts w:eastAsia="Times New Roman" w:cs="Times New Roman"/>
              <w:szCs w:val="24"/>
            </w:rPr>
            <w:t xml:space="preserve"> </w:t>
          </w:r>
          <w:r w:rsidR="002A4EED" w:rsidRPr="002A4EED">
            <w:rPr>
              <w:rFonts w:eastAsia="Times New Roman" w:cs="Times New Roman"/>
              <w:szCs w:val="24"/>
            </w:rPr>
            <w:t>[1]</w:t>
          </w:r>
          <w:r w:rsidR="004D300F">
            <w:rPr>
              <w:rFonts w:eastAsia="Times New Roman" w:cs="Times New Roman"/>
              <w:szCs w:val="24"/>
            </w:rPr>
            <w:fldChar w:fldCharType="end"/>
          </w:r>
        </w:sdtContent>
      </w:sdt>
      <w:r w:rsidRPr="005B1C10">
        <w:rPr>
          <w:rFonts w:eastAsia="Times New Roman" w:cs="Times New Roman"/>
          <w:szCs w:val="24"/>
        </w:rPr>
        <w:t xml:space="preserve"> paragraph</w:t>
      </w:r>
      <w:r w:rsidR="00D176F4">
        <w:rPr>
          <w:rFonts w:eastAsia="Times New Roman" w:cs="Times New Roman"/>
          <w:szCs w:val="24"/>
        </w:rPr>
        <w:t>s</w:t>
      </w:r>
      <w:r w:rsidRPr="005B1C10">
        <w:rPr>
          <w:rFonts w:eastAsia="Times New Roman" w:cs="Times New Roman"/>
          <w:szCs w:val="24"/>
        </w:rPr>
        <w:t xml:space="preserve"> 27</w:t>
      </w:r>
      <w:r w:rsidR="00D176F4">
        <w:rPr>
          <w:rFonts w:eastAsia="Times New Roman" w:cs="Times New Roman"/>
          <w:szCs w:val="24"/>
        </w:rPr>
        <w:t>-30</w:t>
      </w:r>
      <w:r w:rsidRPr="005B1C10">
        <w:rPr>
          <w:rFonts w:eastAsia="Times New Roman" w:cs="Times New Roman"/>
          <w:szCs w:val="24"/>
        </w:rPr>
        <w:t xml:space="preserve">). </w:t>
      </w:r>
      <w:r w:rsidR="009737B7">
        <w:rPr>
          <w:rFonts w:eastAsia="Times New Roman" w:cs="Times New Roman"/>
          <w:szCs w:val="24"/>
        </w:rPr>
        <w:t>I</w:t>
      </w:r>
      <w:r w:rsidRPr="005B1C10">
        <w:rPr>
          <w:rFonts w:eastAsia="Times New Roman" w:cs="Times New Roman"/>
          <w:szCs w:val="24"/>
        </w:rPr>
        <w:t>n this regard</w:t>
      </w:r>
      <w:r w:rsidR="00D371D4">
        <w:rPr>
          <w:rFonts w:eastAsia="Times New Roman" w:cs="Times New Roman"/>
          <w:szCs w:val="24"/>
        </w:rPr>
        <w:t>,</w:t>
      </w:r>
      <w:r w:rsidRPr="005B1C10">
        <w:rPr>
          <w:rFonts w:eastAsia="Times New Roman" w:cs="Times New Roman"/>
          <w:szCs w:val="24"/>
        </w:rPr>
        <w:t xml:space="preserve"> </w:t>
      </w:r>
      <w:r w:rsidR="009737B7">
        <w:rPr>
          <w:rFonts w:eastAsia="Times New Roman" w:cs="Times New Roman"/>
          <w:szCs w:val="24"/>
        </w:rPr>
        <w:t>note</w:t>
      </w:r>
      <w:r w:rsidRPr="005B1C10">
        <w:rPr>
          <w:rFonts w:eastAsia="Times New Roman" w:cs="Times New Roman"/>
          <w:szCs w:val="24"/>
        </w:rPr>
        <w:t xml:space="preserve"> that the SAPs, and by implication this TAG, “should be applied in a manner that is commensurate with the magnitude of the unmitigated [radiological] hazard</w:t>
      </w:r>
      <w:r w:rsidRPr="005B1C10">
        <w:rPr>
          <w:rFonts w:eastAsia="Times New Roman" w:cs="Times New Roman"/>
          <w:szCs w:val="24"/>
          <w:vertAlign w:val="superscript"/>
        </w:rPr>
        <w:footnoteReference w:id="4"/>
      </w:r>
      <w:r w:rsidRPr="005B1C10">
        <w:rPr>
          <w:rFonts w:eastAsia="Times New Roman" w:cs="Times New Roman"/>
          <w:szCs w:val="24"/>
        </w:rPr>
        <w:t>” (SAPs</w:t>
      </w:r>
      <w:sdt>
        <w:sdtPr>
          <w:rPr>
            <w:rFonts w:eastAsia="Times New Roman" w:cs="Times New Roman"/>
            <w:szCs w:val="24"/>
          </w:rPr>
          <w:id w:val="-2037339165"/>
          <w:citation/>
        </w:sdtPr>
        <w:sdtContent>
          <w:r w:rsidR="004D300F">
            <w:rPr>
              <w:rFonts w:eastAsia="Times New Roman" w:cs="Times New Roman"/>
              <w:szCs w:val="24"/>
            </w:rPr>
            <w:fldChar w:fldCharType="begin"/>
          </w:r>
          <w:r w:rsidR="00F12D69">
            <w:rPr>
              <w:rFonts w:eastAsia="Times New Roman" w:cs="Times New Roman"/>
              <w:szCs w:val="24"/>
            </w:rPr>
            <w:instrText xml:space="preserve">CITATION ONR2013 \l 2057 </w:instrText>
          </w:r>
          <w:r w:rsidR="004D300F">
            <w:rPr>
              <w:rFonts w:eastAsia="Times New Roman" w:cs="Times New Roman"/>
              <w:szCs w:val="24"/>
            </w:rPr>
            <w:fldChar w:fldCharType="separate"/>
          </w:r>
          <w:r w:rsidR="002A4EED">
            <w:rPr>
              <w:rFonts w:eastAsia="Times New Roman" w:cs="Times New Roman"/>
              <w:szCs w:val="24"/>
            </w:rPr>
            <w:t xml:space="preserve"> </w:t>
          </w:r>
          <w:r w:rsidR="002A4EED" w:rsidRPr="002A4EED">
            <w:rPr>
              <w:rFonts w:eastAsia="Times New Roman" w:cs="Times New Roman"/>
              <w:szCs w:val="24"/>
            </w:rPr>
            <w:t>[1]</w:t>
          </w:r>
          <w:r w:rsidR="004D300F">
            <w:rPr>
              <w:rFonts w:eastAsia="Times New Roman" w:cs="Times New Roman"/>
              <w:szCs w:val="24"/>
            </w:rPr>
            <w:fldChar w:fldCharType="end"/>
          </w:r>
        </w:sdtContent>
      </w:sdt>
      <w:r w:rsidRPr="005B1C10">
        <w:rPr>
          <w:rFonts w:eastAsia="Times New Roman" w:cs="Times New Roman"/>
          <w:szCs w:val="24"/>
        </w:rPr>
        <w:t xml:space="preserve"> paragraph 27).</w:t>
      </w:r>
    </w:p>
    <w:p w14:paraId="1E90169B" w14:textId="17DBBCF9" w:rsidR="00AE1EE2" w:rsidRDefault="00644130" w:rsidP="00547634">
      <w:pPr>
        <w:pStyle w:val="Bulletlist1"/>
      </w:pPr>
      <w:r w:rsidRPr="004B1E6A">
        <w:rPr>
          <w:i/>
        </w:rPr>
        <w:t>Use of RGP</w:t>
      </w:r>
      <w:r w:rsidRPr="004B1E6A">
        <w:t xml:space="preserve">: The SAPs note in paragraph 11 “that meeting relevant good practice in engineering and operational safety management is of prime importance”. There is </w:t>
      </w:r>
      <w:r w:rsidRPr="00E47D65">
        <w:t xml:space="preserve">discussion of RGP applicable to EH in this </w:t>
      </w:r>
      <w:r w:rsidRPr="00547634">
        <w:t>TAG</w:t>
      </w:r>
      <w:r w:rsidRPr="00E47D65">
        <w:t xml:space="preserve">, especially in </w:t>
      </w:r>
      <w:r w:rsidR="00B1501D" w:rsidRPr="00E47D65">
        <w:t>s</w:t>
      </w:r>
      <w:r w:rsidRPr="00E47D65">
        <w:t>ection</w:t>
      </w:r>
      <w:r w:rsidR="00B1501D" w:rsidRPr="00E47D65">
        <w:t>s</w:t>
      </w:r>
      <w:r w:rsidRPr="00E47D65">
        <w:t xml:space="preserve"> </w:t>
      </w:r>
      <w:r w:rsidR="00B1501D" w:rsidRPr="00E47D65">
        <w:t xml:space="preserve">4 and 5 </w:t>
      </w:r>
      <w:r w:rsidRPr="00E47D65">
        <w:t>and in the annexes.</w:t>
      </w:r>
      <w:r w:rsidR="004B1E6A" w:rsidRPr="00E47D65">
        <w:t xml:space="preserve"> </w:t>
      </w:r>
      <w:r w:rsidR="00AE1EE2" w:rsidRPr="00E47D65">
        <w:t>Inspectors are referred to TAG 5</w:t>
      </w:r>
      <w:sdt>
        <w:sdtPr>
          <w:id w:val="-1810155421"/>
          <w:citation/>
        </w:sdtPr>
        <w:sdtContent>
          <w:r w:rsidR="00EF44FC" w:rsidRPr="00E47D65">
            <w:fldChar w:fldCharType="begin"/>
          </w:r>
          <w:r w:rsidR="002A4EED">
            <w:instrText xml:space="preserve">CITATION ONRtm \l 2057 </w:instrText>
          </w:r>
          <w:r w:rsidR="00EF44FC" w:rsidRPr="00E47D65">
            <w:fldChar w:fldCharType="separate"/>
          </w:r>
          <w:r w:rsidR="002A4EED">
            <w:t xml:space="preserve"> </w:t>
          </w:r>
          <w:r w:rsidR="002A4EED" w:rsidRPr="002A4EED">
            <w:t>[2]</w:t>
          </w:r>
          <w:r w:rsidR="00EF44FC" w:rsidRPr="00E47D65">
            <w:fldChar w:fldCharType="end"/>
          </w:r>
        </w:sdtContent>
      </w:sdt>
      <w:r w:rsidR="00AE1EE2" w:rsidRPr="00E47D65">
        <w:t xml:space="preserve"> Chapter 6 for a detailed </w:t>
      </w:r>
      <w:r w:rsidR="00AE1EE2" w:rsidRPr="004B1E6A">
        <w:t>discussion of the importance and application of RGP to nuclear safety.</w:t>
      </w:r>
    </w:p>
    <w:p w14:paraId="5185BB92" w14:textId="66773638" w:rsidR="00930799" w:rsidRDefault="00E977A8" w:rsidP="00E977A8">
      <w:pPr>
        <w:pStyle w:val="Heading2"/>
      </w:pPr>
      <w:bookmarkStart w:id="406" w:name="_Toc140137235"/>
      <w:r>
        <w:t>Documents Supporting TAG 13</w:t>
      </w:r>
      <w:bookmarkEnd w:id="406"/>
    </w:p>
    <w:p w14:paraId="7E95F95F" w14:textId="426829AC" w:rsidR="00B43DEA" w:rsidRDefault="00F5228B" w:rsidP="000D6BF8">
      <w:pPr>
        <w:pStyle w:val="F9-Paragraph"/>
        <w:ind w:hanging="502"/>
      </w:pPr>
      <w:r w:rsidRPr="006477C2">
        <w:t xml:space="preserve">This is the TAG 13 head document. It is supported </w:t>
      </w:r>
      <w:r w:rsidRPr="006912A1">
        <w:t xml:space="preserve">by </w:t>
      </w:r>
      <w:r w:rsidRPr="00547634">
        <w:t>five</w:t>
      </w:r>
      <w:r w:rsidRPr="006912A1">
        <w:t xml:space="preserve"> </w:t>
      </w:r>
      <w:r w:rsidRPr="006477C2">
        <w:t xml:space="preserve">annexes covering the </w:t>
      </w:r>
      <w:r w:rsidR="007D11C2">
        <w:t>EHs</w:t>
      </w:r>
      <w:r w:rsidRPr="006477C2">
        <w:t xml:space="preserve"> and by three Expert Panel papers</w:t>
      </w:r>
      <w:r w:rsidR="005B4517">
        <w:t xml:space="preserve">. </w:t>
      </w:r>
      <w:r w:rsidR="0011034E" w:rsidRPr="006477C2">
        <w:t>The annexes and Expert Panel papers are separate documents referenced from this document</w:t>
      </w:r>
      <w:r w:rsidR="0011034E">
        <w:t xml:space="preserve">. </w:t>
      </w:r>
      <w:r w:rsidR="005B4517">
        <w:t>This document structure is illustrated i</w:t>
      </w:r>
      <w:r w:rsidRPr="006477C2">
        <w:t>n Figure 1</w:t>
      </w:r>
      <w:r w:rsidR="005B4517">
        <w:t xml:space="preserve"> </w:t>
      </w:r>
      <w:r w:rsidR="00104C66">
        <w:t xml:space="preserve">and described further </w:t>
      </w:r>
      <w:r w:rsidR="005B4517">
        <w:t>below</w:t>
      </w:r>
      <w:r w:rsidR="00B43DEA">
        <w:t>.</w:t>
      </w:r>
      <w:r w:rsidRPr="006477C2">
        <w:t xml:space="preserve"> Inspectors should be aware that other hazards may be significant at particular sites depending on the activities taking place. </w:t>
      </w:r>
    </w:p>
    <w:p w14:paraId="18BC88FB" w14:textId="77777777" w:rsidR="00340332" w:rsidRDefault="00B43DEA" w:rsidP="00340332">
      <w:pPr>
        <w:pStyle w:val="F9-Paragraph"/>
        <w:keepNext/>
        <w:numPr>
          <w:ilvl w:val="0"/>
          <w:numId w:val="0"/>
        </w:numPr>
      </w:pPr>
      <w:r w:rsidRPr="006477C2">
        <w:rPr>
          <w:noProof/>
        </w:rPr>
        <w:lastRenderedPageBreak/>
        <w:drawing>
          <wp:inline distT="0" distB="0" distL="0" distR="0" wp14:anchorId="1C375291" wp14:editId="116745A4">
            <wp:extent cx="5731510" cy="4912360"/>
            <wp:effectExtent l="0" t="0" r="2540" b="254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26506"/>
                    <a:stretch/>
                  </pic:blipFill>
                  <pic:spPr bwMode="auto">
                    <a:xfrm>
                      <a:off x="0" y="0"/>
                      <a:ext cx="5731510" cy="4912360"/>
                    </a:xfrm>
                    <a:prstGeom prst="rect">
                      <a:avLst/>
                    </a:prstGeom>
                    <a:noFill/>
                    <a:ln>
                      <a:noFill/>
                    </a:ln>
                    <a:extLst>
                      <a:ext uri="{53640926-AAD7-44D8-BBD7-CCE9431645EC}">
                        <a14:shadowObscured xmlns:a14="http://schemas.microsoft.com/office/drawing/2010/main"/>
                      </a:ext>
                    </a:extLst>
                  </pic:spPr>
                </pic:pic>
              </a:graphicData>
            </a:graphic>
          </wp:inline>
        </w:drawing>
      </w:r>
    </w:p>
    <w:p w14:paraId="4DC23C7E" w14:textId="119A9803" w:rsidR="00C453AD" w:rsidRDefault="00340332" w:rsidP="00547634">
      <w:pPr>
        <w:pStyle w:val="Caption"/>
        <w:jc w:val="center"/>
      </w:pPr>
      <w:bookmarkStart w:id="407" w:name="_Toc140137295"/>
      <w:r>
        <w:t xml:space="preserve">Figure </w:t>
      </w:r>
      <w:fldSimple w:instr=" SEQ Figure \* ARABIC ">
        <w:r w:rsidR="008B51F7">
          <w:rPr>
            <w:noProof/>
          </w:rPr>
          <w:t>1</w:t>
        </w:r>
      </w:fldSimple>
      <w:r>
        <w:t>: Overview of TAG 13 Documentation</w:t>
      </w:r>
      <w:bookmarkEnd w:id="407"/>
    </w:p>
    <w:p w14:paraId="5E915D1B" w14:textId="573FCF39" w:rsidR="00AF2813" w:rsidRPr="00D609C9" w:rsidRDefault="00611835" w:rsidP="000D6BF8">
      <w:pPr>
        <w:pStyle w:val="F9-Paragraph"/>
        <w:ind w:hanging="502"/>
      </w:pPr>
      <w:r w:rsidRPr="000D6BF8">
        <w:t xml:space="preserve">The </w:t>
      </w:r>
      <w:r w:rsidR="005A4B29" w:rsidRPr="000D6BF8">
        <w:t>h</w:t>
      </w:r>
      <w:r w:rsidR="00AF2813" w:rsidRPr="000D6BF8">
        <w:t>ead document</w:t>
      </w:r>
      <w:r w:rsidRPr="000D6BF8">
        <w:t xml:space="preserve"> </w:t>
      </w:r>
      <w:r w:rsidR="00494DAF">
        <w:t>is</w:t>
      </w:r>
      <w:r w:rsidR="00494DAF" w:rsidRPr="00D609C9">
        <w:t xml:space="preserve"> </w:t>
      </w:r>
      <w:r w:rsidR="00AF2813" w:rsidRPr="00D609C9">
        <w:t xml:space="preserve">the overarching document for the suite of </w:t>
      </w:r>
      <w:r w:rsidR="00AF2813" w:rsidRPr="00547634">
        <w:t>supporting documents</w:t>
      </w:r>
      <w:r w:rsidR="00AF2813" w:rsidRPr="00D609C9">
        <w:t xml:space="preserve">. It is written </w:t>
      </w:r>
      <w:r w:rsidR="00AF2813" w:rsidRPr="005B1C10">
        <w:t xml:space="preserve">to the standard TAG format and provides general guidance applicable to all EHs. Where hazard-specific information is noted, this is referenced to the </w:t>
      </w:r>
      <w:r w:rsidR="00AF2813" w:rsidRPr="00D609C9">
        <w:t xml:space="preserve">annexes. </w:t>
      </w:r>
    </w:p>
    <w:p w14:paraId="09ADAAE8" w14:textId="1695D0FE" w:rsidR="00AF2813" w:rsidRPr="005B1C10" w:rsidRDefault="00611835" w:rsidP="000D6BF8">
      <w:pPr>
        <w:pStyle w:val="F9-Paragraph"/>
        <w:ind w:hanging="502"/>
      </w:pPr>
      <w:r w:rsidRPr="000D6BF8">
        <w:t xml:space="preserve">The </w:t>
      </w:r>
      <w:r w:rsidR="00AF0820" w:rsidRPr="000D6BF8">
        <w:t xml:space="preserve">five </w:t>
      </w:r>
      <w:r w:rsidR="00100FAD" w:rsidRPr="000D6BF8">
        <w:t>annexes</w:t>
      </w:r>
      <w:sdt>
        <w:sdtPr>
          <w:id w:val="-1119686156"/>
          <w:citation/>
        </w:sdtPr>
        <w:sdtContent>
          <w:r w:rsidR="00AF0820" w:rsidRPr="000D6BF8">
            <w:fldChar w:fldCharType="begin"/>
          </w:r>
          <w:r w:rsidR="00C621B8" w:rsidRPr="000D6BF8">
            <w:instrText xml:space="preserve">CITATION ONR17 \m ONR171 \m ONR172 \m ONR1 \m ONR \l 2057 </w:instrText>
          </w:r>
          <w:r w:rsidR="00AF0820" w:rsidRPr="000D6BF8">
            <w:fldChar w:fldCharType="separate"/>
          </w:r>
          <w:r w:rsidR="002A4EED" w:rsidRPr="000D6BF8">
            <w:t xml:space="preserve"> </w:t>
          </w:r>
          <w:r w:rsidR="002A4EED">
            <w:t>[3, 4, 5, 6, 7]</w:t>
          </w:r>
          <w:r w:rsidR="00AF0820" w:rsidRPr="000D6BF8">
            <w:fldChar w:fldCharType="end"/>
          </w:r>
        </w:sdtContent>
      </w:sdt>
      <w:r w:rsidR="00AF2813" w:rsidRPr="000D6BF8">
        <w:t xml:space="preserve"> provide specific guidance for the major natural hazards and aircraft crash hazard. They have been authored by ONR’s EH specialist</w:t>
      </w:r>
      <w:r w:rsidR="00AF2813" w:rsidRPr="005B1C10">
        <w:t xml:space="preserve"> inspectors</w:t>
      </w:r>
      <w:r w:rsidR="00AF2813">
        <w:t>.</w:t>
      </w:r>
      <w:r w:rsidR="00AF2813" w:rsidRPr="005B1C10">
        <w:t xml:space="preserve"> The annexes provide </w:t>
      </w:r>
      <w:r w:rsidR="00AF2813">
        <w:t xml:space="preserve">some examples </w:t>
      </w:r>
      <w:r w:rsidR="00AF2813" w:rsidRPr="00EA3384">
        <w:t>of</w:t>
      </w:r>
      <w:r w:rsidR="00AF2813" w:rsidRPr="005B1C10">
        <w:t xml:space="preserve"> RGP for the </w:t>
      </w:r>
      <w:r w:rsidR="00BB52FE">
        <w:t>EHs</w:t>
      </w:r>
      <w:r w:rsidR="00AF2813" w:rsidRPr="005B1C10">
        <w:t xml:space="preserve"> they cover. The intent is that they can be read and understood by ONR’s EHs specialist inspectors and, where relevant, by other inspectors whose disciplines interface with EHs. They are written to a standard format to support the head document.</w:t>
      </w:r>
    </w:p>
    <w:p w14:paraId="66822E71" w14:textId="70813016" w:rsidR="00AF2813" w:rsidRPr="005B1C10" w:rsidRDefault="00AF2813" w:rsidP="000D6BF8">
      <w:pPr>
        <w:pStyle w:val="F9-Paragraph"/>
        <w:ind w:hanging="502"/>
      </w:pPr>
      <w:r w:rsidRPr="000D6BF8">
        <w:t>Expert Panel papers</w:t>
      </w:r>
      <w:r w:rsidRPr="005B1C10">
        <w:t>: Refs.</w:t>
      </w:r>
      <w:sdt>
        <w:sdtPr>
          <w:id w:val="678927107"/>
          <w:citation/>
        </w:sdtPr>
        <w:sdtContent>
          <w:r w:rsidR="00100FAD">
            <w:fldChar w:fldCharType="begin"/>
          </w:r>
          <w:r w:rsidR="002A4EED">
            <w:instrText xml:space="preserve">CITATION ONR165 \m ONR164 \m ONR163 \l 2057 </w:instrText>
          </w:r>
          <w:r w:rsidR="00100FAD">
            <w:fldChar w:fldCharType="separate"/>
          </w:r>
          <w:r w:rsidR="002A4EED">
            <w:t xml:space="preserve"> [8, 9, 10]</w:t>
          </w:r>
          <w:r w:rsidR="00100FAD">
            <w:fldChar w:fldCharType="end"/>
          </w:r>
        </w:sdtContent>
      </w:sdt>
      <w:r w:rsidRPr="005B1C10">
        <w:t xml:space="preserve">, </w:t>
      </w:r>
      <w:r w:rsidRPr="00547634">
        <w:t>Annexes 1 to 3 are each</w:t>
      </w:r>
      <w:r w:rsidRPr="00D609C9">
        <w:t xml:space="preserve"> supported by an Expert Panel paper</w:t>
      </w:r>
      <w:r w:rsidR="00DD19D5" w:rsidRPr="00D609C9">
        <w:t xml:space="preserve"> authored by </w:t>
      </w:r>
      <w:r w:rsidR="008B74B6">
        <w:t xml:space="preserve">the ONR Expert Panel on Natural Hazards, </w:t>
      </w:r>
      <w:r w:rsidR="00DD19D5" w:rsidRPr="00D609C9">
        <w:lastRenderedPageBreak/>
        <w:t>a</w:t>
      </w:r>
      <w:r w:rsidR="008E2914" w:rsidRPr="00D609C9">
        <w:t>n independent</w:t>
      </w:r>
      <w:r w:rsidR="00DD19D5" w:rsidRPr="00D609C9">
        <w:t xml:space="preserve"> panel of technical </w:t>
      </w:r>
      <w:r w:rsidR="00DD19D5">
        <w:t>experts</w:t>
      </w:r>
      <w:r w:rsidR="008E2914" w:rsidRPr="00A2069F">
        <w:rPr>
          <w:vertAlign w:val="superscript"/>
        </w:rPr>
        <w:footnoteReference w:id="5"/>
      </w:r>
      <w:r w:rsidRPr="005B1C10">
        <w:t xml:space="preserve">. These papers provide hazard-specific technical advice </w:t>
      </w:r>
      <w:r>
        <w:t xml:space="preserve">intended </w:t>
      </w:r>
      <w:r w:rsidRPr="005B1C10">
        <w:t xml:space="preserve">for technical specialist inspectors in ONR and contractors providing support. They are also of interest to other inspectors who require more in-depth information on aspects of natural hazard analysis </w:t>
      </w:r>
      <w:r w:rsidRPr="00F856AB">
        <w:t>metho</w:t>
      </w:r>
      <w:r w:rsidRPr="005B1C10">
        <w:t>dology.</w:t>
      </w:r>
    </w:p>
    <w:p w14:paraId="1B9EAEEA" w14:textId="19E23FC9" w:rsidR="00AF2813" w:rsidRDefault="00AF2813" w:rsidP="000D6BF8">
      <w:pPr>
        <w:pStyle w:val="F9-Paragraph"/>
        <w:ind w:hanging="502"/>
      </w:pPr>
      <w:r w:rsidRPr="005B1C10">
        <w:t>The</w:t>
      </w:r>
      <w:r w:rsidR="008B74B6">
        <w:t xml:space="preserve"> Expert Panel</w:t>
      </w:r>
      <w:r w:rsidRPr="005B1C10">
        <w:t xml:space="preserve"> papers have been authored by members of the ONR Expert Panel and reviewed by ONR. They do not represent formal regulatory advice but provide additional technical background to the summaries of RGP provided by the annexes.</w:t>
      </w:r>
    </w:p>
    <w:p w14:paraId="3F61E5AF" w14:textId="77777777" w:rsidR="00475528" w:rsidRPr="00FD0A0F" w:rsidRDefault="00475528" w:rsidP="00547634">
      <w:pPr>
        <w:pStyle w:val="Heading2"/>
      </w:pPr>
      <w:bookmarkStart w:id="408" w:name="_Toc520367603"/>
      <w:bookmarkStart w:id="409" w:name="_Ref475515989"/>
      <w:bookmarkStart w:id="410" w:name="_Toc140137236"/>
      <w:r w:rsidRPr="00FD0A0F">
        <w:t>Definition and Major Features of External Hazards</w:t>
      </w:r>
      <w:bookmarkEnd w:id="408"/>
      <w:bookmarkEnd w:id="409"/>
      <w:bookmarkEnd w:id="410"/>
    </w:p>
    <w:p w14:paraId="28D0DE18" w14:textId="28716412" w:rsidR="00642F4D" w:rsidRPr="00F60E77" w:rsidRDefault="00642F4D" w:rsidP="000D6BF8">
      <w:pPr>
        <w:pStyle w:val="F9-Paragraph"/>
        <w:ind w:hanging="502"/>
      </w:pPr>
      <w:bookmarkStart w:id="411" w:name="_Ref433991733"/>
      <w:bookmarkStart w:id="412" w:name="_Toc473126210"/>
      <w:bookmarkStart w:id="413" w:name="_Toc473127830"/>
      <w:r w:rsidRPr="005B1C10">
        <w:t>The SAPs define EHs as those natural or man-made hazards to a site and facilities that originate externally to both the site and its processes</w:t>
      </w:r>
      <w:r w:rsidR="00A80F40">
        <w:t xml:space="preserve">. Therefore, </w:t>
      </w:r>
      <w:r w:rsidRPr="005B1C10">
        <w:t xml:space="preserve">the </w:t>
      </w:r>
      <w:r w:rsidR="00C63176">
        <w:t>l</w:t>
      </w:r>
      <w:r w:rsidRPr="005B1C10">
        <w:t xml:space="preserve">icensee has limited, or no, control over the initiating event, </w:t>
      </w:r>
      <w:r w:rsidR="00583E41">
        <w:t xml:space="preserve">see </w:t>
      </w:r>
      <w:r w:rsidRPr="005B1C10">
        <w:t xml:space="preserve">SAP paragraph 228. This </w:t>
      </w:r>
      <w:r w:rsidRPr="00F60E77">
        <w:t xml:space="preserve">last point is important because it </w:t>
      </w:r>
      <w:r w:rsidRPr="00547634">
        <w:t xml:space="preserve">prevents the </w:t>
      </w:r>
      <w:r w:rsidR="00C775ED">
        <w:t>l</w:t>
      </w:r>
      <w:r w:rsidRPr="00547634">
        <w:t>icensee from applying</w:t>
      </w:r>
      <w:r w:rsidRPr="00F60E77">
        <w:t xml:space="preserve"> the first element in the safety hierarchy of hazard control measures, namely, eliminate the hazard.</w:t>
      </w:r>
      <w:bookmarkEnd w:id="411"/>
      <w:bookmarkEnd w:id="412"/>
      <w:bookmarkEnd w:id="413"/>
      <w:r w:rsidRPr="00F60E77">
        <w:t xml:space="preserve"> </w:t>
      </w:r>
    </w:p>
    <w:p w14:paraId="6FE4F7BD" w14:textId="57C4B98F" w:rsidR="00642F4D" w:rsidRPr="007C6A9E" w:rsidRDefault="00642F4D" w:rsidP="000D6BF8">
      <w:pPr>
        <w:pStyle w:val="F9-Paragraph"/>
        <w:ind w:hanging="502"/>
      </w:pPr>
      <w:bookmarkStart w:id="414" w:name="_Toc473126211"/>
      <w:bookmarkStart w:id="415" w:name="_Toc473127831"/>
      <w:r w:rsidRPr="00547634">
        <w:t xml:space="preserve">This inability to control </w:t>
      </w:r>
      <w:r w:rsidRPr="007C6A9E">
        <w:t xml:space="preserve">differentiates external from internal hazards, such as fire arising inside the site boundary, where the operator has substantial control over </w:t>
      </w:r>
      <w:r w:rsidRPr="00547634">
        <w:t xml:space="preserve">preventing </w:t>
      </w:r>
      <w:r w:rsidRPr="007C6A9E">
        <w:t>the hazard occurring.</w:t>
      </w:r>
      <w:bookmarkEnd w:id="414"/>
      <w:bookmarkEnd w:id="415"/>
    </w:p>
    <w:p w14:paraId="3E00F044" w14:textId="735EA494" w:rsidR="00642F4D" w:rsidRPr="003C41AC" w:rsidRDefault="00642F4D" w:rsidP="000D6BF8">
      <w:pPr>
        <w:pStyle w:val="F9-Paragraph"/>
        <w:ind w:hanging="502"/>
      </w:pPr>
      <w:bookmarkStart w:id="416" w:name="_Ref448483785"/>
      <w:bookmarkStart w:id="417" w:name="_Toc473126212"/>
      <w:bookmarkStart w:id="418" w:name="_Toc473127832"/>
      <w:r w:rsidRPr="003C41AC">
        <w:t xml:space="preserve">A further difference is that EHs in many instances can simultaneously affect the whole facility, including safety systems, safety-related </w:t>
      </w:r>
      <w:r w:rsidR="00415180" w:rsidRPr="003C41AC">
        <w:t>systems</w:t>
      </w:r>
      <w:r w:rsidRPr="003C41AC">
        <w:t xml:space="preserve"> and non-safety-related systems. In addition, the potential for widespread failures and interference with human intervention can occur. Furthermore, EHs may affect the surrounding off-site infrastructure through common-cause effects, which may undermine the availability of back-up supplies and affect emergency arrangements</w:t>
      </w:r>
      <w:r w:rsidR="00B573A9" w:rsidRPr="000D6BF8">
        <w:footnoteReference w:id="6"/>
      </w:r>
      <w:r w:rsidRPr="003C41AC">
        <w:t>. For multi-facility sites this also makes the generation of safety cases more complex and requires appropriate interface arrangements to deal with the potential secondary and consequential (domino) effects.</w:t>
      </w:r>
      <w:bookmarkEnd w:id="416"/>
      <w:bookmarkEnd w:id="417"/>
      <w:bookmarkEnd w:id="418"/>
    </w:p>
    <w:p w14:paraId="450E3C0A" w14:textId="2E24DC63" w:rsidR="00642F4D" w:rsidRPr="005B1C10" w:rsidRDefault="00642F4D" w:rsidP="000D6BF8">
      <w:pPr>
        <w:pStyle w:val="F9-Paragraph"/>
        <w:ind w:hanging="502"/>
      </w:pPr>
      <w:bookmarkStart w:id="419" w:name="_Toc473126213"/>
      <w:bookmarkStart w:id="420" w:name="_Toc473127833"/>
      <w:r w:rsidRPr="005B1C10">
        <w:t>Both internal hazards and EHs are differentiated from internal plant fault initiators, which are defined as a random failure of part of the primary nuclear plant and its processes, including human error. Whilst the SAPs definition of EHs indicates that EHs generally originate off the licensed site</w:t>
      </w:r>
      <w:r w:rsidR="00497023">
        <w:t>,</w:t>
      </w:r>
      <w:r w:rsidRPr="005B1C10">
        <w:t xml:space="preserve"> this is not always the case, for example</w:t>
      </w:r>
      <w:r w:rsidR="00050B26">
        <w:t>,</w:t>
      </w:r>
      <w:r w:rsidRPr="005B1C10">
        <w:t xml:space="preserve"> subsidence and liquefaction occurring on-site </w:t>
      </w:r>
      <w:r w:rsidRPr="005B1C10">
        <w:lastRenderedPageBreak/>
        <w:t>are classed as EHs, as is fault movement within the site boundary. Man-made or industrial hazards that occur on-site are classed as internal hazards.</w:t>
      </w:r>
      <w:bookmarkEnd w:id="419"/>
      <w:bookmarkEnd w:id="420"/>
    </w:p>
    <w:p w14:paraId="4E223595" w14:textId="61A1D1FC" w:rsidR="00642F4D" w:rsidRPr="001F1038" w:rsidRDefault="00642F4D" w:rsidP="000D6BF8">
      <w:pPr>
        <w:pStyle w:val="F9-Paragraph"/>
        <w:ind w:hanging="502"/>
      </w:pPr>
      <w:bookmarkStart w:id="421" w:name="_Toc473126214"/>
      <w:bookmarkStart w:id="422" w:name="_Toc473127834"/>
      <w:r w:rsidRPr="005B1C10">
        <w:t>A further delineation arises with EHs that are caused by natural processes, such as weather</w:t>
      </w:r>
      <w:r w:rsidRPr="0057129A">
        <w:rPr>
          <w:vertAlign w:val="superscript"/>
        </w:rPr>
        <w:footnoteReference w:id="7"/>
      </w:r>
      <w:r w:rsidRPr="005B1C10">
        <w:t xml:space="preserve"> and earthquake</w:t>
      </w:r>
      <w:r w:rsidR="008447F9">
        <w:t>s</w:t>
      </w:r>
      <w:r w:rsidRPr="005B1C10">
        <w:t xml:space="preserve">, and those of man-made origin such as aircraft crash and </w:t>
      </w:r>
      <w:r w:rsidRPr="00036507">
        <w:t xml:space="preserve">off-site </w:t>
      </w:r>
      <w:r w:rsidRPr="001F1038">
        <w:t>explosion</w:t>
      </w:r>
      <w:bookmarkEnd w:id="421"/>
      <w:bookmarkEnd w:id="422"/>
      <w:r w:rsidRPr="001F1038">
        <w:t>.</w:t>
      </w:r>
    </w:p>
    <w:p w14:paraId="116E68D4" w14:textId="55DD8BDE" w:rsidR="00642F4D" w:rsidRPr="001F1038" w:rsidRDefault="00642F4D" w:rsidP="000D6BF8">
      <w:pPr>
        <w:pStyle w:val="F9-Paragraph"/>
        <w:ind w:hanging="502"/>
      </w:pPr>
      <w:bookmarkStart w:id="423" w:name="_Toc473126215"/>
      <w:bookmarkStart w:id="424" w:name="_Toc473127835"/>
      <w:bookmarkStart w:id="425" w:name="_Ref502895437"/>
      <w:r w:rsidRPr="001F1038">
        <w:t xml:space="preserve">Another distinction is between man-made EHs that are accidental and those that arise from malicious intent. The latter are typically criminal acts by third parties with malign </w:t>
      </w:r>
      <w:r w:rsidR="00B4313B" w:rsidRPr="001F1038">
        <w:t>intent</w:t>
      </w:r>
      <w:r w:rsidR="009B6969">
        <w:t xml:space="preserve">. </w:t>
      </w:r>
      <w:r w:rsidR="00713D0C" w:rsidRPr="00F6241D">
        <w:t>M</w:t>
      </w:r>
      <w:r w:rsidR="009B6969" w:rsidRPr="00F6241D">
        <w:t>ali</w:t>
      </w:r>
      <w:r w:rsidR="00713D0C" w:rsidRPr="00F6241D">
        <w:t>ci</w:t>
      </w:r>
      <w:r w:rsidR="009B6969" w:rsidRPr="00F6241D">
        <w:t xml:space="preserve">ous aircraft impact </w:t>
      </w:r>
      <w:r w:rsidR="00713D0C" w:rsidRPr="00F6241D">
        <w:t xml:space="preserve">is </w:t>
      </w:r>
      <w:bookmarkEnd w:id="423"/>
      <w:bookmarkEnd w:id="424"/>
      <w:bookmarkEnd w:id="425"/>
      <w:r w:rsidR="00713D0C" w:rsidRPr="00F6241D">
        <w:t>ad</w:t>
      </w:r>
      <w:r w:rsidRPr="00F6241D">
        <w:t>dressed in Annex 4</w:t>
      </w:r>
      <w:r w:rsidR="003293CB">
        <w:t>,</w:t>
      </w:r>
      <w:r w:rsidR="00713D0C" w:rsidRPr="00F6241D">
        <w:t xml:space="preserve"> whereas other </w:t>
      </w:r>
      <w:r w:rsidR="00E16B1C" w:rsidRPr="00547634">
        <w:t xml:space="preserve">malicious </w:t>
      </w:r>
      <w:r w:rsidR="00713D0C" w:rsidRPr="00F6241D">
        <w:t xml:space="preserve">threats are dealt with by </w:t>
      </w:r>
      <w:r w:rsidR="00D42B93" w:rsidRPr="00547634">
        <w:t>other</w:t>
      </w:r>
      <w:r w:rsidR="003D2BF4">
        <w:t xml:space="preserve"> disciplines</w:t>
      </w:r>
      <w:r w:rsidR="5A618EC9">
        <w:t>. S</w:t>
      </w:r>
      <w:r w:rsidR="00D42B93">
        <w:t>ee</w:t>
      </w:r>
      <w:r w:rsidR="00F6241D" w:rsidRPr="00547634">
        <w:t xml:space="preserve"> the Civil Nuclear Security T</w:t>
      </w:r>
      <w:r w:rsidR="00427367">
        <w:t>AGs</w:t>
      </w:r>
      <w:r w:rsidR="00A552BD">
        <w:t>.</w:t>
      </w:r>
    </w:p>
    <w:p w14:paraId="53B83C5F" w14:textId="6DDF43E1" w:rsidR="00642F4D" w:rsidRPr="005B1C10" w:rsidRDefault="00642F4D" w:rsidP="000D6BF8">
      <w:pPr>
        <w:pStyle w:val="F9-Paragraph"/>
        <w:ind w:hanging="502"/>
      </w:pPr>
      <w:bookmarkStart w:id="426" w:name="_Ref433991762"/>
      <w:bookmarkStart w:id="427" w:name="_Toc473126216"/>
      <w:bookmarkStart w:id="428" w:name="_Toc473127836"/>
      <w:r w:rsidRPr="005B1C10">
        <w:t xml:space="preserve">Table 1 summarises the various categories of plant fault initiators, indicating which are classed as EHs and of these, which are covered in </w:t>
      </w:r>
      <w:r>
        <w:t>this TAG</w:t>
      </w:r>
      <w:r w:rsidRPr="005B1C10">
        <w:t>.</w:t>
      </w:r>
      <w:bookmarkEnd w:id="426"/>
      <w:r w:rsidRPr="005B1C10">
        <w:t xml:space="preserve"> Table 2 contains a typical list of EHs that should be covered within </w:t>
      </w:r>
      <w:r w:rsidR="00DC5F9B">
        <w:t>l</w:t>
      </w:r>
      <w:r w:rsidRPr="005B1C10">
        <w:t>icensee’s safety submissions. The identification of a comprehensive list of EHs is discussed further in</w:t>
      </w:r>
      <w:r w:rsidR="00CD095E">
        <w:t xml:space="preserve"> Section </w:t>
      </w:r>
      <w:r w:rsidR="00CF6C11">
        <w:fldChar w:fldCharType="begin"/>
      </w:r>
      <w:r w:rsidR="00CF6C11">
        <w:instrText xml:space="preserve"> REF _Ref138670847 \r \h </w:instrText>
      </w:r>
      <w:r w:rsidR="00221C99">
        <w:instrText xml:space="preserve"> \* MERGEFORMAT </w:instrText>
      </w:r>
      <w:r w:rsidR="00CF6C11">
        <w:fldChar w:fldCharType="separate"/>
      </w:r>
      <w:r w:rsidR="008B51F7">
        <w:t>5.2</w:t>
      </w:r>
      <w:r w:rsidR="00CF6C11">
        <w:fldChar w:fldCharType="end"/>
      </w:r>
      <w:r w:rsidRPr="005B1C10">
        <w:t>.</w:t>
      </w:r>
      <w:bookmarkEnd w:id="427"/>
      <w:bookmarkEnd w:id="428"/>
    </w:p>
    <w:p w14:paraId="5DF0DA8F" w14:textId="377819D2" w:rsidR="00642F4D" w:rsidRPr="00CF6C11" w:rsidRDefault="00642F4D" w:rsidP="000D6BF8">
      <w:pPr>
        <w:pStyle w:val="F9-Paragraph"/>
        <w:ind w:hanging="502"/>
      </w:pPr>
      <w:r w:rsidRPr="005B1C10">
        <w:t>It should be noted that some man-made items, such as dams</w:t>
      </w:r>
      <w:r w:rsidR="0004608C">
        <w:t>,</w:t>
      </w:r>
      <w:r w:rsidRPr="005B1C10">
        <w:t xml:space="preserve"> and human activities</w:t>
      </w:r>
      <w:r w:rsidR="00B34239">
        <w:t>,</w:t>
      </w:r>
      <w:r w:rsidRPr="005B1C10">
        <w:t xml:space="preserve"> such as gas extraction or </w:t>
      </w:r>
      <w:r w:rsidRPr="00CF6C11">
        <w:t xml:space="preserve">water injection into geological structures (hydraulic fracturing), may initiate additional hazards, or </w:t>
      </w:r>
      <w:r w:rsidRPr="00547634">
        <w:t xml:space="preserve">exacerbate </w:t>
      </w:r>
      <w:r w:rsidRPr="00CF6C11">
        <w:t>the effects of natural hazards already defined as credible at a site.</w:t>
      </w:r>
    </w:p>
    <w:p w14:paraId="78C227AB" w14:textId="366CF5E5" w:rsidR="00930799" w:rsidRDefault="00FB2D05" w:rsidP="00547634">
      <w:pPr>
        <w:pStyle w:val="Heading2"/>
      </w:pPr>
      <w:bookmarkStart w:id="429" w:name="_Toc520367604"/>
      <w:bookmarkStart w:id="430" w:name="_Toc140137237"/>
      <w:r w:rsidRPr="001A4B9B">
        <w:t>Scope of External Hazards Assessment</w:t>
      </w:r>
      <w:bookmarkEnd w:id="429"/>
      <w:bookmarkEnd w:id="430"/>
    </w:p>
    <w:p w14:paraId="2C6419BF" w14:textId="5B21BE9B" w:rsidR="008E525E" w:rsidRPr="00CF6C11" w:rsidRDefault="008E525E" w:rsidP="000D6BF8">
      <w:pPr>
        <w:pStyle w:val="F9-Paragraph"/>
        <w:ind w:hanging="502"/>
      </w:pPr>
      <w:bookmarkStart w:id="431" w:name="_Toc473126219"/>
      <w:bookmarkStart w:id="432" w:name="_Toc473127839"/>
      <w:r w:rsidRPr="00CF6C11">
        <w:t xml:space="preserve">Analysis by a </w:t>
      </w:r>
      <w:r w:rsidR="00113CCB">
        <w:t>l</w:t>
      </w:r>
      <w:r w:rsidRPr="00CF6C11">
        <w:t xml:space="preserve">icensee should demonstrate that </w:t>
      </w:r>
      <w:r w:rsidRPr="00547634">
        <w:t xml:space="preserve">risks </w:t>
      </w:r>
      <w:r w:rsidRPr="00CF6C11">
        <w:t xml:space="preserve">to nuclear safety from EHs are reduced to </w:t>
      </w:r>
      <w:r w:rsidRPr="00547634">
        <w:t>ALARP</w:t>
      </w:r>
      <w:r w:rsidRPr="00CF6C11">
        <w:t xml:space="preserve">. This may be done by showing that safety-related </w:t>
      </w:r>
      <w:r w:rsidR="00CC56D9">
        <w:t>structures, systems, and components (</w:t>
      </w:r>
      <w:r w:rsidRPr="00CF6C11">
        <w:t>SSC</w:t>
      </w:r>
      <w:r w:rsidR="00443BB9">
        <w:t>s</w:t>
      </w:r>
      <w:r w:rsidR="00CC56D9">
        <w:t>)</w:t>
      </w:r>
      <w:r w:rsidRPr="00CF6C11">
        <w:t xml:space="preserve"> and equipment are designed to meet appropriate performance criteria against the postulated EH</w:t>
      </w:r>
      <w:r w:rsidRPr="00547634">
        <w:t xml:space="preserve"> </w:t>
      </w:r>
      <w:r w:rsidRPr="00CF6C11">
        <w:t xml:space="preserve">or by the provision of safety systems, which </w:t>
      </w:r>
      <w:r w:rsidR="00503FA7">
        <w:t xml:space="preserve">reduce </w:t>
      </w:r>
      <w:r w:rsidRPr="00CF6C11">
        <w:t>the effects of fault sequences, thereby demonstrating that the residual risk is ALARP.</w:t>
      </w:r>
      <w:bookmarkEnd w:id="431"/>
      <w:bookmarkEnd w:id="432"/>
    </w:p>
    <w:p w14:paraId="173C72BB" w14:textId="0080873F" w:rsidR="008E525E" w:rsidRPr="005B1C10" w:rsidRDefault="008E525E" w:rsidP="000D6BF8">
      <w:pPr>
        <w:pStyle w:val="F9-Paragraph"/>
        <w:ind w:hanging="502"/>
      </w:pPr>
      <w:bookmarkStart w:id="433" w:name="_Ref473993849"/>
      <w:r w:rsidRPr="005B1C10">
        <w:t xml:space="preserve">A summary description of the high-level tasks the </w:t>
      </w:r>
      <w:r w:rsidR="002502CA">
        <w:t>l</w:t>
      </w:r>
      <w:r w:rsidRPr="005B1C10">
        <w:t>icensee needs to undertake to determine the effects of EHs on nuclear plant is given below:</w:t>
      </w:r>
      <w:bookmarkEnd w:id="433"/>
    </w:p>
    <w:p w14:paraId="050A2835" w14:textId="68E0975B" w:rsidR="008E525E" w:rsidRPr="005B1C10" w:rsidRDefault="008E525E" w:rsidP="008E525E">
      <w:pPr>
        <w:numPr>
          <w:ilvl w:val="0"/>
          <w:numId w:val="42"/>
        </w:numPr>
        <w:tabs>
          <w:tab w:val="left" w:pos="720"/>
        </w:tabs>
        <w:spacing w:after="220" w:line="240" w:lineRule="auto"/>
        <w:ind w:left="1134" w:hanging="414"/>
        <w:contextualSpacing/>
        <w:rPr>
          <w:rFonts w:eastAsia="Times New Roman" w:cs="Times New Roman"/>
          <w:szCs w:val="24"/>
        </w:rPr>
      </w:pPr>
      <w:bookmarkStart w:id="434" w:name="_Toc473126221"/>
      <w:bookmarkStart w:id="435" w:name="_Toc473127841"/>
      <w:r w:rsidRPr="005B1C10">
        <w:rPr>
          <w:rFonts w:eastAsia="Times New Roman" w:cs="Times New Roman"/>
          <w:szCs w:val="24"/>
        </w:rPr>
        <w:t>Identify the EHs that can credibly affect nuclear safety and contribute to nuclear risk.</w:t>
      </w:r>
      <w:bookmarkEnd w:id="434"/>
      <w:bookmarkEnd w:id="435"/>
    </w:p>
    <w:p w14:paraId="0836449C" w14:textId="7081525F" w:rsidR="00AC5162" w:rsidRPr="00AC5162" w:rsidRDefault="008E525E" w:rsidP="008E525E">
      <w:pPr>
        <w:numPr>
          <w:ilvl w:val="0"/>
          <w:numId w:val="42"/>
        </w:numPr>
        <w:tabs>
          <w:tab w:val="left" w:pos="720"/>
        </w:tabs>
        <w:spacing w:after="220" w:line="240" w:lineRule="auto"/>
        <w:ind w:left="1134" w:hanging="414"/>
        <w:contextualSpacing/>
        <w:rPr>
          <w:rFonts w:eastAsia="Times New Roman" w:cs="Times New Roman"/>
          <w:szCs w:val="24"/>
        </w:rPr>
      </w:pPr>
      <w:bookmarkStart w:id="436" w:name="_Toc473127842"/>
      <w:bookmarkStart w:id="437" w:name="_Toc473126222"/>
      <w:r w:rsidRPr="00AC5162">
        <w:rPr>
          <w:rFonts w:eastAsia="Times New Roman" w:cs="Times New Roman"/>
          <w:szCs w:val="24"/>
        </w:rPr>
        <w:t xml:space="preserve">Analyse each of these hazards to characterise the nature and severity of the challenge it makes to the </w:t>
      </w:r>
      <w:r w:rsidRPr="00547634">
        <w:rPr>
          <w:rFonts w:eastAsia="Times New Roman" w:cs="Times New Roman"/>
          <w:szCs w:val="24"/>
        </w:rPr>
        <w:t xml:space="preserve">site and to the </w:t>
      </w:r>
      <w:r w:rsidRPr="00AC5162">
        <w:rPr>
          <w:rFonts w:eastAsia="Times New Roman" w:cs="Times New Roman"/>
          <w:szCs w:val="24"/>
        </w:rPr>
        <w:t>nuclear plant / SSCs</w:t>
      </w:r>
      <w:r w:rsidR="00AC5162" w:rsidRPr="00AC5162">
        <w:rPr>
          <w:rFonts w:eastAsia="Times New Roman" w:cs="Times New Roman"/>
          <w:szCs w:val="24"/>
        </w:rPr>
        <w:t>.</w:t>
      </w:r>
    </w:p>
    <w:p w14:paraId="71B53C89" w14:textId="6FABC4BB" w:rsidR="008E525E" w:rsidRPr="00AC5162" w:rsidRDefault="00AC5162" w:rsidP="008E525E">
      <w:pPr>
        <w:numPr>
          <w:ilvl w:val="0"/>
          <w:numId w:val="42"/>
        </w:numPr>
        <w:tabs>
          <w:tab w:val="left" w:pos="720"/>
        </w:tabs>
        <w:spacing w:after="220" w:line="240" w:lineRule="auto"/>
        <w:ind w:left="1134" w:hanging="414"/>
        <w:contextualSpacing/>
        <w:rPr>
          <w:rFonts w:eastAsia="Times New Roman" w:cs="Times New Roman"/>
          <w:szCs w:val="24"/>
        </w:rPr>
      </w:pPr>
      <w:r w:rsidRPr="00AC5162">
        <w:rPr>
          <w:rFonts w:eastAsia="Times New Roman" w:cs="Times New Roman"/>
          <w:szCs w:val="24"/>
        </w:rPr>
        <w:t>Establish a Design Basis Event (DBE) for the hazard</w:t>
      </w:r>
      <w:r w:rsidRPr="00547634">
        <w:rPr>
          <w:rFonts w:eastAsia="Times New Roman" w:cs="Times New Roman"/>
          <w:szCs w:val="24"/>
        </w:rPr>
        <w:t xml:space="preserve"> </w:t>
      </w:r>
      <w:r>
        <w:rPr>
          <w:rFonts w:eastAsia="Times New Roman" w:cs="Times New Roman"/>
          <w:szCs w:val="24"/>
        </w:rPr>
        <w:t>(and</w:t>
      </w:r>
      <w:r w:rsidR="003A5615">
        <w:rPr>
          <w:rFonts w:eastAsia="Times New Roman" w:cs="Times New Roman"/>
          <w:szCs w:val="24"/>
        </w:rPr>
        <w:t>,</w:t>
      </w:r>
      <w:r>
        <w:rPr>
          <w:rFonts w:eastAsia="Times New Roman" w:cs="Times New Roman"/>
          <w:szCs w:val="24"/>
        </w:rPr>
        <w:t xml:space="preserve"> where applicable</w:t>
      </w:r>
      <w:r w:rsidR="003A5615">
        <w:rPr>
          <w:rFonts w:eastAsia="Times New Roman" w:cs="Times New Roman"/>
          <w:szCs w:val="24"/>
        </w:rPr>
        <w:t>,</w:t>
      </w:r>
      <w:r>
        <w:rPr>
          <w:rFonts w:eastAsia="Times New Roman" w:cs="Times New Roman"/>
          <w:szCs w:val="24"/>
        </w:rPr>
        <w:t xml:space="preserve"> combination of hazards) </w:t>
      </w:r>
      <w:r w:rsidRPr="00547634">
        <w:rPr>
          <w:rFonts w:eastAsia="Times New Roman" w:cs="Times New Roman"/>
          <w:szCs w:val="24"/>
        </w:rPr>
        <w:t xml:space="preserve">and establish an appropriate Basis of Design </w:t>
      </w:r>
      <w:r>
        <w:rPr>
          <w:rFonts w:eastAsia="Times New Roman" w:cs="Times New Roman"/>
          <w:szCs w:val="24"/>
        </w:rPr>
        <w:t>(</w:t>
      </w:r>
      <w:proofErr w:type="spellStart"/>
      <w:r>
        <w:rPr>
          <w:rFonts w:eastAsia="Times New Roman" w:cs="Times New Roman"/>
          <w:szCs w:val="24"/>
        </w:rPr>
        <w:t>BoD</w:t>
      </w:r>
      <w:proofErr w:type="spellEnd"/>
      <w:r>
        <w:rPr>
          <w:rFonts w:eastAsia="Times New Roman" w:cs="Times New Roman"/>
          <w:szCs w:val="24"/>
        </w:rPr>
        <w:t xml:space="preserve">) </w:t>
      </w:r>
      <w:r w:rsidRPr="00547634">
        <w:rPr>
          <w:rFonts w:eastAsia="Times New Roman" w:cs="Times New Roman"/>
          <w:szCs w:val="24"/>
        </w:rPr>
        <w:t>input that can be used for analysis of SSCs.</w:t>
      </w:r>
      <w:bookmarkEnd w:id="436"/>
      <w:bookmarkEnd w:id="437"/>
    </w:p>
    <w:p w14:paraId="50E05851" w14:textId="75CFB356" w:rsidR="008E525E" w:rsidRPr="005B1C10" w:rsidRDefault="008E525E" w:rsidP="008E525E">
      <w:pPr>
        <w:numPr>
          <w:ilvl w:val="0"/>
          <w:numId w:val="42"/>
        </w:numPr>
        <w:tabs>
          <w:tab w:val="left" w:pos="720"/>
        </w:tabs>
        <w:spacing w:after="220" w:line="240" w:lineRule="auto"/>
        <w:ind w:left="1134" w:hanging="414"/>
        <w:contextualSpacing/>
        <w:rPr>
          <w:rFonts w:eastAsia="Times New Roman" w:cs="Times New Roman"/>
          <w:szCs w:val="24"/>
        </w:rPr>
      </w:pPr>
      <w:bookmarkStart w:id="438" w:name="_Toc473126223"/>
      <w:bookmarkStart w:id="439" w:name="_Toc473127843"/>
      <w:bookmarkStart w:id="440" w:name="_Ref475373491"/>
      <w:r w:rsidRPr="005B1C10">
        <w:rPr>
          <w:rFonts w:eastAsia="Times New Roman" w:cs="Times New Roman"/>
          <w:szCs w:val="24"/>
        </w:rPr>
        <w:t>Define a protection concept to determine the barriers required to satisfy the relevant nuclear safety principles (</w:t>
      </w:r>
      <w:r w:rsidR="003C0E7E" w:rsidRPr="008C3E70">
        <w:rPr>
          <w:rFonts w:eastAsia="Times New Roman" w:cs="Times New Roman"/>
          <w:szCs w:val="24"/>
        </w:rPr>
        <w:t>e.g.,</w:t>
      </w:r>
      <w:r w:rsidRPr="005B1C10">
        <w:rPr>
          <w:rFonts w:eastAsia="Times New Roman" w:cs="Times New Roman"/>
          <w:szCs w:val="24"/>
        </w:rPr>
        <w:t xml:space="preserve"> defence-in-depth (</w:t>
      </w:r>
      <w:proofErr w:type="spellStart"/>
      <w:r w:rsidRPr="005B1C10">
        <w:rPr>
          <w:rFonts w:eastAsia="Times New Roman" w:cs="Times New Roman"/>
          <w:szCs w:val="24"/>
        </w:rPr>
        <w:t>DiD</w:t>
      </w:r>
      <w:proofErr w:type="spellEnd"/>
      <w:r w:rsidRPr="005B1C10">
        <w:rPr>
          <w:rFonts w:eastAsia="Times New Roman" w:cs="Times New Roman"/>
          <w:szCs w:val="24"/>
        </w:rPr>
        <w:t>)).</w:t>
      </w:r>
      <w:bookmarkEnd w:id="438"/>
      <w:bookmarkEnd w:id="439"/>
      <w:bookmarkEnd w:id="440"/>
      <w:r w:rsidRPr="005B1C10">
        <w:rPr>
          <w:rFonts w:eastAsia="Times New Roman" w:cs="Times New Roman"/>
          <w:szCs w:val="24"/>
        </w:rPr>
        <w:t xml:space="preserve"> </w:t>
      </w:r>
    </w:p>
    <w:p w14:paraId="49A901B4" w14:textId="6A186481" w:rsidR="008E525E" w:rsidRPr="001B0BA7" w:rsidRDefault="008E525E" w:rsidP="008E525E">
      <w:pPr>
        <w:numPr>
          <w:ilvl w:val="0"/>
          <w:numId w:val="42"/>
        </w:numPr>
        <w:tabs>
          <w:tab w:val="left" w:pos="720"/>
        </w:tabs>
        <w:spacing w:after="220" w:line="240" w:lineRule="auto"/>
        <w:ind w:left="1134" w:hanging="414"/>
        <w:contextualSpacing/>
        <w:rPr>
          <w:rFonts w:eastAsia="Times New Roman" w:cs="Times New Roman"/>
          <w:szCs w:val="24"/>
        </w:rPr>
      </w:pPr>
      <w:bookmarkStart w:id="441" w:name="_Toc473126224"/>
      <w:bookmarkStart w:id="442" w:name="_Toc473127844"/>
      <w:r w:rsidRPr="001B0BA7">
        <w:rPr>
          <w:rFonts w:eastAsia="Times New Roman" w:cs="Times New Roman"/>
          <w:szCs w:val="24"/>
        </w:rPr>
        <w:lastRenderedPageBreak/>
        <w:t xml:space="preserve">Analyse the response of the plant / SSCs to the </w:t>
      </w:r>
      <w:proofErr w:type="spellStart"/>
      <w:r w:rsidR="0048117C" w:rsidRPr="001B0BA7">
        <w:rPr>
          <w:rFonts w:eastAsia="Times New Roman" w:cs="Times New Roman"/>
          <w:szCs w:val="24"/>
        </w:rPr>
        <w:t>BoD</w:t>
      </w:r>
      <w:proofErr w:type="spellEnd"/>
      <w:r w:rsidR="0048117C" w:rsidRPr="001B0BA7">
        <w:rPr>
          <w:rFonts w:eastAsia="Times New Roman" w:cs="Times New Roman"/>
          <w:szCs w:val="24"/>
        </w:rPr>
        <w:t xml:space="preserve"> </w:t>
      </w:r>
      <w:r w:rsidRPr="00547634">
        <w:rPr>
          <w:rFonts w:eastAsia="Times New Roman" w:cs="Times New Roman"/>
          <w:szCs w:val="24"/>
        </w:rPr>
        <w:t>based on deterministic methods – includ</w:t>
      </w:r>
      <w:r w:rsidR="0048117C" w:rsidRPr="00547634">
        <w:rPr>
          <w:rFonts w:eastAsia="Times New Roman" w:cs="Times New Roman"/>
          <w:szCs w:val="24"/>
        </w:rPr>
        <w:t xml:space="preserve">ing assessment of </w:t>
      </w:r>
      <w:r w:rsidR="00CB67AB">
        <w:rPr>
          <w:rFonts w:eastAsia="Times New Roman" w:cs="Times New Roman"/>
          <w:szCs w:val="24"/>
        </w:rPr>
        <w:t>BDB</w:t>
      </w:r>
      <w:r w:rsidR="001B0BA7" w:rsidRPr="00547634">
        <w:rPr>
          <w:rFonts w:eastAsia="Times New Roman" w:cs="Times New Roman"/>
          <w:szCs w:val="24"/>
        </w:rPr>
        <w:t xml:space="preserve"> capability</w:t>
      </w:r>
      <w:r w:rsidRPr="00547634">
        <w:rPr>
          <w:rFonts w:eastAsia="Times New Roman" w:cs="Times New Roman"/>
          <w:szCs w:val="24"/>
        </w:rPr>
        <w:t>.</w:t>
      </w:r>
      <w:r w:rsidRPr="001B0BA7">
        <w:rPr>
          <w:rFonts w:eastAsia="Times New Roman" w:cs="Times New Roman"/>
          <w:szCs w:val="24"/>
        </w:rPr>
        <w:t xml:space="preserve"> </w:t>
      </w:r>
    </w:p>
    <w:p w14:paraId="73B32DE7" w14:textId="77777777" w:rsidR="008E525E" w:rsidRPr="001B0BA7" w:rsidRDefault="008E525E" w:rsidP="008E525E">
      <w:pPr>
        <w:numPr>
          <w:ilvl w:val="0"/>
          <w:numId w:val="42"/>
        </w:numPr>
        <w:tabs>
          <w:tab w:val="left" w:pos="720"/>
        </w:tabs>
        <w:spacing w:after="220" w:line="240" w:lineRule="auto"/>
        <w:ind w:left="1134" w:hanging="414"/>
        <w:contextualSpacing/>
        <w:rPr>
          <w:rFonts w:eastAsia="Times New Roman" w:cs="Times New Roman"/>
          <w:szCs w:val="24"/>
        </w:rPr>
      </w:pPr>
      <w:r w:rsidRPr="00547634">
        <w:rPr>
          <w:rFonts w:eastAsia="Times New Roman" w:cs="Times New Roman"/>
          <w:szCs w:val="24"/>
        </w:rPr>
        <w:t>Where proportional for EH, use</w:t>
      </w:r>
      <w:r w:rsidRPr="001B0BA7">
        <w:rPr>
          <w:rFonts w:eastAsia="Times New Roman" w:cs="Times New Roman"/>
          <w:szCs w:val="24"/>
        </w:rPr>
        <w:t xml:space="preserve"> fault analysis to determine the resulting nuclear safety consequences and risks that could arise.</w:t>
      </w:r>
      <w:bookmarkEnd w:id="441"/>
      <w:bookmarkEnd w:id="442"/>
    </w:p>
    <w:p w14:paraId="3BF4FD1D" w14:textId="6A06D731" w:rsidR="008E525E" w:rsidRPr="005B1C10" w:rsidRDefault="008E525E" w:rsidP="008E525E">
      <w:pPr>
        <w:numPr>
          <w:ilvl w:val="0"/>
          <w:numId w:val="42"/>
        </w:numPr>
        <w:tabs>
          <w:tab w:val="left" w:pos="720"/>
        </w:tabs>
        <w:spacing w:after="220" w:line="240" w:lineRule="auto"/>
        <w:ind w:left="1134" w:hanging="414"/>
        <w:contextualSpacing/>
        <w:rPr>
          <w:rFonts w:eastAsia="Times New Roman" w:cs="Times New Roman"/>
        </w:rPr>
      </w:pPr>
      <w:bookmarkStart w:id="443" w:name="_Toc473126225"/>
      <w:bookmarkStart w:id="444" w:name="_Toc473127845"/>
      <w:r w:rsidRPr="07848D04">
        <w:rPr>
          <w:rFonts w:eastAsia="Times New Roman" w:cs="Times New Roman"/>
          <w:i/>
        </w:rPr>
        <w:t>New nuclear sites</w:t>
      </w:r>
      <w:r w:rsidRPr="07848D04">
        <w:rPr>
          <w:rFonts w:eastAsia="Times New Roman" w:cs="Times New Roman"/>
        </w:rPr>
        <w:t>: For new sites</w:t>
      </w:r>
      <w:r w:rsidR="1FA00374" w:rsidRPr="07848D04">
        <w:rPr>
          <w:rFonts w:eastAsia="Times New Roman" w:cs="Times New Roman"/>
        </w:rPr>
        <w:t>,</w:t>
      </w:r>
      <w:r w:rsidRPr="07848D04">
        <w:rPr>
          <w:rFonts w:eastAsia="Times New Roman" w:cs="Times New Roman"/>
        </w:rPr>
        <w:t xml:space="preserve"> SAP ST.4 anticipates that the suitability of the site to support safe operation will be assessed from an EHs viewpoint</w:t>
      </w:r>
      <w:r w:rsidRPr="07848D04">
        <w:rPr>
          <w:rFonts w:eastAsia="Times New Roman" w:cs="Times New Roman"/>
          <w:vertAlign w:val="superscript"/>
        </w:rPr>
        <w:footnoteReference w:id="8"/>
      </w:r>
      <w:r w:rsidRPr="07848D04">
        <w:rPr>
          <w:rFonts w:eastAsia="Times New Roman" w:cs="Times New Roman"/>
        </w:rPr>
        <w:t>.</w:t>
      </w:r>
      <w:bookmarkEnd w:id="443"/>
      <w:bookmarkEnd w:id="444"/>
    </w:p>
    <w:p w14:paraId="34C16E57" w14:textId="0C2FE723" w:rsidR="008E525E" w:rsidRPr="005B1C10" w:rsidRDefault="008E525E" w:rsidP="000D6BF8">
      <w:pPr>
        <w:pStyle w:val="F9-Paragraph"/>
        <w:ind w:hanging="502"/>
      </w:pPr>
      <w:bookmarkStart w:id="445" w:name="_Toc473126227"/>
      <w:bookmarkStart w:id="446" w:name="_Toc473127847"/>
      <w:bookmarkStart w:id="447" w:name="_Ref473544597"/>
      <w:r w:rsidRPr="005B1C10">
        <w:t xml:space="preserve">Safety submissions made by the </w:t>
      </w:r>
      <w:r w:rsidR="002814D9">
        <w:t>l</w:t>
      </w:r>
      <w:r w:rsidRPr="005B1C10">
        <w:t xml:space="preserve">icensee should cover all the tasks listed above. </w:t>
      </w:r>
      <w:r w:rsidRPr="00F61002">
        <w:t>The role of EH specialist inspectors is primarily to assess the adequacy of submissions covering the first t</w:t>
      </w:r>
      <w:r w:rsidR="00A552BD" w:rsidRPr="00F61002">
        <w:t>hree</w:t>
      </w:r>
      <w:r w:rsidRPr="00F61002">
        <w:t xml:space="preserve"> tasks, and in the case of new nuclear sites, </w:t>
      </w:r>
      <w:r w:rsidR="007C0F4A">
        <w:t>T</w:t>
      </w:r>
      <w:r w:rsidRPr="00F61002">
        <w:t xml:space="preserve">ask </w:t>
      </w:r>
      <w:r w:rsidRPr="00547634">
        <w:t>(</w:t>
      </w:r>
      <w:r w:rsidR="00A552BD" w:rsidRPr="00547634">
        <w:t>g</w:t>
      </w:r>
      <w:r w:rsidRPr="00547634">
        <w:t>)</w:t>
      </w:r>
      <w:r w:rsidR="007C0F4A">
        <w:t xml:space="preserve"> </w:t>
      </w:r>
      <w:r w:rsidR="00495F87">
        <w:t>–</w:t>
      </w:r>
      <w:r w:rsidR="007C0F4A">
        <w:t xml:space="preserve"> t</w:t>
      </w:r>
      <w:r w:rsidR="005F0895">
        <w:t xml:space="preserve">his is discussed further </w:t>
      </w:r>
      <w:r w:rsidR="005F0895" w:rsidRPr="005B1C10">
        <w:t>in Section</w:t>
      </w:r>
      <w:r w:rsidR="005F0895">
        <w:t xml:space="preserve"> </w:t>
      </w:r>
      <w:r w:rsidR="005F0895">
        <w:fldChar w:fldCharType="begin"/>
      </w:r>
      <w:r w:rsidR="005F0895">
        <w:instrText xml:space="preserve"> REF _Ref138931864 \r \h </w:instrText>
      </w:r>
      <w:r w:rsidR="00221C99">
        <w:instrText xml:space="preserve"> \* MERGEFORMAT </w:instrText>
      </w:r>
      <w:r w:rsidR="005F0895">
        <w:fldChar w:fldCharType="separate"/>
      </w:r>
      <w:r w:rsidR="008B51F7">
        <w:t>5</w:t>
      </w:r>
      <w:r w:rsidR="005F0895">
        <w:fldChar w:fldCharType="end"/>
      </w:r>
      <w:r w:rsidR="005F0895">
        <w:t>.</w:t>
      </w:r>
      <w:r w:rsidRPr="00F61002">
        <w:t xml:space="preserve"> Task (</w:t>
      </w:r>
      <w:r w:rsidR="00F61002" w:rsidRPr="00F61002">
        <w:t>d</w:t>
      </w:r>
      <w:r w:rsidRPr="00F61002">
        <w:t>) is covered by a combination of fault analysis and EH inspectors. Task (</w:t>
      </w:r>
      <w:r w:rsidR="00F61002" w:rsidRPr="00F61002">
        <w:t>e</w:t>
      </w:r>
      <w:r w:rsidRPr="00F61002">
        <w:t>) is undertaken by specialist inspectors in other disciplines covering SSCs affected by EHs. This division of work creates a number of interfaces between EH specialist inspectors and other disciplines within ONR. The most significant interfaces are listed in Table 3, however</w:t>
      </w:r>
      <w:r w:rsidR="00082EC6">
        <w:t>,</w:t>
      </w:r>
      <w:r w:rsidRPr="00F61002">
        <w:t xml:space="preserve"> EH </w:t>
      </w:r>
      <w:r w:rsidRPr="00547634">
        <w:t xml:space="preserve">specialist inspectors </w:t>
      </w:r>
      <w:r w:rsidRPr="00F61002">
        <w:t xml:space="preserve">should be mindful that other interfaces </w:t>
      </w:r>
      <w:bookmarkEnd w:id="445"/>
      <w:bookmarkEnd w:id="446"/>
      <w:bookmarkEnd w:id="447"/>
      <w:r w:rsidRPr="00547634">
        <w:t>can sometimes exist.</w:t>
      </w:r>
    </w:p>
    <w:p w14:paraId="6B8F9D69" w14:textId="6A99C827" w:rsidR="008E525E" w:rsidRDefault="00417AAB" w:rsidP="00547634">
      <w:pPr>
        <w:pStyle w:val="Heading2"/>
      </w:pPr>
      <w:bookmarkStart w:id="448" w:name="_Toc520367605"/>
      <w:bookmarkStart w:id="449" w:name="_Toc140137238"/>
      <w:r w:rsidRPr="001A4B9B">
        <w:t>Characterising External Hazards</w:t>
      </w:r>
      <w:bookmarkEnd w:id="448"/>
      <w:bookmarkEnd w:id="449"/>
    </w:p>
    <w:p w14:paraId="6FA2EEF4" w14:textId="77777777" w:rsidR="00687F26" w:rsidRPr="005B1C10" w:rsidRDefault="00687F26" w:rsidP="000D6BF8">
      <w:pPr>
        <w:pStyle w:val="F9-Paragraph"/>
        <w:ind w:hanging="502"/>
      </w:pPr>
      <w:r w:rsidRPr="005B1C10">
        <w:t>EHs can be classified as either discrete or non-discrete hazards.</w:t>
      </w:r>
    </w:p>
    <w:p w14:paraId="4CEE9E05" w14:textId="0043A7DB" w:rsidR="00475528" w:rsidRDefault="00687F26" w:rsidP="00687F26">
      <w:pPr>
        <w:pStyle w:val="Heading3"/>
      </w:pPr>
      <w:r>
        <w:t xml:space="preserve">Discrete </w:t>
      </w:r>
      <w:r w:rsidR="00CC5D13">
        <w:t>h</w:t>
      </w:r>
      <w:r>
        <w:t>azards</w:t>
      </w:r>
    </w:p>
    <w:p w14:paraId="73432355" w14:textId="3E0D5C16" w:rsidR="002F1901" w:rsidRPr="005C6B89" w:rsidRDefault="002F1901" w:rsidP="000D6BF8">
      <w:pPr>
        <w:pStyle w:val="F9-Paragraph"/>
        <w:ind w:hanging="502"/>
      </w:pPr>
      <w:bookmarkStart w:id="450" w:name="_Toc462321685"/>
      <w:r w:rsidRPr="005C6B89">
        <w:t xml:space="preserve">Discrete EHs are those that can be defined as one or more discrete events in terms of frequency of occurrence and severity (SAP paragraph 232). </w:t>
      </w:r>
      <w:bookmarkEnd w:id="450"/>
      <w:r w:rsidRPr="00547634">
        <w:t>They are discrete, inasmuch as they do not occur with sufficient frequency to provide a severity-frequency relationship</w:t>
      </w:r>
      <w:r w:rsidR="000D0865">
        <w:t xml:space="preserve"> or </w:t>
      </w:r>
      <w:r w:rsidR="00036511">
        <w:t xml:space="preserve">the </w:t>
      </w:r>
      <w:r w:rsidR="003B3691">
        <w:t xml:space="preserve">bounding </w:t>
      </w:r>
      <w:r w:rsidR="00036511">
        <w:t>severities are discrete</w:t>
      </w:r>
      <w:r w:rsidR="003B3691">
        <w:t xml:space="preserve"> </w:t>
      </w:r>
      <w:r w:rsidR="00996D9D">
        <w:t>due to</w:t>
      </w:r>
      <w:r w:rsidR="004E439C">
        <w:t xml:space="preserve"> </w:t>
      </w:r>
      <w:r w:rsidR="00EE757B">
        <w:t xml:space="preserve">there being a </w:t>
      </w:r>
      <w:r w:rsidR="004E439C">
        <w:t xml:space="preserve">finite </w:t>
      </w:r>
      <w:r w:rsidR="00EE757B">
        <w:t xml:space="preserve">number of </w:t>
      </w:r>
      <w:r w:rsidR="004E439C">
        <w:t xml:space="preserve">event types, </w:t>
      </w:r>
      <w:r w:rsidR="00DA41ED">
        <w:t>e.g.,</w:t>
      </w:r>
      <w:r w:rsidR="004E439C">
        <w:t xml:space="preserve"> </w:t>
      </w:r>
      <w:r w:rsidR="003F36EE">
        <w:t xml:space="preserve">for aircraft impact </w:t>
      </w:r>
      <w:r w:rsidR="00E17F7F">
        <w:t xml:space="preserve">a finite </w:t>
      </w:r>
      <w:r w:rsidR="00912CC6">
        <w:t xml:space="preserve">number of </w:t>
      </w:r>
      <w:r w:rsidR="00853A6C">
        <w:t xml:space="preserve">aircraft </w:t>
      </w:r>
      <w:r w:rsidR="00912CC6">
        <w:t xml:space="preserve">types exist; aircraft shapes and sizes </w:t>
      </w:r>
      <w:r w:rsidR="00E17F7F">
        <w:t xml:space="preserve">do not </w:t>
      </w:r>
      <w:r w:rsidR="00673807">
        <w:t xml:space="preserve">occur </w:t>
      </w:r>
      <w:r w:rsidR="00912CC6">
        <w:t>across a continuous spectrum</w:t>
      </w:r>
      <w:r w:rsidRPr="00547634">
        <w:t>.</w:t>
      </w:r>
      <w:r w:rsidR="00912CC6">
        <w:t xml:space="preserve"> </w:t>
      </w:r>
    </w:p>
    <w:p w14:paraId="644CB18F" w14:textId="757B3EC9" w:rsidR="00687F26" w:rsidRDefault="00687F26" w:rsidP="00110F49">
      <w:pPr>
        <w:pStyle w:val="Heading3"/>
      </w:pPr>
      <w:r>
        <w:t xml:space="preserve">Non-discrete </w:t>
      </w:r>
      <w:r w:rsidR="00CC5D13">
        <w:t>h</w:t>
      </w:r>
      <w:r>
        <w:t>azards</w:t>
      </w:r>
    </w:p>
    <w:p w14:paraId="0539DB70" w14:textId="77CC10D9" w:rsidR="003F06EB" w:rsidRPr="001D077D" w:rsidRDefault="003F06EB" w:rsidP="000D6BF8">
      <w:pPr>
        <w:pStyle w:val="F9-Paragraph"/>
        <w:ind w:hanging="502"/>
      </w:pPr>
      <w:bookmarkStart w:id="451" w:name="_Toc462321687"/>
      <w:bookmarkStart w:id="452" w:name="_Toc473126237"/>
      <w:bookmarkStart w:id="453" w:name="_Toc473127857"/>
      <w:bookmarkStart w:id="454" w:name="_Ref473196982"/>
      <w:r w:rsidRPr="001D077D">
        <w:t>This is a term used in the SAPs for a number of natural hazards: weather, flood and seismicity (SAP paragraph 233). Here, each hazard is (or in principle can be) described by a hazard curve of frequency of exceedance versus severity</w:t>
      </w:r>
      <w:r w:rsidR="00456E80">
        <w:t>. A</w:t>
      </w:r>
      <w:r w:rsidRPr="001D077D">
        <w:t xml:space="preserve"> special feature of the hazard curve is that the events it describes are related by the physical processes that create them</w:t>
      </w:r>
      <w:bookmarkEnd w:id="451"/>
      <w:bookmarkEnd w:id="452"/>
      <w:bookmarkEnd w:id="453"/>
      <w:bookmarkEnd w:id="454"/>
      <w:r w:rsidRPr="001D077D">
        <w:t>.</w:t>
      </w:r>
    </w:p>
    <w:p w14:paraId="17A4167B" w14:textId="3B3168CF" w:rsidR="003F06EB" w:rsidRPr="00A0424A" w:rsidRDefault="003F06EB" w:rsidP="000D6BF8">
      <w:pPr>
        <w:pStyle w:val="F9-Paragraph"/>
        <w:ind w:hanging="502"/>
      </w:pPr>
      <w:bookmarkStart w:id="455" w:name="_Ref444700675"/>
      <w:bookmarkStart w:id="456" w:name="_Toc462321688"/>
      <w:bookmarkStart w:id="457" w:name="_Toc473126238"/>
      <w:bookmarkStart w:id="458" w:name="_Toc473127858"/>
      <w:r w:rsidRPr="00A0424A">
        <w:t xml:space="preserve">The hazard </w:t>
      </w:r>
      <w:r w:rsidRPr="00D018B4">
        <w:t xml:space="preserve">curve concept is key to the understanding of the most significant natural </w:t>
      </w:r>
      <w:r w:rsidRPr="00547634">
        <w:t>external</w:t>
      </w:r>
      <w:r w:rsidRPr="00D018B4">
        <w:t xml:space="preserve"> hazards</w:t>
      </w:r>
      <w:r w:rsidR="002455F7">
        <w:t xml:space="preserve"> (NEHs)</w:t>
      </w:r>
      <w:r w:rsidRPr="00D018B4">
        <w:t xml:space="preserve">. The “exceedance” in </w:t>
      </w:r>
      <w:r w:rsidR="001B30AA">
        <w:t>“</w:t>
      </w:r>
      <w:r w:rsidRPr="00D018B4">
        <w:t>exceedance frequency</w:t>
      </w:r>
      <w:r w:rsidR="001B30AA">
        <w:t>”</w:t>
      </w:r>
      <w:r w:rsidRPr="00D018B4">
        <w:t xml:space="preserve"> means that at any given point on </w:t>
      </w:r>
      <w:r w:rsidRPr="00A0424A">
        <w:t xml:space="preserve">the hazard curve, the frequency of </w:t>
      </w:r>
      <w:r w:rsidRPr="00A0424A">
        <w:lastRenderedPageBreak/>
        <w:t xml:space="preserve">the indicated hazard severity should be interpreted as the frequency of realising an event of severity </w:t>
      </w:r>
      <w:r w:rsidRPr="00547634">
        <w:t>greater</w:t>
      </w:r>
      <w:r w:rsidRPr="00A0424A">
        <w:t xml:space="preserve"> than the one indicated. This is important in </w:t>
      </w:r>
      <w:r w:rsidR="00BC06F6">
        <w:t xml:space="preserve">calculating </w:t>
      </w:r>
      <w:r w:rsidR="002C3CA8">
        <w:t>DB and BDB events</w:t>
      </w:r>
      <w:r w:rsidR="0049291D">
        <w:t>, which are averages for all events exceeding a specified point on the hazard curve as, in practice, any given extreme event is unlikely to be exactly equal to a specified point on the curve</w:t>
      </w:r>
      <w:r w:rsidRPr="00A0424A">
        <w:t xml:space="preserve"> (see Section</w:t>
      </w:r>
      <w:r w:rsidR="00CB67AB">
        <w:t xml:space="preserve"> </w:t>
      </w:r>
      <w:r w:rsidR="00CB67AB">
        <w:fldChar w:fldCharType="begin"/>
      </w:r>
      <w:r w:rsidR="00CB67AB">
        <w:instrText xml:space="preserve"> REF _Ref138674429 \r \h </w:instrText>
      </w:r>
      <w:r w:rsidR="00221C99">
        <w:instrText xml:space="preserve"> \* MERGEFORMAT </w:instrText>
      </w:r>
      <w:r w:rsidR="00CB67AB">
        <w:fldChar w:fldCharType="separate"/>
      </w:r>
      <w:r w:rsidR="008B51F7">
        <w:t>5.6</w:t>
      </w:r>
      <w:r w:rsidR="00CB67AB">
        <w:fldChar w:fldCharType="end"/>
      </w:r>
      <w:r w:rsidRPr="00A0424A">
        <w:t>).</w:t>
      </w:r>
      <w:bookmarkEnd w:id="455"/>
      <w:bookmarkEnd w:id="456"/>
      <w:bookmarkEnd w:id="457"/>
      <w:bookmarkEnd w:id="458"/>
    </w:p>
    <w:p w14:paraId="0CFF2868" w14:textId="77777777" w:rsidR="003F06EB" w:rsidRPr="006A1F5A" w:rsidRDefault="003F06EB" w:rsidP="00547634">
      <w:pPr>
        <w:pStyle w:val="Heading3"/>
      </w:pPr>
      <w:bookmarkStart w:id="459" w:name="_Ref140042072"/>
      <w:r w:rsidRPr="006A1F5A">
        <w:t>Maximum credible events</w:t>
      </w:r>
      <w:bookmarkEnd w:id="459"/>
    </w:p>
    <w:p w14:paraId="33BDC857" w14:textId="605FB186" w:rsidR="003F06EB" w:rsidRPr="00CC56D9" w:rsidRDefault="003F06EB" w:rsidP="000D6BF8">
      <w:pPr>
        <w:pStyle w:val="F9-Paragraph"/>
        <w:ind w:hanging="502"/>
      </w:pPr>
      <w:bookmarkStart w:id="460" w:name="_Ref448475111"/>
      <w:bookmarkStart w:id="461" w:name="_Toc462321691"/>
      <w:bookmarkStart w:id="462" w:name="_Toc473126240"/>
      <w:bookmarkStart w:id="463" w:name="_Toc473127860"/>
      <w:bookmarkStart w:id="464" w:name="_Ref473196283"/>
      <w:bookmarkStart w:id="465" w:name="_Ref473369266"/>
      <w:r w:rsidRPr="005B1C10">
        <w:t>For some discrete hazards, usually man-made hazards, it may be possible to characterise a worst-case event, called a Maximum Credible Event (MCE), that can be used as a surrogate for the hazard as a whole. For example, the release of a toxic gas from a nearby off-site tank farm will likely be limited by the maximum storage capacity of the tanks. The MCE concept is useful for quickly estimating worst case scenarios and is</w:t>
      </w:r>
      <w:r w:rsidR="00D86BC4">
        <w:t xml:space="preserve"> often</w:t>
      </w:r>
      <w:r w:rsidRPr="005B1C10">
        <w:t xml:space="preserve"> applied to hazards whose nuclear safety implications are minor. Quite often, the </w:t>
      </w:r>
      <w:r w:rsidR="005C34A3">
        <w:t>l</w:t>
      </w:r>
      <w:r w:rsidRPr="005B1C10">
        <w:t xml:space="preserve">icensee is able to demonstrate in a straightforward way that, even at the MCE level, the nuclear safety implications are negligible and therefore the hazard can be screened out from further </w:t>
      </w:r>
      <w:r w:rsidRPr="00DB3F11">
        <w:t xml:space="preserve">consideration. </w:t>
      </w:r>
      <w:r w:rsidRPr="00CC56D9">
        <w:t xml:space="preserve">The MCE can </w:t>
      </w:r>
      <w:r w:rsidRPr="00547634">
        <w:t xml:space="preserve">sometimes </w:t>
      </w:r>
      <w:r w:rsidRPr="00CC56D9">
        <w:t xml:space="preserve">be useful in helping to define a </w:t>
      </w:r>
      <w:r w:rsidR="00E61221">
        <w:t>DBE</w:t>
      </w:r>
      <w:r w:rsidRPr="00CC56D9">
        <w:t xml:space="preserve"> when probabilistic methods for the hazard in question carry large uncertainties, and also provides a useful insight for </w:t>
      </w:r>
      <w:bookmarkEnd w:id="460"/>
      <w:r w:rsidRPr="00547634">
        <w:t>BDB and</w:t>
      </w:r>
      <w:r w:rsidR="00636659">
        <w:t xml:space="preserve"> beyond design basis analysis (</w:t>
      </w:r>
      <w:r w:rsidRPr="00CC56D9">
        <w:t>BDBA</w:t>
      </w:r>
      <w:r w:rsidR="00636659">
        <w:t>)</w:t>
      </w:r>
      <w:r w:rsidRPr="00CC56D9">
        <w:t>.</w:t>
      </w:r>
      <w:bookmarkEnd w:id="461"/>
      <w:bookmarkEnd w:id="462"/>
      <w:bookmarkEnd w:id="463"/>
      <w:bookmarkEnd w:id="464"/>
      <w:bookmarkEnd w:id="465"/>
    </w:p>
    <w:p w14:paraId="12BB920B" w14:textId="77777777" w:rsidR="003F06EB" w:rsidRPr="003E22CB" w:rsidRDefault="003F06EB" w:rsidP="000D6BF8">
      <w:pPr>
        <w:pStyle w:val="F9-Paragraph"/>
        <w:ind w:hanging="502"/>
      </w:pPr>
      <w:bookmarkStart w:id="466" w:name="_Ref501546575"/>
      <w:r w:rsidRPr="005B1C10">
        <w:t xml:space="preserve">In principle, it may also be possible to develop a MCE for a non-discrete hazard, e.g. if the hazard curve is asymptotic to some upper value of severity, or if a relevant physical </w:t>
      </w:r>
      <w:r w:rsidRPr="003E22CB">
        <w:t>limit can be defined that limits hazard severity.</w:t>
      </w:r>
      <w:bookmarkEnd w:id="466"/>
    </w:p>
    <w:p w14:paraId="40DE5AB5" w14:textId="2C11B072" w:rsidR="003F06EB" w:rsidRPr="003E22CB" w:rsidRDefault="003F06EB" w:rsidP="000D6BF8">
      <w:pPr>
        <w:pStyle w:val="F9-Paragraph"/>
        <w:ind w:hanging="502"/>
      </w:pPr>
      <w:bookmarkStart w:id="467" w:name="_Toc462321692"/>
      <w:bookmarkStart w:id="468" w:name="_Toc473126241"/>
      <w:bookmarkStart w:id="469" w:name="_Toc473127861"/>
      <w:r w:rsidRPr="003E22CB">
        <w:t xml:space="preserve">Where hazards are not amenable to the derivation of a </w:t>
      </w:r>
      <w:r w:rsidR="00FF2A14">
        <w:t>DBE</w:t>
      </w:r>
      <w:r w:rsidRPr="003E22CB">
        <w:t xml:space="preserve"> based on frequency, a surrogate MCE, supported by scientific evidence, may be defined. The severity of the surrogate MCE should be chosen and justified to reach an equivalent level of safety (that is, it should be compatible with the principles of SAP FA.5).</w:t>
      </w:r>
      <w:bookmarkStart w:id="470" w:name="_Ref448475145"/>
      <w:bookmarkEnd w:id="467"/>
      <w:bookmarkEnd w:id="468"/>
      <w:bookmarkEnd w:id="469"/>
    </w:p>
    <w:p w14:paraId="2D4A99C3" w14:textId="65D7C668" w:rsidR="003F06EB" w:rsidRPr="00213222" w:rsidRDefault="003F06EB" w:rsidP="00547634">
      <w:pPr>
        <w:pStyle w:val="Heading3"/>
      </w:pPr>
      <w:bookmarkStart w:id="471" w:name="_Toc520367606"/>
      <w:bookmarkEnd w:id="470"/>
      <w:r w:rsidRPr="00213222">
        <w:t xml:space="preserve">Plant </w:t>
      </w:r>
      <w:r w:rsidR="00CC5D13">
        <w:t>r</w:t>
      </w:r>
      <w:r w:rsidRPr="00213222">
        <w:t xml:space="preserve">esponse to </w:t>
      </w:r>
      <w:r w:rsidR="00CC5D13">
        <w:t>e</w:t>
      </w:r>
      <w:r w:rsidRPr="00213222">
        <w:t xml:space="preserve">xternal </w:t>
      </w:r>
      <w:r w:rsidR="00CC5D13">
        <w:t>h</w:t>
      </w:r>
      <w:r w:rsidRPr="00213222">
        <w:t>azards</w:t>
      </w:r>
      <w:bookmarkEnd w:id="471"/>
    </w:p>
    <w:p w14:paraId="21F996AC" w14:textId="1F05123A" w:rsidR="003F06EB" w:rsidRPr="00881FFA" w:rsidRDefault="003F06EB" w:rsidP="000D6BF8">
      <w:pPr>
        <w:pStyle w:val="F9-Paragraph"/>
        <w:ind w:hanging="502"/>
      </w:pPr>
      <w:bookmarkStart w:id="472" w:name="_Toc473126243"/>
      <w:bookmarkStart w:id="473" w:name="_Toc473127863"/>
      <w:r w:rsidRPr="005B1C10">
        <w:t xml:space="preserve">The intent of this section is to provide a context within which the analysis of EHs is undertaken. This analysis is driven primarily by the need to demonstrate safe operation of nuclear plant. Such plant consists of </w:t>
      </w:r>
      <w:r w:rsidR="00F93453" w:rsidRPr="00881FFA">
        <w:t xml:space="preserve">SSCs </w:t>
      </w:r>
      <w:r w:rsidRPr="00881FFA">
        <w:t xml:space="preserve">for which safety functional requirements (SFRs) are stated. SFRs define the </w:t>
      </w:r>
      <w:r w:rsidRPr="00547634">
        <w:t xml:space="preserve">requirement for </w:t>
      </w:r>
      <w:r w:rsidRPr="00881FFA">
        <w:t xml:space="preserve">SSCs to withstand </w:t>
      </w:r>
      <w:r w:rsidR="00A56478">
        <w:t>specified</w:t>
      </w:r>
      <w:r w:rsidRPr="00881FFA">
        <w:t xml:space="preserve"> EHs.</w:t>
      </w:r>
      <w:r w:rsidRPr="000D6BF8">
        <w:t xml:space="preserve"> </w:t>
      </w:r>
    </w:p>
    <w:p w14:paraId="7F160D3C" w14:textId="17B12BBA" w:rsidR="003F06EB" w:rsidRPr="005B1C10" w:rsidRDefault="003F06EB" w:rsidP="000D6BF8">
      <w:pPr>
        <w:pStyle w:val="F9-Paragraph"/>
        <w:ind w:hanging="502"/>
      </w:pPr>
      <w:r w:rsidRPr="005B1C10">
        <w:t xml:space="preserve">The extent to </w:t>
      </w:r>
      <w:r w:rsidRPr="00881FFA">
        <w:t xml:space="preserve">which individual EHs are analysed to develop a </w:t>
      </w:r>
      <w:r w:rsidR="00881FFA">
        <w:t>DBE</w:t>
      </w:r>
      <w:r w:rsidRPr="00881FFA">
        <w:t xml:space="preserve"> should be proportionate to the significance of the EH to plant </w:t>
      </w:r>
      <w:r w:rsidRPr="00547634">
        <w:t>safety.</w:t>
      </w:r>
      <w:r w:rsidRPr="00881FFA">
        <w:t xml:space="preserve"> Nuclear (and other) plant / SSC</w:t>
      </w:r>
      <w:r w:rsidR="00881FFA">
        <w:t>s</w:t>
      </w:r>
      <w:r w:rsidRPr="00881FFA">
        <w:t xml:space="preserve"> respond to the challenges presented by EHs in a number of ways. This section gives a general overview of both typical features of SSC / personnel response and the protection / mitigation measures that </w:t>
      </w:r>
      <w:r w:rsidR="00AF3BF1">
        <w:t>l</w:t>
      </w:r>
      <w:r w:rsidRPr="00881FFA">
        <w:t>icensees typically implement</w:t>
      </w:r>
      <w:r w:rsidRPr="005B1C10">
        <w:t>.</w:t>
      </w:r>
      <w:bookmarkEnd w:id="472"/>
      <w:bookmarkEnd w:id="473"/>
    </w:p>
    <w:p w14:paraId="0C06C550" w14:textId="77777777" w:rsidR="003F06EB" w:rsidRPr="005B1C10" w:rsidRDefault="003F06EB" w:rsidP="000D6BF8">
      <w:pPr>
        <w:pStyle w:val="F9-Paragraph"/>
        <w:ind w:hanging="502"/>
      </w:pPr>
      <w:bookmarkStart w:id="474" w:name="_Ref473995918"/>
      <w:bookmarkStart w:id="475" w:name="_Toc473127864"/>
      <w:bookmarkStart w:id="476" w:name="_Toc473126244"/>
      <w:r w:rsidRPr="005B1C10">
        <w:t xml:space="preserve">Assessment of safety submissions covering the effects of EHs on SSCs is primarily the responsibility of other discipline areas, especially the engineering disciplines. The discipline areas </w:t>
      </w:r>
      <w:r w:rsidRPr="00547634">
        <w:t>are</w:t>
      </w:r>
      <w:bookmarkEnd w:id="474"/>
      <w:bookmarkEnd w:id="475"/>
      <w:bookmarkEnd w:id="476"/>
      <w:r w:rsidRPr="00547634">
        <w:t xml:space="preserve"> listed in Table 3</w:t>
      </w:r>
      <w:r w:rsidRPr="001E400E">
        <w:t>.</w:t>
      </w:r>
    </w:p>
    <w:p w14:paraId="7ACC541E" w14:textId="7FF40E9E" w:rsidR="003F06EB" w:rsidRPr="001E400E" w:rsidRDefault="003F06EB" w:rsidP="000D6BF8">
      <w:pPr>
        <w:pStyle w:val="F9-Paragraph"/>
        <w:ind w:hanging="502"/>
      </w:pPr>
      <w:bookmarkStart w:id="477" w:name="_Ref448481945"/>
      <w:bookmarkStart w:id="478" w:name="_Toc473126245"/>
      <w:bookmarkStart w:id="479" w:name="_Toc473127865"/>
      <w:r w:rsidRPr="001E400E">
        <w:lastRenderedPageBreak/>
        <w:t xml:space="preserve">The two most important features of EHs relevant to nuclear safety are the limited ability to apply the </w:t>
      </w:r>
      <w:r w:rsidRPr="00547634">
        <w:t xml:space="preserve">top tier of the </w:t>
      </w:r>
      <w:r w:rsidRPr="001E400E">
        <w:t>hierarchy of safety principle and the common cause effect that is often associated with EHs:</w:t>
      </w:r>
      <w:bookmarkEnd w:id="477"/>
      <w:bookmarkEnd w:id="478"/>
      <w:bookmarkEnd w:id="479"/>
    </w:p>
    <w:p w14:paraId="0BC3FCBC" w14:textId="78241152" w:rsidR="003F06EB" w:rsidRPr="005B1C10" w:rsidRDefault="003F06EB" w:rsidP="00A97004">
      <w:pPr>
        <w:pStyle w:val="Bulletlist1"/>
        <w:spacing w:before="120"/>
      </w:pPr>
      <w:bookmarkStart w:id="480" w:name="_Toc473126246"/>
      <w:bookmarkStart w:id="481" w:name="_Toc473127866"/>
      <w:bookmarkStart w:id="482" w:name="_Ref475373589"/>
      <w:bookmarkStart w:id="483" w:name="_Ref475373821"/>
      <w:bookmarkStart w:id="484" w:name="_Ref475516037"/>
      <w:r w:rsidRPr="005B1C10">
        <w:rPr>
          <w:i/>
        </w:rPr>
        <w:t>Limited ability to apply the Hierarchy of Safety principle</w:t>
      </w:r>
      <w:r w:rsidRPr="005B1C10">
        <w:t xml:space="preserve">: The </w:t>
      </w:r>
      <w:r w:rsidR="006D57D6">
        <w:t>l</w:t>
      </w:r>
      <w:r w:rsidRPr="005B1C10">
        <w:t xml:space="preserve">icensee has very little or no control over the hazard’s likelihood of occurrence. The </w:t>
      </w:r>
      <w:r w:rsidR="006D57D6">
        <w:t>l</w:t>
      </w:r>
      <w:r w:rsidRPr="005B1C10">
        <w:t>icensee should however be able to control the hazard’s potential to initiate faults on the plant. In hierarchy of safety terms, eliminating the hazard at source is not an option</w:t>
      </w:r>
      <w:r w:rsidR="00057715">
        <w:t>;</w:t>
      </w:r>
      <w:r w:rsidRPr="005B1C10">
        <w:t xml:space="preserve"> therefore protection and mitigation measures should be employed to limit the effects of the EH. Typically, these are:</w:t>
      </w:r>
      <w:bookmarkEnd w:id="480"/>
      <w:bookmarkEnd w:id="481"/>
      <w:bookmarkEnd w:id="482"/>
      <w:bookmarkEnd w:id="483"/>
      <w:bookmarkEnd w:id="484"/>
    </w:p>
    <w:p w14:paraId="78C37942" w14:textId="77777777" w:rsidR="003F06EB" w:rsidRPr="005B1C10" w:rsidRDefault="003F06EB" w:rsidP="00A97004">
      <w:pPr>
        <w:pStyle w:val="Bulletlist2"/>
        <w:spacing w:before="120"/>
      </w:pPr>
      <w:r w:rsidRPr="005B1C10">
        <w:t>Passive / active engineered safety features</w:t>
      </w:r>
    </w:p>
    <w:p w14:paraId="7E0FC552" w14:textId="77777777" w:rsidR="003F06EB" w:rsidRPr="005B1C10" w:rsidRDefault="003F06EB" w:rsidP="00A97004">
      <w:pPr>
        <w:pStyle w:val="Bulletlist2"/>
        <w:spacing w:before="120"/>
      </w:pPr>
      <w:r w:rsidRPr="005B1C10">
        <w:t>Procedural control measures involving operator actions, sometimes in response to warnings</w:t>
      </w:r>
    </w:p>
    <w:p w14:paraId="3E11CDCE" w14:textId="77777777" w:rsidR="003F06EB" w:rsidRPr="004E4CD4" w:rsidRDefault="003F06EB" w:rsidP="00A97004">
      <w:pPr>
        <w:pStyle w:val="Bulletlist1"/>
        <w:numPr>
          <w:ilvl w:val="0"/>
          <w:numId w:val="0"/>
        </w:numPr>
        <w:spacing w:before="120"/>
        <w:ind w:left="1418"/>
      </w:pPr>
      <w:r w:rsidRPr="004E4CD4">
        <w:t>Further guidance is provided in SAPs EKP.1 to EKP.3.</w:t>
      </w:r>
    </w:p>
    <w:p w14:paraId="4C112AC8" w14:textId="71B5ED2F" w:rsidR="003F06EB" w:rsidRPr="004E4CD4" w:rsidRDefault="003F06EB" w:rsidP="00A97004">
      <w:pPr>
        <w:pStyle w:val="Bulletlist1"/>
        <w:spacing w:before="120"/>
      </w:pPr>
      <w:bookmarkStart w:id="485" w:name="_Toc473126248"/>
      <w:bookmarkStart w:id="486" w:name="_Toc473127868"/>
      <w:bookmarkStart w:id="487" w:name="_Ref473546696"/>
      <w:bookmarkStart w:id="488" w:name="_Ref475373645"/>
      <w:bookmarkStart w:id="489" w:name="_Ref475373692"/>
      <w:bookmarkStart w:id="490" w:name="_Ref475373968"/>
      <w:bookmarkStart w:id="491" w:name="_Ref475374032"/>
      <w:r w:rsidRPr="004E4CD4">
        <w:rPr>
          <w:i/>
        </w:rPr>
        <w:t>Common cause effect</w:t>
      </w:r>
      <w:r w:rsidRPr="004E4CD4">
        <w:t xml:space="preserve">: The common cause effect of many EHs, especially natural hazards such as weather, flooding, and seismicity, </w:t>
      </w:r>
      <w:r w:rsidR="001373D3">
        <w:t xml:space="preserve">means that </w:t>
      </w:r>
      <w:r w:rsidR="006B446E">
        <w:t xml:space="preserve">EHs </w:t>
      </w:r>
      <w:r w:rsidRPr="004E4CD4">
        <w:t>can affect the entire site at the same time and often a substantial region off-site as well.</w:t>
      </w:r>
      <w:bookmarkEnd w:id="485"/>
      <w:bookmarkEnd w:id="486"/>
      <w:bookmarkEnd w:id="487"/>
      <w:bookmarkEnd w:id="488"/>
      <w:bookmarkEnd w:id="489"/>
      <w:bookmarkEnd w:id="490"/>
      <w:bookmarkEnd w:id="491"/>
    </w:p>
    <w:p w14:paraId="49A3176B" w14:textId="1F9F44F1" w:rsidR="003F06EB" w:rsidRPr="005B1C10" w:rsidRDefault="003F06EB" w:rsidP="000D6BF8">
      <w:pPr>
        <w:pStyle w:val="F9-Paragraph"/>
        <w:ind w:hanging="502"/>
      </w:pPr>
      <w:bookmarkStart w:id="492" w:name="_Ref448481948"/>
      <w:bookmarkStart w:id="493" w:name="_Toc473126250"/>
      <w:bookmarkStart w:id="494" w:name="_Toc473127870"/>
      <w:r w:rsidRPr="004E4CD4">
        <w:t>A further important aspect of EHs is their ability to initiate or induce internal hazard events as</w:t>
      </w:r>
      <w:r w:rsidRPr="005B1C10">
        <w:t xml:space="preserve"> secondary or consequential hazards, e.g.</w:t>
      </w:r>
      <w:r w:rsidR="00136DFC">
        <w:t>,</w:t>
      </w:r>
      <w:r w:rsidRPr="005B1C10">
        <w:t xml:space="preserve"> fire, internal flood and gas release; for further details consult TAG 14</w:t>
      </w:r>
      <w:sdt>
        <w:sdtPr>
          <w:id w:val="1785456065"/>
          <w:citation/>
        </w:sdtPr>
        <w:sdtContent>
          <w:r w:rsidR="00136DFC">
            <w:fldChar w:fldCharType="begin"/>
          </w:r>
          <w:r w:rsidR="002A4EED">
            <w:instrText xml:space="preserve">CITATION ONRtm1 \l 2057 </w:instrText>
          </w:r>
          <w:r w:rsidR="00136DFC">
            <w:fldChar w:fldCharType="separate"/>
          </w:r>
          <w:r w:rsidR="002A4EED">
            <w:t xml:space="preserve"> [11]</w:t>
          </w:r>
          <w:r w:rsidR="00136DFC">
            <w:fldChar w:fldCharType="end"/>
          </w:r>
        </w:sdtContent>
      </w:sdt>
      <w:r w:rsidRPr="005B1C10">
        <w:t xml:space="preserve">. </w:t>
      </w:r>
    </w:p>
    <w:p w14:paraId="2CDB23F0" w14:textId="2334FEE2" w:rsidR="00110F49" w:rsidRPr="00110F49" w:rsidRDefault="003F06EB" w:rsidP="000D6BF8">
      <w:pPr>
        <w:pStyle w:val="F9-Paragraph"/>
        <w:ind w:hanging="502"/>
      </w:pPr>
      <w:r w:rsidRPr="00136DFC">
        <w:t xml:space="preserve">The potential of EHs to challenge nuclear safety is discussed </w:t>
      </w:r>
      <w:r w:rsidR="004146BF">
        <w:t xml:space="preserve">further </w:t>
      </w:r>
      <w:r w:rsidRPr="00136DFC">
        <w:t>in annexes (1-</w:t>
      </w:r>
      <w:r w:rsidRPr="00547634">
        <w:t>5</w:t>
      </w:r>
      <w:r w:rsidRPr="00136DFC">
        <w:t>)</w:t>
      </w:r>
      <w:r w:rsidRPr="005B1C10">
        <w:t>.</w:t>
      </w:r>
      <w:bookmarkEnd w:id="492"/>
      <w:bookmarkEnd w:id="493"/>
      <w:bookmarkEnd w:id="494"/>
    </w:p>
    <w:p w14:paraId="715FA074" w14:textId="77777777" w:rsidR="00930799" w:rsidRDefault="00930799" w:rsidP="00930799">
      <w:pPr>
        <w:pStyle w:val="F9-Paragraph"/>
        <w:numPr>
          <w:ilvl w:val="0"/>
          <w:numId w:val="0"/>
        </w:numPr>
        <w:ind w:left="851" w:hanging="851"/>
      </w:pPr>
    </w:p>
    <w:p w14:paraId="3A0A8599" w14:textId="6B3F08A7" w:rsidR="00DD21FF" w:rsidRDefault="00DD21FF" w:rsidP="00930799">
      <w:pPr>
        <w:pStyle w:val="F9-Paragraph"/>
        <w:numPr>
          <w:ilvl w:val="0"/>
          <w:numId w:val="0"/>
        </w:numPr>
        <w:ind w:left="851" w:hanging="851"/>
        <w:sectPr w:rsidR="00DD21FF" w:rsidSect="000B2BCD">
          <w:pgSz w:w="11906" w:h="16838" w:code="9"/>
          <w:pgMar w:top="1440" w:right="1440" w:bottom="1440" w:left="1440" w:header="397" w:footer="397" w:gutter="0"/>
          <w:cols w:space="312"/>
          <w:docGrid w:linePitch="360"/>
        </w:sectPr>
      </w:pPr>
    </w:p>
    <w:p w14:paraId="6E712D03" w14:textId="14E63361" w:rsidR="009E0E52" w:rsidRDefault="000950B3" w:rsidP="00E90780">
      <w:pPr>
        <w:pStyle w:val="Heading1"/>
      </w:pPr>
      <w:bookmarkStart w:id="495" w:name="_Toc140137239"/>
      <w:r>
        <w:lastRenderedPageBreak/>
        <w:t>Relationship to Licence and other Relevant Legislation</w:t>
      </w:r>
      <w:bookmarkEnd w:id="495"/>
      <w:r>
        <w:t xml:space="preserve"> </w:t>
      </w:r>
    </w:p>
    <w:p w14:paraId="750989FC" w14:textId="61D72BD7" w:rsidR="0030115C" w:rsidRPr="00A573FA" w:rsidRDefault="0030115C" w:rsidP="000D6BF8">
      <w:pPr>
        <w:pStyle w:val="F9-Paragraph"/>
        <w:ind w:hanging="502"/>
      </w:pPr>
      <w:bookmarkStart w:id="496" w:name="_Toc473126252"/>
      <w:bookmarkStart w:id="497" w:name="_Toc473127872"/>
      <w:r w:rsidRPr="005B1C10">
        <w:t xml:space="preserve">LCs only apply at nuclear licensed sites and to nuclear related activities undertaken by </w:t>
      </w:r>
      <w:r w:rsidR="003E6D20">
        <w:t>l</w:t>
      </w:r>
      <w:r w:rsidRPr="005B1C10">
        <w:t xml:space="preserve">icensees on those sites, although third parties working on behalf of the </w:t>
      </w:r>
      <w:r w:rsidR="003E6D20">
        <w:t>l</w:t>
      </w:r>
      <w:r w:rsidRPr="005B1C10">
        <w:t>icensee may carry out these activities. LCs cover a large number of nuclear safety matters, but those relevant to EHs are directly concerned with safety case production, the management of safety case outputs (e.g., operating rules</w:t>
      </w:r>
      <w:r w:rsidR="00117B4B">
        <w:t xml:space="preserve"> and operator training</w:t>
      </w:r>
      <w:r w:rsidRPr="005B1C10">
        <w:t>), maintenance of safety cases and safety-related plant (including Periodic Safety Reviews</w:t>
      </w:r>
      <w:r w:rsidR="007F7ED2">
        <w:t xml:space="preserve"> (PSRs)</w:t>
      </w:r>
      <w:r w:rsidRPr="005B1C10">
        <w:t xml:space="preserve">), incidents on-site and </w:t>
      </w:r>
      <w:r w:rsidRPr="00A573FA">
        <w:t xml:space="preserve">emergency arrangements. The </w:t>
      </w:r>
      <w:r w:rsidR="003E6D20">
        <w:t>l</w:t>
      </w:r>
      <w:r w:rsidRPr="00A573FA">
        <w:t xml:space="preserve">icensee has a duty to develop and maintain site licence compliance arrangements and these should take full cognisance of the requirements of </w:t>
      </w:r>
      <w:r w:rsidRPr="00547634">
        <w:t>EH submissions in support of safety cases</w:t>
      </w:r>
      <w:r w:rsidRPr="00A573FA">
        <w:t xml:space="preserve">. </w:t>
      </w:r>
      <w:r w:rsidRPr="00547634">
        <w:t>Licensees may have their own</w:t>
      </w:r>
      <w:r w:rsidRPr="00A573FA">
        <w:t xml:space="preserve"> nuclear safety principles; if such principles exist, compliance with them should not lead to a shortfall against the SAPs or TAG guidance. </w:t>
      </w:r>
    </w:p>
    <w:p w14:paraId="742A9437" w14:textId="21116DDA" w:rsidR="000950B3" w:rsidRPr="00140E1C" w:rsidRDefault="009F2FA5" w:rsidP="000D6BF8">
      <w:pPr>
        <w:pStyle w:val="F9-Paragraph"/>
        <w:ind w:hanging="502"/>
      </w:pPr>
      <w:r>
        <w:t xml:space="preserve">For </w:t>
      </w:r>
      <w:r w:rsidR="0030115C" w:rsidRPr="005B1C10">
        <w:t xml:space="preserve">organisations that are not </w:t>
      </w:r>
      <w:r w:rsidR="003E6D20">
        <w:t>l</w:t>
      </w:r>
      <w:r w:rsidR="0030115C" w:rsidRPr="005B1C10">
        <w:t xml:space="preserve">icensees, such as </w:t>
      </w:r>
      <w:r w:rsidR="00A4335F">
        <w:t>r</w:t>
      </w:r>
      <w:r w:rsidR="0030115C" w:rsidRPr="005B1C10">
        <w:t xml:space="preserve">equesting </w:t>
      </w:r>
      <w:r w:rsidR="00A4335F">
        <w:t>p</w:t>
      </w:r>
      <w:r w:rsidR="0030115C" w:rsidRPr="005B1C10">
        <w:t>arties</w:t>
      </w:r>
      <w:r w:rsidR="005B4B86">
        <w:t xml:space="preserve"> (RPs)</w:t>
      </w:r>
      <w:r w:rsidR="0030115C" w:rsidRPr="005B1C10">
        <w:t xml:space="preserve">, </w:t>
      </w:r>
      <w:r>
        <w:t xml:space="preserve">the inspector should note that </w:t>
      </w:r>
      <w:r w:rsidR="002F62DA">
        <w:t>the</w:t>
      </w:r>
      <w:r w:rsidR="0030115C" w:rsidRPr="005B1C10">
        <w:t xml:space="preserve"> safety submissions </w:t>
      </w:r>
      <w:r w:rsidR="00A82A8E">
        <w:t xml:space="preserve">prepared prior to site license grant </w:t>
      </w:r>
      <w:r w:rsidR="0030115C" w:rsidRPr="005B1C10">
        <w:t>may, in time, support licensable activities on a nuclear licensed site.</w:t>
      </w:r>
      <w:bookmarkEnd w:id="496"/>
      <w:bookmarkEnd w:id="497"/>
    </w:p>
    <w:p w14:paraId="61743AA0" w14:textId="77777777" w:rsidR="000950B3" w:rsidRDefault="000950B3" w:rsidP="00A97004">
      <w:pPr>
        <w:pStyle w:val="Heading3"/>
        <w:numPr>
          <w:ilvl w:val="0"/>
          <w:numId w:val="0"/>
        </w:numPr>
        <w:ind w:left="851" w:hanging="851"/>
        <w:sectPr w:rsidR="000950B3" w:rsidSect="000B2BCD">
          <w:pgSz w:w="11906" w:h="16838" w:code="9"/>
          <w:pgMar w:top="1440" w:right="1440" w:bottom="1440" w:left="1440" w:header="397" w:footer="397" w:gutter="0"/>
          <w:cols w:space="312"/>
          <w:docGrid w:linePitch="360"/>
        </w:sectPr>
      </w:pPr>
    </w:p>
    <w:p w14:paraId="219A98D5" w14:textId="4301C117" w:rsidR="00140E1C" w:rsidRDefault="000950B3" w:rsidP="00E90780">
      <w:pPr>
        <w:pStyle w:val="Heading1"/>
      </w:pPr>
      <w:bookmarkStart w:id="498" w:name="_Toc140137240"/>
      <w:r w:rsidRPr="000950B3">
        <w:lastRenderedPageBreak/>
        <w:t xml:space="preserve">Relationship to </w:t>
      </w:r>
      <w:r>
        <w:t>Safety Assessment Principles</w:t>
      </w:r>
      <w:r w:rsidRPr="000950B3">
        <w:t>, WENRA</w:t>
      </w:r>
      <w:r>
        <w:t xml:space="preserve"> </w:t>
      </w:r>
      <w:r w:rsidRPr="000950B3">
        <w:t>Reference Levels</w:t>
      </w:r>
      <w:r>
        <w:t xml:space="preserve">, </w:t>
      </w:r>
      <w:r w:rsidR="00F7687C">
        <w:t xml:space="preserve">and </w:t>
      </w:r>
      <w:r w:rsidRPr="000950B3">
        <w:t>IAEA Safety Standards</w:t>
      </w:r>
      <w:r w:rsidR="00F7687C">
        <w:t xml:space="preserve"> and Guides</w:t>
      </w:r>
      <w:bookmarkEnd w:id="498"/>
    </w:p>
    <w:p w14:paraId="36332B50" w14:textId="76E23705" w:rsidR="005A1589" w:rsidRPr="005B1C10" w:rsidRDefault="005A1589" w:rsidP="000D6BF8">
      <w:pPr>
        <w:pStyle w:val="F9-Paragraph"/>
        <w:ind w:hanging="502"/>
      </w:pPr>
      <w:bookmarkStart w:id="499" w:name="_Toc473126258"/>
      <w:bookmarkStart w:id="500" w:name="_Toc473127878"/>
      <w:r w:rsidRPr="005B1C10">
        <w:t>The specific EH SAPs are EHA.1 to EHA.19, which cover the wide range of EHs and the tasks needed for their identification and analysis.</w:t>
      </w:r>
      <w:bookmarkEnd w:id="499"/>
      <w:bookmarkEnd w:id="500"/>
    </w:p>
    <w:p w14:paraId="64116BC9" w14:textId="6C4D7ADD" w:rsidR="005A1589" w:rsidRPr="006F1416" w:rsidRDefault="005A1589" w:rsidP="000D6BF8">
      <w:pPr>
        <w:pStyle w:val="F9-Paragraph"/>
        <w:ind w:hanging="502"/>
      </w:pPr>
      <w:bookmarkStart w:id="501" w:name="_Toc473126259"/>
      <w:bookmarkStart w:id="502" w:name="_Toc473127879"/>
      <w:r w:rsidRPr="006F1416">
        <w:t xml:space="preserve">There are a number of </w:t>
      </w:r>
      <w:r w:rsidR="00040027">
        <w:t xml:space="preserve">other </w:t>
      </w:r>
      <w:r w:rsidRPr="006F1416">
        <w:t>supporting and related SAPs, all of which are relevant to the analysis of EHs</w:t>
      </w:r>
      <w:r w:rsidR="00040027">
        <w:t>,</w:t>
      </w:r>
      <w:r w:rsidRPr="006F1416">
        <w:t xml:space="preserve"> and some of which make explicit reference to EHs. </w:t>
      </w:r>
      <w:r w:rsidR="00CE5124">
        <w:t>Examples of these</w:t>
      </w:r>
      <w:r w:rsidRPr="006F1416">
        <w:t xml:space="preserve"> are:</w:t>
      </w:r>
      <w:bookmarkEnd w:id="501"/>
      <w:bookmarkEnd w:id="502"/>
    </w:p>
    <w:p w14:paraId="0B60E20D" w14:textId="000AD567" w:rsidR="005A1589" w:rsidRPr="005B1C10" w:rsidRDefault="005A1589" w:rsidP="0037325D">
      <w:pPr>
        <w:pStyle w:val="Bulletlist1"/>
        <w:spacing w:before="120"/>
        <w:ind w:left="1417"/>
      </w:pPr>
      <w:r w:rsidRPr="005B1C10">
        <w:t>SC.</w:t>
      </w:r>
      <w:r w:rsidR="00232654">
        <w:t>4</w:t>
      </w:r>
      <w:r w:rsidR="00BA01C9">
        <w:t>, SC.5 and SC.</w:t>
      </w:r>
      <w:r w:rsidRPr="005B1C10">
        <w:t>7: Safety Cases</w:t>
      </w:r>
    </w:p>
    <w:p w14:paraId="1ECCD302" w14:textId="77777777" w:rsidR="005A1589" w:rsidRPr="005B1C10" w:rsidRDefault="005A1589" w:rsidP="0037325D">
      <w:pPr>
        <w:pStyle w:val="Bulletlist1"/>
        <w:spacing w:before="120"/>
        <w:ind w:left="1417"/>
      </w:pPr>
      <w:r w:rsidRPr="005B1C10">
        <w:t>EKP.1 – EKP.5: Key Engineering Principles</w:t>
      </w:r>
    </w:p>
    <w:p w14:paraId="32C7B5BD" w14:textId="77777777" w:rsidR="005A1589" w:rsidRPr="005B1C10" w:rsidRDefault="005A1589" w:rsidP="0037325D">
      <w:pPr>
        <w:pStyle w:val="Bulletlist1"/>
        <w:spacing w:before="120"/>
        <w:ind w:left="1417"/>
      </w:pPr>
      <w:r w:rsidRPr="005B1C10">
        <w:t>ST.1 – ST.6: Siting</w:t>
      </w:r>
    </w:p>
    <w:p w14:paraId="3293EE79" w14:textId="77777777" w:rsidR="005A1589" w:rsidRPr="005B1C10" w:rsidRDefault="005A1589" w:rsidP="0037325D">
      <w:pPr>
        <w:pStyle w:val="Bulletlist1"/>
        <w:spacing w:before="120"/>
        <w:ind w:left="1417"/>
      </w:pPr>
      <w:r w:rsidRPr="005B1C10">
        <w:t xml:space="preserve">ELO.1, ELO.4 &amp; paragraphs 223 &amp; 226: Layout </w:t>
      </w:r>
    </w:p>
    <w:p w14:paraId="7030777D" w14:textId="77777777" w:rsidR="005A1589" w:rsidRPr="005B1C10" w:rsidRDefault="005A1589" w:rsidP="0037325D">
      <w:pPr>
        <w:pStyle w:val="Bulletlist1"/>
        <w:spacing w:before="120"/>
        <w:ind w:left="1417"/>
      </w:pPr>
      <w:r w:rsidRPr="005B1C10">
        <w:t>AV.1 – AV.10 &amp; paragraph 693: Assurance and Validity of Data and Models</w:t>
      </w:r>
    </w:p>
    <w:p w14:paraId="0E64E6F5" w14:textId="77777777" w:rsidR="005A1589" w:rsidRPr="005B1C10" w:rsidRDefault="005A1589" w:rsidP="000D6BF8">
      <w:pPr>
        <w:pStyle w:val="F9-Paragraph"/>
        <w:ind w:hanging="502"/>
      </w:pPr>
      <w:bookmarkStart w:id="503" w:name="_Toc473126260"/>
      <w:bookmarkStart w:id="504" w:name="_Toc473127880"/>
      <w:r w:rsidRPr="005B1C10">
        <w:t>In addition, it is worth noting that the following paragraphs are also of relevance</w:t>
      </w:r>
      <w:bookmarkEnd w:id="503"/>
      <w:bookmarkEnd w:id="504"/>
      <w:r w:rsidRPr="005B1C10">
        <w:t>:</w:t>
      </w:r>
    </w:p>
    <w:p w14:paraId="4FFCF1E3" w14:textId="77777777" w:rsidR="005A1589" w:rsidRPr="005B1C10" w:rsidRDefault="005A1589" w:rsidP="0037325D">
      <w:pPr>
        <w:pStyle w:val="Bulletlist1"/>
        <w:spacing w:before="120"/>
        <w:ind w:left="1417"/>
      </w:pPr>
      <w:r w:rsidRPr="005B1C10">
        <w:t xml:space="preserve">33 Facilities Built to Earlier Standards </w:t>
      </w:r>
    </w:p>
    <w:p w14:paraId="35D863BD" w14:textId="77777777" w:rsidR="005A1589" w:rsidRPr="005B1C10" w:rsidRDefault="005A1589" w:rsidP="0037325D">
      <w:pPr>
        <w:pStyle w:val="Bulletlist1"/>
        <w:spacing w:before="120"/>
        <w:ind w:left="1417"/>
      </w:pPr>
      <w:r w:rsidRPr="005B1C10">
        <w:t xml:space="preserve">42-43 Multi-facility sites </w:t>
      </w:r>
    </w:p>
    <w:p w14:paraId="462BDD90" w14:textId="7421CCB3" w:rsidR="00052BF8" w:rsidRDefault="00052BF8" w:rsidP="000D6BF8">
      <w:pPr>
        <w:pStyle w:val="F9-Paragraph"/>
        <w:ind w:hanging="502"/>
      </w:pPr>
      <w:r>
        <w:t xml:space="preserve">The WENRA </w:t>
      </w:r>
      <w:r w:rsidRPr="005B1C10">
        <w:t>Reference Levels (RLs</w:t>
      </w:r>
      <w:r>
        <w:t>) most relevant to EHs are published in</w:t>
      </w:r>
      <w:r w:rsidR="00077D6A">
        <w:t xml:space="preserve"> Ref.</w:t>
      </w:r>
      <w:sdt>
        <w:sdtPr>
          <w:id w:val="1426302638"/>
          <w:citation/>
        </w:sdtPr>
        <w:sdtContent>
          <w:r w:rsidR="006858E6">
            <w:fldChar w:fldCharType="begin"/>
          </w:r>
          <w:r w:rsidR="006858E6">
            <w:instrText xml:space="preserve"> CITATION WENns \l 2057 </w:instrText>
          </w:r>
          <w:r w:rsidR="006858E6">
            <w:fldChar w:fldCharType="separate"/>
          </w:r>
          <w:r w:rsidR="002A4EED">
            <w:t xml:space="preserve"> [12]</w:t>
          </w:r>
          <w:r w:rsidR="006858E6">
            <w:fldChar w:fldCharType="end"/>
          </w:r>
        </w:sdtContent>
      </w:sdt>
      <w:r w:rsidR="00FC143A">
        <w:t xml:space="preserve"> with </w:t>
      </w:r>
      <w:r w:rsidR="00A70B95">
        <w:t xml:space="preserve">complimentary </w:t>
      </w:r>
      <w:r w:rsidR="00FC143A">
        <w:t xml:space="preserve">guidance provided in </w:t>
      </w:r>
      <w:r w:rsidR="00676A45">
        <w:t xml:space="preserve">Ref </w:t>
      </w:r>
      <w:sdt>
        <w:sdtPr>
          <w:id w:val="-1061786512"/>
          <w:citation/>
        </w:sdtPr>
        <w:sdtContent>
          <w:r w:rsidR="00676A45">
            <w:fldChar w:fldCharType="begin"/>
          </w:r>
          <w:r w:rsidR="00676A45">
            <w:instrText xml:space="preserve"> CITATION WEN15 \l 2057 </w:instrText>
          </w:r>
          <w:r w:rsidR="00676A45">
            <w:fldChar w:fldCharType="separate"/>
          </w:r>
          <w:r w:rsidR="002A4EED">
            <w:t>[13]</w:t>
          </w:r>
          <w:r w:rsidR="00676A45">
            <w:fldChar w:fldCharType="end"/>
          </w:r>
        </w:sdtContent>
      </w:sdt>
      <w:r w:rsidR="003E2FA2">
        <w:t xml:space="preserve">. This is further supported by guidance on seismic, </w:t>
      </w:r>
      <w:r w:rsidR="008E1E06">
        <w:t>extreme weather, and external flooding</w:t>
      </w:r>
      <w:r w:rsidR="00A70B95">
        <w:t>, see refs</w:t>
      </w:r>
      <w:r w:rsidR="00FC143A">
        <w:t>.</w:t>
      </w:r>
      <w:sdt>
        <w:sdtPr>
          <w:id w:val="-2058607481"/>
          <w:citation/>
        </w:sdtPr>
        <w:sdtContent>
          <w:r w:rsidR="00A70B95">
            <w:fldChar w:fldCharType="begin"/>
          </w:r>
          <w:r w:rsidR="00A70B95">
            <w:instrText xml:space="preserve"> CITATION WENns2 \l 2057  \m WENns3 \m WENns1</w:instrText>
          </w:r>
          <w:r w:rsidR="00A70B95">
            <w:fldChar w:fldCharType="separate"/>
          </w:r>
          <w:r w:rsidR="002A4EED">
            <w:t xml:space="preserve"> [14, 15, 16]</w:t>
          </w:r>
          <w:r w:rsidR="00A70B95">
            <w:fldChar w:fldCharType="end"/>
          </w:r>
        </w:sdtContent>
      </w:sdt>
      <w:r w:rsidR="00FC143A">
        <w:t>.</w:t>
      </w:r>
      <w:r w:rsidR="000C4D1E" w:rsidRPr="000C4D1E">
        <w:t xml:space="preserve"> </w:t>
      </w:r>
      <w:r w:rsidR="000C4D1E">
        <w:t>B</w:t>
      </w:r>
      <w:r w:rsidR="000C4D1E" w:rsidRPr="005B1C10">
        <w:t>enchmarking of th</w:t>
      </w:r>
      <w:r w:rsidR="000C4D1E">
        <w:t xml:space="preserve">is TAG </w:t>
      </w:r>
      <w:r w:rsidR="000C4D1E" w:rsidRPr="005B1C10">
        <w:t xml:space="preserve">against the WENRA </w:t>
      </w:r>
      <w:r w:rsidR="000C4D1E">
        <w:t>RLs</w:t>
      </w:r>
      <w:r w:rsidR="000C4D1E" w:rsidRPr="005B1C10">
        <w:t xml:space="preserve"> has been undertaken at a high level</w:t>
      </w:r>
      <w:r w:rsidR="000C4D1E">
        <w:t>. This is shown explicitly in</w:t>
      </w:r>
      <w:r w:rsidR="000C4D1E" w:rsidRPr="005B1C10">
        <w:t xml:space="preserve"> Table 4</w:t>
      </w:r>
      <w:r w:rsidR="000C4D1E">
        <w:t>.</w:t>
      </w:r>
    </w:p>
    <w:p w14:paraId="2ABAED59" w14:textId="6163015B" w:rsidR="00E12599" w:rsidRDefault="00A45879" w:rsidP="000D6BF8">
      <w:pPr>
        <w:pStyle w:val="F9-Paragraph"/>
        <w:ind w:hanging="502"/>
      </w:pPr>
      <w:r>
        <w:t>Specific IAEA guidance relevant to EH is referenced in this TAG and in the hazard specific annexes</w:t>
      </w:r>
      <w:r w:rsidRPr="000D6BF8">
        <w:t>.</w:t>
      </w:r>
      <w:r>
        <w:t xml:space="preserve"> IAEA guidance referenced in this TAG is summarised in </w:t>
      </w:r>
      <w:r w:rsidRPr="00591F14">
        <w:t>Table 5</w:t>
      </w:r>
      <w:r>
        <w:t xml:space="preserve"> of th</w:t>
      </w:r>
      <w:r w:rsidR="00CC0D12">
        <w:t>is document.</w:t>
      </w:r>
    </w:p>
    <w:p w14:paraId="72EE09CA" w14:textId="77777777" w:rsidR="009D7CCC" w:rsidRPr="005B1C10" w:rsidRDefault="009D7CCC" w:rsidP="00591F14">
      <w:pPr>
        <w:pStyle w:val="F9-Paragraph"/>
        <w:numPr>
          <w:ilvl w:val="0"/>
          <w:numId w:val="0"/>
        </w:numPr>
        <w:ind w:left="383" w:hanging="360"/>
      </w:pPr>
    </w:p>
    <w:p w14:paraId="5C9FA9A4" w14:textId="75240B6F" w:rsidR="00F7687C" w:rsidRDefault="00F7687C" w:rsidP="00591F14">
      <w:pPr>
        <w:pStyle w:val="F9-Paragraph"/>
        <w:sectPr w:rsidR="00F7687C" w:rsidSect="000B2BCD">
          <w:pgSz w:w="11906" w:h="16838" w:code="9"/>
          <w:pgMar w:top="1440" w:right="1440" w:bottom="1440" w:left="1440" w:header="397" w:footer="397" w:gutter="0"/>
          <w:cols w:space="312"/>
          <w:docGrid w:linePitch="360"/>
        </w:sectPr>
      </w:pPr>
    </w:p>
    <w:p w14:paraId="5255232C" w14:textId="67E57217" w:rsidR="00F7687C" w:rsidRDefault="00F7687C" w:rsidP="00E90780">
      <w:pPr>
        <w:pStyle w:val="Heading1"/>
      </w:pPr>
      <w:bookmarkStart w:id="505" w:name="_Ref138931864"/>
      <w:bookmarkStart w:id="506" w:name="_Toc140137241"/>
      <w:r>
        <w:lastRenderedPageBreak/>
        <w:t>Advice to Inspectors</w:t>
      </w:r>
      <w:bookmarkEnd w:id="505"/>
      <w:bookmarkEnd w:id="506"/>
    </w:p>
    <w:p w14:paraId="4C0619CB" w14:textId="72717D25" w:rsidR="00BD6C46" w:rsidRDefault="006E6BEB" w:rsidP="00547634">
      <w:pPr>
        <w:pStyle w:val="Heading2"/>
      </w:pPr>
      <w:bookmarkStart w:id="507" w:name="_Toc138943891"/>
      <w:bookmarkStart w:id="508" w:name="_Toc138943892"/>
      <w:bookmarkStart w:id="509" w:name="_Ref138754450"/>
      <w:bookmarkStart w:id="510" w:name="_Toc140137242"/>
      <w:bookmarkEnd w:id="507"/>
      <w:bookmarkEnd w:id="508"/>
      <w:r w:rsidRPr="000F2D61">
        <w:t>Overview of the Design Process for a Nuclear Facility and the Relationship between External Hazards, Engineering</w:t>
      </w:r>
      <w:r w:rsidR="0018767F" w:rsidRPr="0018767F">
        <w:t xml:space="preserve"> </w:t>
      </w:r>
      <w:r w:rsidR="0018767F" w:rsidRPr="000F2D61">
        <w:t>and Fault Studies</w:t>
      </w:r>
      <w:bookmarkEnd w:id="509"/>
      <w:bookmarkEnd w:id="510"/>
    </w:p>
    <w:p w14:paraId="369732C6" w14:textId="733907E0" w:rsidR="006E6BEB" w:rsidRPr="00CB3B8F" w:rsidRDefault="006E6BEB" w:rsidP="000D6BF8">
      <w:pPr>
        <w:pStyle w:val="F9-Paragraph"/>
        <w:ind w:hanging="502"/>
      </w:pPr>
      <w:r w:rsidRPr="00CB3B8F">
        <w:t xml:space="preserve">This section gives an overview of how </w:t>
      </w:r>
      <w:r w:rsidR="006A0454">
        <w:t>e</w:t>
      </w:r>
      <w:r w:rsidRPr="00CB3B8F">
        <w:t xml:space="preserve">xternal </w:t>
      </w:r>
      <w:r w:rsidR="006A0454">
        <w:t>h</w:t>
      </w:r>
      <w:r w:rsidRPr="00CB3B8F">
        <w:t xml:space="preserve">azards, </w:t>
      </w:r>
      <w:r w:rsidR="006A0454">
        <w:t>f</w:t>
      </w:r>
      <w:r w:rsidRPr="00CB3B8F">
        <w:t xml:space="preserve">ault </w:t>
      </w:r>
      <w:r w:rsidR="006A0454">
        <w:t>s</w:t>
      </w:r>
      <w:r w:rsidRPr="00CB3B8F">
        <w:t xml:space="preserve">tudies </w:t>
      </w:r>
      <w:r w:rsidR="00BA0F86">
        <w:t>(FS)</w:t>
      </w:r>
      <w:r w:rsidR="00597DFB">
        <w:t xml:space="preserve"> </w:t>
      </w:r>
      <w:r w:rsidRPr="00CB3B8F">
        <w:t xml:space="preserve">and </w:t>
      </w:r>
      <w:r w:rsidR="006A0454">
        <w:t>e</w:t>
      </w:r>
      <w:r w:rsidRPr="00CB3B8F">
        <w:t>ngineering are integrated</w:t>
      </w:r>
      <w:r w:rsidR="009B4062">
        <w:t xml:space="preserve"> when</w:t>
      </w:r>
      <w:r w:rsidRPr="00CB3B8F">
        <w:t xml:space="preserve"> </w:t>
      </w:r>
      <w:r w:rsidRPr="00547634">
        <w:t>undertaking</w:t>
      </w:r>
      <w:r w:rsidRPr="00CB3B8F">
        <w:t xml:space="preserve"> the design of a typical nuclear facility.</w:t>
      </w:r>
    </w:p>
    <w:p w14:paraId="6183ACFF" w14:textId="0C458053" w:rsidR="006E6BEB" w:rsidRPr="00A4467C" w:rsidRDefault="006E6BEB" w:rsidP="000D6BF8">
      <w:pPr>
        <w:pStyle w:val="F9-Paragraph"/>
        <w:ind w:hanging="502"/>
      </w:pPr>
      <w:r w:rsidRPr="00CB3B8F">
        <w:t>This discussion focusses on NEH</w:t>
      </w:r>
      <w:r w:rsidR="002455F7">
        <w:t>s</w:t>
      </w:r>
      <w:r w:rsidRPr="00CB3B8F">
        <w:t xml:space="preserve">, in particular, those that have a range of intensities </w:t>
      </w:r>
      <w:r w:rsidRPr="00A4467C">
        <w:t xml:space="preserve">that are functions of their return periods. The intensity verses return period of this class of NEHs are able to be represented by </w:t>
      </w:r>
      <w:r w:rsidR="00A51EB3">
        <w:t>h</w:t>
      </w:r>
      <w:r w:rsidRPr="00A4467C">
        <w:t xml:space="preserve">azard </w:t>
      </w:r>
      <w:r w:rsidR="00A51EB3">
        <w:t>c</w:t>
      </w:r>
      <w:r w:rsidRPr="00A4467C">
        <w:t xml:space="preserve">urves. For nuclear facilities the interest in the NEH is on how it affects the site where the facility is located. Some examples of such NEHs are, ground motions due to earthquakes, wind </w:t>
      </w:r>
      <w:r w:rsidR="001458F2">
        <w:t>pressures</w:t>
      </w:r>
      <w:r w:rsidRPr="00A4467C">
        <w:t xml:space="preserve"> and air temperature due to climate systems. Whilst the</w:t>
      </w:r>
      <w:r w:rsidR="00CD575D">
        <w:t>se</w:t>
      </w:r>
      <w:r w:rsidRPr="00A4467C">
        <w:t xml:space="preserve"> examples have a wide range of return periods, some NEHs have only extremely low return periods, an example being meteor strikes at a site.</w:t>
      </w:r>
    </w:p>
    <w:p w14:paraId="13908F07" w14:textId="33B1E9A2" w:rsidR="006E6BEB" w:rsidRDefault="006E6BEB" w:rsidP="000D6BF8">
      <w:pPr>
        <w:pStyle w:val="F9-Paragraph"/>
        <w:ind w:hanging="502"/>
      </w:pPr>
      <w:r w:rsidRPr="00A4467C">
        <w:t xml:space="preserve">Nuclear facilities are generally very complex in terms of engineering and, in many cases, unique in their design. For this reason, it is not </w:t>
      </w:r>
      <w:r w:rsidR="00CD575D">
        <w:t xml:space="preserve">always </w:t>
      </w:r>
      <w:r w:rsidRPr="00A4467C">
        <w:t>possible to define the engineering requirements in terms of standards or codes</w:t>
      </w:r>
      <w:r w:rsidR="00597DFB">
        <w:t>,</w:t>
      </w:r>
      <w:r w:rsidRPr="00A4467C">
        <w:t xml:space="preserve"> as is done with conventional facilities. Recourse is therefore made to FS to derive the requirements to be placed on the engineered SSC</w:t>
      </w:r>
      <w:r w:rsidR="00BA0F86">
        <w:t>s</w:t>
      </w:r>
      <w:r w:rsidRPr="00A4467C">
        <w:t>. As FS is central to defining requirements on the SSCs, it is also ideally placed to specify the scope of what should and should not be included in those definitions and for the engineered design of the facility.</w:t>
      </w:r>
    </w:p>
    <w:p w14:paraId="29578C10" w14:textId="73F018D8" w:rsidR="007C5FFB" w:rsidRPr="00A4467C" w:rsidRDefault="004D5C1E" w:rsidP="000D6BF8">
      <w:pPr>
        <w:pStyle w:val="F9-Paragraph"/>
        <w:ind w:hanging="502"/>
      </w:pPr>
      <w:r w:rsidRPr="00547634">
        <w:t>FSs consist</w:t>
      </w:r>
      <w:r>
        <w:t>s</w:t>
      </w:r>
      <w:r w:rsidRPr="00547634">
        <w:t xml:space="preserve"> of </w:t>
      </w:r>
      <w:r w:rsidR="001442A0">
        <w:t>Design Basis Analysis (</w:t>
      </w:r>
      <w:r w:rsidRPr="00547634">
        <w:t>DBA</w:t>
      </w:r>
      <w:r w:rsidR="001442A0">
        <w:t>)</w:t>
      </w:r>
      <w:r w:rsidRPr="00547634">
        <w:t xml:space="preserve">, </w:t>
      </w:r>
      <w:r w:rsidR="001442A0">
        <w:t>Probabilistic Safety Analysis</w:t>
      </w:r>
      <w:r w:rsidR="001442A0" w:rsidRPr="000C013D">
        <w:t xml:space="preserve"> </w:t>
      </w:r>
      <w:r w:rsidR="001442A0">
        <w:t>(</w:t>
      </w:r>
      <w:r w:rsidRPr="00547634">
        <w:t>PSA</w:t>
      </w:r>
      <w:r w:rsidR="001442A0">
        <w:t>)</w:t>
      </w:r>
      <w:r w:rsidRPr="00547634">
        <w:t xml:space="preserve"> and </w:t>
      </w:r>
      <w:r w:rsidR="001442A0" w:rsidRPr="00547634">
        <w:t xml:space="preserve">Severe Accident Analysis </w:t>
      </w:r>
      <w:r w:rsidR="001442A0">
        <w:t>(</w:t>
      </w:r>
      <w:r w:rsidRPr="00547634">
        <w:t>SAA</w:t>
      </w:r>
      <w:r w:rsidR="001442A0">
        <w:t>)</w:t>
      </w:r>
      <w:r w:rsidR="00021CDD">
        <w:t xml:space="preserve"> analyses streams</w:t>
      </w:r>
      <w:r>
        <w:t>. These analyses</w:t>
      </w:r>
      <w:r w:rsidRPr="00547634">
        <w:t xml:space="preserve"> expect, where proportional, that the following SAPs are met. </w:t>
      </w:r>
      <w:r w:rsidR="001442A0">
        <w:t xml:space="preserve">SAP </w:t>
      </w:r>
      <w:r w:rsidRPr="00547634">
        <w:t xml:space="preserve">FA.1 calls for all three of these analysis streams to be undertaken to demonstrate that facility risks are ALARP. </w:t>
      </w:r>
      <w:r w:rsidR="001442A0">
        <w:t xml:space="preserve">SAP </w:t>
      </w:r>
      <w:r w:rsidRPr="00547634">
        <w:t xml:space="preserve">FA.2 calls for all significant fault initiators to be identified and </w:t>
      </w:r>
      <w:r w:rsidR="001442A0">
        <w:t xml:space="preserve">SAP </w:t>
      </w:r>
      <w:r w:rsidRPr="00547634">
        <w:t>FA.3 states that fault sequences should be developed for all initiating faults. EHs initiated faults are fully embedded in all of these aspects.</w:t>
      </w:r>
      <w:r w:rsidR="00F62DD2">
        <w:t xml:space="preserve"> </w:t>
      </w:r>
      <w:r w:rsidR="001F1C32">
        <w:t xml:space="preserve">Assessment guidance </w:t>
      </w:r>
      <w:r w:rsidR="00F62DD2">
        <w:t xml:space="preserve">on these </w:t>
      </w:r>
      <w:r w:rsidR="001F1C32">
        <w:t xml:space="preserve">aspects of FSs is provided </w:t>
      </w:r>
      <w:r w:rsidR="00D15D80">
        <w:t xml:space="preserve">in Refs. </w:t>
      </w:r>
      <w:sdt>
        <w:sdtPr>
          <w:id w:val="1269513401"/>
          <w:citation/>
        </w:sdtPr>
        <w:sdtContent>
          <w:r w:rsidR="00D15D80">
            <w:fldChar w:fldCharType="begin"/>
          </w:r>
          <w:r w:rsidR="002A4EED">
            <w:instrText xml:space="preserve">CITATION ONR22 \m ONRTAG30 \m ONRer \l 2057 </w:instrText>
          </w:r>
          <w:r w:rsidR="00D15D80">
            <w:fldChar w:fldCharType="separate"/>
          </w:r>
          <w:r w:rsidR="002A4EED">
            <w:t>[17, 18, 19]</w:t>
          </w:r>
          <w:r w:rsidR="00D15D80">
            <w:fldChar w:fldCharType="end"/>
          </w:r>
        </w:sdtContent>
      </w:sdt>
      <w:r w:rsidR="006B4DCC">
        <w:t>.</w:t>
      </w:r>
    </w:p>
    <w:p w14:paraId="2BCBB199" w14:textId="3CC3190F" w:rsidR="006E6BEB" w:rsidRPr="00A4467C" w:rsidRDefault="006E6BEB" w:rsidP="000D6BF8">
      <w:pPr>
        <w:pStyle w:val="F9-Paragraph"/>
        <w:ind w:hanging="502"/>
      </w:pPr>
      <w:bookmarkStart w:id="511" w:name="_Ref143007363"/>
      <w:r w:rsidRPr="00A4467C">
        <w:t xml:space="preserve">In terms of NEHs, the FS section of the SAPs sets a number of key criteria. </w:t>
      </w:r>
      <w:r w:rsidR="00C159A3" w:rsidRPr="008711F2">
        <w:t>SAP FA.5</w:t>
      </w:r>
      <w:r w:rsidR="0009304A" w:rsidRPr="008711F2">
        <w:t xml:space="preserve"> </w:t>
      </w:r>
      <w:r w:rsidR="00223B77" w:rsidRPr="008711F2">
        <w:t xml:space="preserve">in combination with SAP EH.4 </w:t>
      </w:r>
      <w:r w:rsidRPr="008711F2">
        <w:t>define</w:t>
      </w:r>
      <w:r w:rsidR="0009304A" w:rsidRPr="008711F2">
        <w:t>s</w:t>
      </w:r>
      <w:r w:rsidRPr="008711F2">
        <w:t xml:space="preserve"> what level of NEH forms the DB. This</w:t>
      </w:r>
      <w:r w:rsidRPr="00A4467C">
        <w:t xml:space="preserve"> is specified as the intensity at a return period of 1 in 10</w:t>
      </w:r>
      <w:r w:rsidR="00E26C91">
        <w:t>,</w:t>
      </w:r>
      <w:r w:rsidRPr="00A4467C">
        <w:t>000 years, which is conservatively derived. Conservative</w:t>
      </w:r>
      <w:r w:rsidR="00C576C3">
        <w:t>,</w:t>
      </w:r>
      <w:r w:rsidRPr="00A4467C">
        <w:t xml:space="preserve"> as used here</w:t>
      </w:r>
      <w:r w:rsidR="008910FB">
        <w:t>,</w:t>
      </w:r>
      <w:r w:rsidRPr="00A4467C">
        <w:t xml:space="preserve"> is intended to account for </w:t>
      </w:r>
      <w:r w:rsidR="004C3702">
        <w:t xml:space="preserve">both the </w:t>
      </w:r>
      <w:r w:rsidRPr="00A4467C">
        <w:t>uncertainties</w:t>
      </w:r>
      <w:r w:rsidR="009B2847">
        <w:t xml:space="preserve"> in characterising the NE, and the </w:t>
      </w:r>
      <w:r w:rsidRPr="00A4467C">
        <w:t xml:space="preserve">significance of the effect of the EH on </w:t>
      </w:r>
      <w:r w:rsidR="009B2847">
        <w:t xml:space="preserve">the </w:t>
      </w:r>
      <w:r w:rsidRPr="00A4467C">
        <w:t>overall safety of the facility.</w:t>
      </w:r>
      <w:bookmarkEnd w:id="511"/>
      <w:r w:rsidRPr="00A4467C">
        <w:t xml:space="preserve"> </w:t>
      </w:r>
    </w:p>
    <w:p w14:paraId="4068FAF2" w14:textId="57A655F5" w:rsidR="006E6BEB" w:rsidRPr="00A4467C" w:rsidRDefault="001B4ED1" w:rsidP="000D6BF8">
      <w:pPr>
        <w:pStyle w:val="F9-Paragraph"/>
        <w:ind w:hanging="502"/>
      </w:pPr>
      <w:r>
        <w:t xml:space="preserve">SAP FA.6 and FA.12 </w:t>
      </w:r>
      <w:r w:rsidR="006E6BEB" w:rsidRPr="00A4467C">
        <w:t>also specif</w:t>
      </w:r>
      <w:r>
        <w:t>y</w:t>
      </w:r>
      <w:r w:rsidR="006E6BEB" w:rsidRPr="00A4467C">
        <w:t xml:space="preserve"> a </w:t>
      </w:r>
      <w:r w:rsidR="004708C3">
        <w:t>less frequent</w:t>
      </w:r>
      <w:r w:rsidR="006E6BEB" w:rsidRPr="00A4467C">
        <w:t xml:space="preserve"> </w:t>
      </w:r>
      <w:r w:rsidR="00BC6C98">
        <w:t>10</w:t>
      </w:r>
      <w:r w:rsidR="00BC6C98" w:rsidRPr="00F8764A">
        <w:rPr>
          <w:vertAlign w:val="superscript"/>
        </w:rPr>
        <w:t>-7</w:t>
      </w:r>
      <w:r w:rsidR="00BC6C98">
        <w:t xml:space="preserve">/y </w:t>
      </w:r>
      <w:r w:rsidR="005576C2">
        <w:t xml:space="preserve">fault sequence </w:t>
      </w:r>
      <w:r w:rsidR="00B727F5">
        <w:t xml:space="preserve"> </w:t>
      </w:r>
      <w:r w:rsidR="00CC5525">
        <w:t xml:space="preserve">that is a typical cut-off when applying design basis techniques. For NEH SAP EH.19 </w:t>
      </w:r>
      <w:r w:rsidR="00263DF3">
        <w:t xml:space="preserve">clarifies that </w:t>
      </w:r>
      <w:r w:rsidR="008C45E1">
        <w:t xml:space="preserve">the return period </w:t>
      </w:r>
      <w:r w:rsidR="006E6BEB" w:rsidRPr="00A4467C">
        <w:t xml:space="preserve">at which a NEH no longer needs to be </w:t>
      </w:r>
      <w:r w:rsidR="006E6BEB" w:rsidRPr="00A4467C">
        <w:lastRenderedPageBreak/>
        <w:t>considered as influencing the design</w:t>
      </w:r>
      <w:r w:rsidR="008C45E1">
        <w:t xml:space="preserve"> </w:t>
      </w:r>
      <w:r w:rsidR="006E6BEB" w:rsidRPr="00A4467C">
        <w:t>is 1 in 10</w:t>
      </w:r>
      <w:r w:rsidR="00B619DA">
        <w:t>,</w:t>
      </w:r>
      <w:r w:rsidR="006E6BEB" w:rsidRPr="00A4467C">
        <w:t>000</w:t>
      </w:r>
      <w:r w:rsidR="00B619DA">
        <w:t>,</w:t>
      </w:r>
      <w:r w:rsidR="006E6BEB" w:rsidRPr="00A4467C">
        <w:t xml:space="preserve">000 years. As well as placing a limit on what constitutes the extent of the BDB, </w:t>
      </w:r>
      <w:r w:rsidR="008C45E1">
        <w:t xml:space="preserve">this limit </w:t>
      </w:r>
      <w:r w:rsidR="006E6BEB" w:rsidRPr="00A4467C">
        <w:t xml:space="preserve">also acts as a screening out filter for extremely rare hazards that have return periods </w:t>
      </w:r>
      <w:r w:rsidR="00E40540">
        <w:t>less fre</w:t>
      </w:r>
      <w:r w:rsidR="007E0A4C">
        <w:t>q</w:t>
      </w:r>
      <w:r w:rsidR="00F9726A">
        <w:t>u</w:t>
      </w:r>
      <w:r w:rsidR="007E0A4C">
        <w:t>ent</w:t>
      </w:r>
      <w:r w:rsidR="00E40540" w:rsidRPr="00A4467C">
        <w:t xml:space="preserve"> </w:t>
      </w:r>
      <w:r w:rsidR="006E6BEB" w:rsidRPr="00A4467C">
        <w:t>than this. This latter criterion is likely to apply to the example of meteor strikes at a site.</w:t>
      </w:r>
    </w:p>
    <w:p w14:paraId="166FF0E1" w14:textId="38C5AA53" w:rsidR="006E6BEB" w:rsidRPr="008711F2" w:rsidRDefault="006E6BEB" w:rsidP="000D6BF8">
      <w:pPr>
        <w:pStyle w:val="F9-Paragraph"/>
        <w:ind w:hanging="502"/>
      </w:pPr>
      <w:r w:rsidRPr="00A4467C">
        <w:t xml:space="preserve">The evaluation of the NEHs against the FS criteria previously described is a primary function of the </w:t>
      </w:r>
      <w:r w:rsidR="00531EBD">
        <w:t>EH</w:t>
      </w:r>
      <w:r w:rsidRPr="00A4467C">
        <w:t xml:space="preserve"> </w:t>
      </w:r>
      <w:r w:rsidR="00531EBD">
        <w:t>d</w:t>
      </w:r>
      <w:r w:rsidRPr="00A4467C">
        <w:t xml:space="preserve">iscipline and involves extensive modelling of processes and statistical analysis. The output from these evaluations serves three purposes. Firstly, it provides information to FS as to which NEHs should be included in the DBA as fault initiators. Secondly, it provides the engineering </w:t>
      </w:r>
      <w:r w:rsidRPr="008711F2">
        <w:t xml:space="preserve">disciplines with information regarding the intensities of the NEHs, in particular, at the DB, to allow the SSCs to be designed to meet the DB criteria, demonstrate that there are no cliff-edges and that there is sufficient BDB capacity. Thirdly, </w:t>
      </w:r>
      <w:r w:rsidR="00DC1E12">
        <w:t>it</w:t>
      </w:r>
      <w:r w:rsidRPr="008711F2">
        <w:t xml:space="preserve"> provide</w:t>
      </w:r>
      <w:r w:rsidR="00DC1E12">
        <w:t>s</w:t>
      </w:r>
      <w:r w:rsidRPr="008711F2">
        <w:t xml:space="preserve"> intensities for the NEHs </w:t>
      </w:r>
      <w:r w:rsidR="0093723B">
        <w:t>at</w:t>
      </w:r>
      <w:r w:rsidR="0093723B" w:rsidRPr="008711F2">
        <w:t xml:space="preserve"> </w:t>
      </w:r>
      <w:r w:rsidRPr="008711F2">
        <w:t>a range of return periods, both higher and lower than the DB</w:t>
      </w:r>
      <w:r w:rsidR="00B46525" w:rsidRPr="008711F2">
        <w:t>E</w:t>
      </w:r>
      <w:r w:rsidRPr="008711F2">
        <w:t xml:space="preserve"> to support FSs</w:t>
      </w:r>
      <w:r w:rsidR="007F6E96" w:rsidRPr="008711F2">
        <w:t xml:space="preserve">, </w:t>
      </w:r>
      <w:r w:rsidRPr="008711F2">
        <w:t>PSA</w:t>
      </w:r>
      <w:r w:rsidR="007554A0" w:rsidRPr="008711F2">
        <w:t xml:space="preserve"> and </w:t>
      </w:r>
      <w:r w:rsidR="00FE4880" w:rsidRPr="008711F2">
        <w:t>SAA.</w:t>
      </w:r>
    </w:p>
    <w:p w14:paraId="5F78AED8" w14:textId="3C6584A7" w:rsidR="006E6BEB" w:rsidRPr="008711F2" w:rsidRDefault="006E6BEB" w:rsidP="000D6BF8">
      <w:pPr>
        <w:pStyle w:val="F9-Paragraph"/>
        <w:ind w:hanging="502"/>
      </w:pPr>
      <w:bookmarkStart w:id="512" w:name="_Ref138760794"/>
      <w:bookmarkStart w:id="513" w:name="_Ref140064623"/>
      <w:r w:rsidRPr="008711F2">
        <w:t>Ideally</w:t>
      </w:r>
      <w:r w:rsidR="00FD3ABE">
        <w:t>,</w:t>
      </w:r>
      <w:r w:rsidRPr="008711F2">
        <w:t xml:space="preserve"> the process just described will deliver a successful design at first attempt. However, in practice, this is rarely the case, and a series of iteration</w:t>
      </w:r>
      <w:r w:rsidR="000C013D" w:rsidRPr="008711F2">
        <w:t>s</w:t>
      </w:r>
      <w:r w:rsidRPr="008711F2">
        <w:t xml:space="preserve"> are required between the</w:t>
      </w:r>
      <w:r w:rsidR="00EB2D10" w:rsidRPr="008711F2">
        <w:t xml:space="preserve"> engineering disciplines</w:t>
      </w:r>
      <w:r w:rsidR="00EB2D10" w:rsidRPr="008711F2" w:rsidDel="00EB2D10">
        <w:t xml:space="preserve"> </w:t>
      </w:r>
      <w:r w:rsidRPr="008711F2">
        <w:t>and FS. This iterative process, in principle, should not involve</w:t>
      </w:r>
      <w:r w:rsidR="003122E0" w:rsidRPr="008711F2">
        <w:t xml:space="preserve"> the</w:t>
      </w:r>
      <w:r w:rsidRPr="008711F2">
        <w:t xml:space="preserve"> EH</w:t>
      </w:r>
      <w:r w:rsidR="00A127F5" w:rsidRPr="008711F2">
        <w:t xml:space="preserve"> discipline</w:t>
      </w:r>
      <w:r w:rsidR="003122E0" w:rsidRPr="008711F2">
        <w:t>.</w:t>
      </w:r>
      <w:r w:rsidRPr="008711F2">
        <w:t xml:space="preserve"> </w:t>
      </w:r>
      <w:r w:rsidR="003122E0" w:rsidRPr="008711F2">
        <w:t>H</w:t>
      </w:r>
      <w:r w:rsidRPr="008711F2">
        <w:t>owever, in some cases</w:t>
      </w:r>
      <w:r w:rsidR="00361213">
        <w:t xml:space="preserve"> </w:t>
      </w:r>
      <w:r w:rsidR="00332B6D">
        <w:t>(</w:t>
      </w:r>
      <w:r w:rsidR="00361213">
        <w:t>usually existing sites and facilities</w:t>
      </w:r>
      <w:r w:rsidR="00332B6D">
        <w:t>)</w:t>
      </w:r>
      <w:r w:rsidRPr="008711F2">
        <w:t xml:space="preserve">, it may be necessary to adjust the DB definitions of the NEHs. This </w:t>
      </w:r>
      <w:r w:rsidR="00AA4388">
        <w:t>usually</w:t>
      </w:r>
      <w:r w:rsidRPr="008711F2">
        <w:t xml:space="preserve"> involves determining an intensity that is less than that defined by the DB</w:t>
      </w:r>
      <w:r w:rsidR="004A1699" w:rsidRPr="008711F2">
        <w:t>E</w:t>
      </w:r>
      <w:r w:rsidRPr="008711F2">
        <w:t xml:space="preserve">. Whilst this is relatively easy to implement, the consequences of such approaches, in terms of the increase in the risk to the facility from the modified NEH DB, should be fully understood. </w:t>
      </w:r>
      <w:r w:rsidR="00243B0A">
        <w:t xml:space="preserve">Where the </w:t>
      </w:r>
      <w:r w:rsidRPr="008711F2">
        <w:t xml:space="preserve">modified NEH </w:t>
      </w:r>
      <w:r w:rsidR="00EC65B2">
        <w:t>DB definition</w:t>
      </w:r>
      <w:r w:rsidR="00BD3BA0">
        <w:t xml:space="preserve"> </w:t>
      </w:r>
      <w:r w:rsidRPr="008711F2">
        <w:t xml:space="preserve">no longer </w:t>
      </w:r>
      <w:r w:rsidR="00BA0360">
        <w:t xml:space="preserve">meets the criteria </w:t>
      </w:r>
      <w:r w:rsidR="0011659F">
        <w:t xml:space="preserve">for a </w:t>
      </w:r>
      <w:r w:rsidRPr="008711F2">
        <w:t>DB</w:t>
      </w:r>
      <w:r w:rsidR="004A1699" w:rsidRPr="008711F2">
        <w:t>E</w:t>
      </w:r>
      <w:r w:rsidR="006E362C">
        <w:t>,</w:t>
      </w:r>
      <w:r w:rsidRPr="008711F2">
        <w:t xml:space="preserve"> </w:t>
      </w:r>
      <w:r w:rsidR="0011659F">
        <w:t xml:space="preserve">it should be reclassified </w:t>
      </w:r>
      <w:r w:rsidRPr="008711F2">
        <w:t xml:space="preserve">as the Safe Shutdown Event (SSE), where </w:t>
      </w:r>
      <w:r w:rsidR="00C0503C" w:rsidRPr="008711F2">
        <w:t>s</w:t>
      </w:r>
      <w:r w:rsidRPr="008711F2">
        <w:t>hutdown is used in the wider sense of the operations in the facility. Most importantly, such approaches need to be underpinned by an ALARP justification, which should include an optioneering study that explores alternative approaches across all affected disciplines.</w:t>
      </w:r>
      <w:bookmarkEnd w:id="512"/>
      <w:r w:rsidR="0028557C">
        <w:t xml:space="preserve"> </w:t>
      </w:r>
      <w:r w:rsidR="004E5FDD">
        <w:t xml:space="preserve">This is discussed further in </w:t>
      </w:r>
      <w:r w:rsidR="0028557C">
        <w:t xml:space="preserve">See Section </w:t>
      </w:r>
      <w:r w:rsidR="004E5FDD">
        <w:fldChar w:fldCharType="begin"/>
      </w:r>
      <w:r w:rsidR="004E5FDD">
        <w:instrText xml:space="preserve"> REF _Ref138862775 \r \h </w:instrText>
      </w:r>
      <w:r w:rsidR="00221C99">
        <w:instrText xml:space="preserve"> \* MERGEFORMAT </w:instrText>
      </w:r>
      <w:r w:rsidR="004E5FDD">
        <w:fldChar w:fldCharType="separate"/>
      </w:r>
      <w:r w:rsidR="008B51F7">
        <w:t>5.8</w:t>
      </w:r>
      <w:r w:rsidR="004E5FDD">
        <w:fldChar w:fldCharType="end"/>
      </w:r>
      <w:r w:rsidR="004E5FDD">
        <w:t>.</w:t>
      </w:r>
      <w:bookmarkEnd w:id="513"/>
    </w:p>
    <w:p w14:paraId="33D87CC5" w14:textId="5FD3F650" w:rsidR="006E6BEB" w:rsidRPr="008711F2" w:rsidRDefault="006E6BEB" w:rsidP="000D6BF8">
      <w:pPr>
        <w:pStyle w:val="F9-Paragraph"/>
        <w:ind w:hanging="502"/>
      </w:pPr>
      <w:r w:rsidRPr="008711F2">
        <w:t>Whilst most EHs conform with the NEHs described above</w:t>
      </w:r>
      <w:r w:rsidR="000D0395">
        <w:t>,</w:t>
      </w:r>
      <w:r w:rsidRPr="008711F2">
        <w:t xml:space="preserve"> there are a few that do not and cannot be described as a function of return periods</w:t>
      </w:r>
      <w:r w:rsidR="000D0395">
        <w:t>.</w:t>
      </w:r>
      <w:r w:rsidRPr="008711F2">
        <w:t xml:space="preserve"> </w:t>
      </w:r>
      <w:r w:rsidR="000D0395">
        <w:t>T</w:t>
      </w:r>
      <w:r w:rsidRPr="008711F2">
        <w:t xml:space="preserve">his may be because they </w:t>
      </w:r>
      <w:r w:rsidR="00765102">
        <w:t xml:space="preserve">have </w:t>
      </w:r>
      <w:r w:rsidRPr="008711F2">
        <w:t xml:space="preserve">only been </w:t>
      </w:r>
      <w:r w:rsidR="005E6A7D">
        <w:t>observed</w:t>
      </w:r>
      <w:r w:rsidRPr="008711F2">
        <w:t xml:space="preserve"> once or twice, or, in some cases, although they do occur more frequently, there </w:t>
      </w:r>
      <w:r w:rsidR="00D2790B">
        <w:t>are</w:t>
      </w:r>
      <w:r w:rsidRPr="008711F2">
        <w:t xml:space="preserve"> insufficient historical occurrences to enable return periods to be determined</w:t>
      </w:r>
      <w:r w:rsidR="00056310">
        <w:t xml:space="preserve"> accurately</w:t>
      </w:r>
      <w:r w:rsidRPr="008711F2">
        <w:t>. Determining a DB for these types of EHs can be difficult, in particular, what constitutes a conservative representation. For that reason, conveying the characteristics to the FS and</w:t>
      </w:r>
      <w:r w:rsidR="00A23E7A" w:rsidRPr="008711F2">
        <w:t xml:space="preserve"> engineering disciplines</w:t>
      </w:r>
      <w:r w:rsidRPr="008711F2">
        <w:t xml:space="preserve"> may be more difficult than for NEH</w:t>
      </w:r>
      <w:r w:rsidR="00A23E7A" w:rsidRPr="008711F2">
        <w:t>s</w:t>
      </w:r>
      <w:r w:rsidRPr="008711F2">
        <w:t xml:space="preserve"> with </w:t>
      </w:r>
      <w:r w:rsidR="000453DF" w:rsidRPr="008711F2">
        <w:t>hazard curves</w:t>
      </w:r>
      <w:r w:rsidRPr="008711F2">
        <w:t>.</w:t>
      </w:r>
    </w:p>
    <w:p w14:paraId="1337656A" w14:textId="1D9ED8EE" w:rsidR="006E6BEB" w:rsidRPr="00A4467C" w:rsidRDefault="006E6BEB" w:rsidP="000D6BF8">
      <w:pPr>
        <w:pStyle w:val="F9-Paragraph"/>
        <w:ind w:hanging="502"/>
      </w:pPr>
      <w:r w:rsidRPr="00A4467C">
        <w:t xml:space="preserve">An alternative approach that is occasionally proposed is to </w:t>
      </w:r>
      <w:r w:rsidR="00B04DB0">
        <w:t>seek</w:t>
      </w:r>
      <w:r w:rsidRPr="00A4467C">
        <w:t xml:space="preserve"> a MCE</w:t>
      </w:r>
      <w:r w:rsidR="0009304A">
        <w:t xml:space="preserve"> </w:t>
      </w:r>
      <w:r w:rsidR="000345B4">
        <w:t xml:space="preserve">as described in </w:t>
      </w:r>
      <w:r w:rsidR="0009304A">
        <w:t xml:space="preserve">Section </w:t>
      </w:r>
      <w:r w:rsidR="0009304A">
        <w:fldChar w:fldCharType="begin"/>
      </w:r>
      <w:r w:rsidR="0009304A">
        <w:instrText xml:space="preserve"> REF _Ref140042072 \r \h </w:instrText>
      </w:r>
      <w:r w:rsidR="00221C99">
        <w:instrText xml:space="preserve"> \* MERGEFORMAT </w:instrText>
      </w:r>
      <w:r w:rsidR="0009304A">
        <w:fldChar w:fldCharType="separate"/>
      </w:r>
      <w:r w:rsidR="008B51F7">
        <w:t>2.4.3</w:t>
      </w:r>
      <w:r w:rsidR="0009304A">
        <w:fldChar w:fldCharType="end"/>
      </w:r>
      <w:r w:rsidRPr="00A4467C">
        <w:t>. This usually involves exchanging a statistical analysis by an argument around the limitation of the physical process that gives rise to the hazard. If such an approach is considered, then the robustness of the argument around the physical process is crucial</w:t>
      </w:r>
      <w:r w:rsidR="0052403B">
        <w:t>.</w:t>
      </w:r>
      <w:r w:rsidRPr="00A4467C">
        <w:t xml:space="preserve"> </w:t>
      </w:r>
      <w:r w:rsidR="0052403B">
        <w:t xml:space="preserve">This </w:t>
      </w:r>
      <w:r w:rsidRPr="00A4467C">
        <w:t>includ</w:t>
      </w:r>
      <w:r w:rsidR="0052403B">
        <w:t>es</w:t>
      </w:r>
      <w:r w:rsidRPr="00A4467C">
        <w:t xml:space="preserve"> forecasts of changes to the process</w:t>
      </w:r>
      <w:r w:rsidR="000B0D34">
        <w:t xml:space="preserve"> and </w:t>
      </w:r>
      <w:r w:rsidR="00D82341">
        <w:t>any</w:t>
      </w:r>
      <w:r w:rsidRPr="00A4467C">
        <w:t xml:space="preserve"> </w:t>
      </w:r>
      <w:r w:rsidR="00787C3D">
        <w:t xml:space="preserve">residual hazard </w:t>
      </w:r>
      <w:r w:rsidR="00EE572F">
        <w:t>from</w:t>
      </w:r>
      <w:r w:rsidRPr="00A4467C">
        <w:t xml:space="preserve"> the facility, </w:t>
      </w:r>
      <w:r w:rsidR="00EE572F">
        <w:t xml:space="preserve">which may extend </w:t>
      </w:r>
      <w:r w:rsidR="004D7F35">
        <w:t>well beyond the end</w:t>
      </w:r>
      <w:r w:rsidRPr="00A4467C">
        <w:t xml:space="preserve"> of operations. </w:t>
      </w:r>
      <w:r w:rsidR="003A724B">
        <w:t xml:space="preserve">For a true </w:t>
      </w:r>
      <w:r w:rsidRPr="00A4467C">
        <w:t>MCE</w:t>
      </w:r>
      <w:r w:rsidR="00F34157">
        <w:t>,</w:t>
      </w:r>
      <w:r w:rsidRPr="00A4467C">
        <w:t xml:space="preserve"> </w:t>
      </w:r>
      <w:r w:rsidRPr="00A4467C">
        <w:lastRenderedPageBreak/>
        <w:t xml:space="preserve">no conservatism </w:t>
      </w:r>
      <w:r w:rsidR="00F10DDC">
        <w:t xml:space="preserve">is </w:t>
      </w:r>
      <w:r w:rsidRPr="00A4467C">
        <w:t>required</w:t>
      </w:r>
      <w:r w:rsidR="002040AC">
        <w:t xml:space="preserve"> as per the MCE definition. However, </w:t>
      </w:r>
      <w:r w:rsidR="00706EEF">
        <w:t xml:space="preserve">the inspector may consider a </w:t>
      </w:r>
      <w:r w:rsidRPr="00A4467C">
        <w:t xml:space="preserve">contingency </w:t>
      </w:r>
      <w:r w:rsidR="00706EEF">
        <w:t xml:space="preserve">to be </w:t>
      </w:r>
      <w:r w:rsidRPr="00A4467C">
        <w:t xml:space="preserve">prudent. </w:t>
      </w:r>
    </w:p>
    <w:p w14:paraId="4E02C256" w14:textId="77777777" w:rsidR="001B650A" w:rsidRPr="00293870" w:rsidRDefault="001B650A" w:rsidP="00547634">
      <w:pPr>
        <w:pStyle w:val="Heading2"/>
      </w:pPr>
      <w:bookmarkStart w:id="514" w:name="_Ref138670847"/>
      <w:bookmarkStart w:id="515" w:name="_Toc140137243"/>
      <w:r w:rsidRPr="00293870">
        <w:t>Hazard Identification</w:t>
      </w:r>
      <w:bookmarkEnd w:id="514"/>
      <w:bookmarkEnd w:id="515"/>
      <w:r w:rsidRPr="00293870">
        <w:rPr>
          <w:webHidden/>
        </w:rPr>
        <w:tab/>
      </w:r>
    </w:p>
    <w:p w14:paraId="5AE63B5A" w14:textId="4262A896" w:rsidR="001B650A" w:rsidRPr="00755354" w:rsidRDefault="001B650A" w:rsidP="000D6BF8">
      <w:pPr>
        <w:pStyle w:val="F9-Paragraph"/>
        <w:ind w:hanging="502"/>
      </w:pPr>
      <w:bookmarkStart w:id="516" w:name="_Ref445807144"/>
      <w:bookmarkStart w:id="517" w:name="_Toc462321702"/>
      <w:bookmarkStart w:id="518" w:name="_Toc473126275"/>
      <w:bookmarkStart w:id="519" w:name="_Toc473127895"/>
      <w:r w:rsidRPr="00755354">
        <w:t xml:space="preserve">The fundamental first step in addressing the threats from EHs is to identify those </w:t>
      </w:r>
      <w:r w:rsidR="00BB52FE">
        <w:t>EHs</w:t>
      </w:r>
      <w:r w:rsidRPr="00755354">
        <w:t xml:space="preserve"> that are relevant to the facility under consideration. All EHs and credible combinations that might affect the site should be identified. SAP FA.2 and paragraph 618(c) state that EHs should be considered as potential fault initiating events. EHA.1 further amplifies this.</w:t>
      </w:r>
      <w:bookmarkEnd w:id="516"/>
      <w:bookmarkEnd w:id="517"/>
      <w:bookmarkEnd w:id="518"/>
      <w:bookmarkEnd w:id="519"/>
    </w:p>
    <w:p w14:paraId="4D7FCAEE" w14:textId="55855D41" w:rsidR="001B650A" w:rsidRPr="00755354" w:rsidRDefault="001B650A" w:rsidP="000D6BF8">
      <w:pPr>
        <w:pStyle w:val="F9-Paragraph"/>
        <w:ind w:hanging="502"/>
      </w:pPr>
      <w:bookmarkStart w:id="520" w:name="_Ref445456615"/>
      <w:bookmarkStart w:id="521" w:name="_Ref448415161"/>
      <w:bookmarkStart w:id="522" w:name="_Toc462321703"/>
      <w:bookmarkStart w:id="523" w:name="_Toc473126276"/>
      <w:bookmarkStart w:id="524" w:name="_Toc473127896"/>
      <w:r w:rsidRPr="00755354">
        <w:t xml:space="preserve">The </w:t>
      </w:r>
      <w:r w:rsidR="0008626E">
        <w:t>l</w:t>
      </w:r>
      <w:r w:rsidRPr="00755354">
        <w:t xml:space="preserve">icensee should demonstrate that an effective systematic process has been applied to identify all types of EHs relevant to a particular site, including reasonably foreseeable independently occurring hazards, </w:t>
      </w:r>
      <w:r w:rsidRPr="00547634">
        <w:t xml:space="preserve">causally related </w:t>
      </w:r>
      <w:r w:rsidRPr="00755354">
        <w:t>hazards</w:t>
      </w:r>
      <w:r w:rsidRPr="00547634">
        <w:t>,</w:t>
      </w:r>
      <w:r w:rsidRPr="00755354">
        <w:t xml:space="preserve"> and consequential events (SAPs paragraph 234).</w:t>
      </w:r>
      <w:bookmarkEnd w:id="520"/>
      <w:r w:rsidRPr="00755354">
        <w:t xml:space="preserve"> Furthermore, EHs that threaten neighbouring installations should be identified.</w:t>
      </w:r>
      <w:bookmarkEnd w:id="521"/>
      <w:bookmarkEnd w:id="522"/>
      <w:bookmarkEnd w:id="523"/>
      <w:bookmarkEnd w:id="524"/>
    </w:p>
    <w:p w14:paraId="3A98E121" w14:textId="47A66347" w:rsidR="001B650A" w:rsidRPr="00755354" w:rsidRDefault="001B650A" w:rsidP="000D6BF8">
      <w:pPr>
        <w:pStyle w:val="F9-Paragraph"/>
        <w:ind w:hanging="502"/>
      </w:pPr>
      <w:bookmarkStart w:id="525" w:name="_Ref448474758"/>
      <w:bookmarkStart w:id="526" w:name="_Toc462321704"/>
      <w:bookmarkStart w:id="527" w:name="_Toc473126277"/>
      <w:bookmarkStart w:id="528" w:name="_Toc473127897"/>
      <w:bookmarkStart w:id="529" w:name="_Ref138752754"/>
      <w:r w:rsidRPr="00755354">
        <w:t xml:space="preserve">Table 2 contains a typical range of hazards that should be considered in the first instance and is drawn from an ONR report </w:t>
      </w:r>
      <w:sdt>
        <w:sdtPr>
          <w:id w:val="-946155811"/>
          <w:citation/>
        </w:sdtPr>
        <w:sdtContent>
          <w:r w:rsidRPr="00755354">
            <w:fldChar w:fldCharType="begin"/>
          </w:r>
          <w:r w:rsidRPr="00755354">
            <w:instrText xml:space="preserve">CITATION ONR09 \l 2057 </w:instrText>
          </w:r>
          <w:r w:rsidRPr="00755354">
            <w:fldChar w:fldCharType="separate"/>
          </w:r>
          <w:r w:rsidR="002A4EED">
            <w:t>[20]</w:t>
          </w:r>
          <w:r w:rsidRPr="00755354">
            <w:fldChar w:fldCharType="end"/>
          </w:r>
        </w:sdtContent>
      </w:sdt>
      <w:r w:rsidRPr="00755354">
        <w:t xml:space="preserve"> that summarises ONR and IAEA guidance, augmented with recent experience from </w:t>
      </w:r>
      <w:r w:rsidR="00D83085">
        <w:t>l</w:t>
      </w:r>
      <w:r w:rsidRPr="00755354">
        <w:t xml:space="preserve">icensee safety cases identifying those EHs significant to nuclear safety; IAEA Safety Guide </w:t>
      </w:r>
      <w:r w:rsidR="00F37985">
        <w:t>SSR-1</w:t>
      </w:r>
      <w:r w:rsidRPr="00755354">
        <w:t xml:space="preserve">, </w:t>
      </w:r>
      <w:r w:rsidR="00D456B3">
        <w:t>SSG-68</w:t>
      </w:r>
      <w:r w:rsidR="00F37985">
        <w:t>, SSG-9</w:t>
      </w:r>
      <w:r w:rsidRPr="00755354">
        <w:t xml:space="preserve"> and SSG-18</w:t>
      </w:r>
      <w:sdt>
        <w:sdtPr>
          <w:id w:val="-2049056876"/>
          <w:citation/>
        </w:sdtPr>
        <w:sdtContent>
          <w:r w:rsidR="00F247FF">
            <w:fldChar w:fldCharType="begin"/>
          </w:r>
          <w:r w:rsidR="00ED6843">
            <w:instrText xml:space="preserve">CITATION IAE161 \m IAEes \m IAEns3 \m IAEns4 \l 2057 </w:instrText>
          </w:r>
          <w:r w:rsidR="00F247FF">
            <w:fldChar w:fldCharType="separate"/>
          </w:r>
          <w:r w:rsidR="002A4EED">
            <w:t xml:space="preserve"> [21, 22, 23, 24]</w:t>
          </w:r>
          <w:r w:rsidR="00F247FF">
            <w:fldChar w:fldCharType="end"/>
          </w:r>
        </w:sdtContent>
      </w:sdt>
      <w:r w:rsidRPr="00755354">
        <w:t xml:space="preserve"> are particularly relevant. A further list of IAEA guidance is provided by WENRA at Ref. </w:t>
      </w:r>
      <w:sdt>
        <w:sdtPr>
          <w:id w:val="-1622373074"/>
          <w:citation/>
        </w:sdtPr>
        <w:sdtContent>
          <w:r w:rsidRPr="00755354">
            <w:fldChar w:fldCharType="begin"/>
          </w:r>
          <w:r w:rsidR="00F12D69">
            <w:instrText xml:space="preserve">CITATION WEN13 \l 2057 </w:instrText>
          </w:r>
          <w:r w:rsidRPr="00755354">
            <w:fldChar w:fldCharType="separate"/>
          </w:r>
          <w:r w:rsidR="002A4EED">
            <w:t>[25]</w:t>
          </w:r>
          <w:r w:rsidRPr="00755354">
            <w:fldChar w:fldCharType="end"/>
          </w:r>
        </w:sdtContent>
      </w:sdt>
      <w:r w:rsidRPr="00755354">
        <w:t xml:space="preserve">. WENRA also provides further guidance for natural hazards at Ref. </w:t>
      </w:r>
      <w:sdt>
        <w:sdtPr>
          <w:id w:val="1090519442"/>
          <w:citation/>
        </w:sdtPr>
        <w:sdtContent>
          <w:r w:rsidRPr="00755354">
            <w:fldChar w:fldCharType="begin"/>
          </w:r>
          <w:r w:rsidR="00487F4E" w:rsidRPr="00755354">
            <w:instrText xml:space="preserve">CITATION WEN15 \l 2057 </w:instrText>
          </w:r>
          <w:r w:rsidRPr="00755354">
            <w:fldChar w:fldCharType="separate"/>
          </w:r>
          <w:r w:rsidR="002A4EED">
            <w:t>[13]</w:t>
          </w:r>
          <w:r w:rsidRPr="00755354">
            <w:fldChar w:fldCharType="end"/>
          </w:r>
        </w:sdtContent>
      </w:sdt>
      <w:r w:rsidRPr="00755354">
        <w:t xml:space="preserve"> </w:t>
      </w:r>
      <w:r w:rsidR="004A7047">
        <w:t>–</w:t>
      </w:r>
      <w:r w:rsidRPr="00755354">
        <w:t xml:space="preserve"> Appendix 2, which has also been used in the construction of Table 2 within this TAG</w:t>
      </w:r>
      <w:r w:rsidRPr="000D6BF8">
        <w:footnoteReference w:id="9"/>
      </w:r>
      <w:r w:rsidRPr="00755354">
        <w:t>. Table 2 should not however be seen as exhaustive, as local site conditions and the plant design may be susceptible to further hazards.</w:t>
      </w:r>
      <w:bookmarkEnd w:id="525"/>
      <w:bookmarkEnd w:id="526"/>
      <w:r w:rsidRPr="00755354">
        <w:t xml:space="preserve"> The appendices and annexes to this TAG provide additional detail on specific hazard types.</w:t>
      </w:r>
      <w:bookmarkEnd w:id="527"/>
      <w:bookmarkEnd w:id="528"/>
      <w:bookmarkEnd w:id="529"/>
      <w:r w:rsidRPr="00755354">
        <w:t xml:space="preserve"> </w:t>
      </w:r>
    </w:p>
    <w:p w14:paraId="16019292" w14:textId="1C5788D3" w:rsidR="001B650A" w:rsidRPr="00293870" w:rsidRDefault="001B650A" w:rsidP="000D6BF8">
      <w:pPr>
        <w:pStyle w:val="F9-Paragraph"/>
        <w:ind w:hanging="502"/>
      </w:pPr>
      <w:bookmarkStart w:id="530" w:name="_Toc462321705"/>
      <w:bookmarkStart w:id="531" w:name="_Toc473126278"/>
      <w:bookmarkStart w:id="532" w:name="_Toc473127898"/>
      <w:bookmarkStart w:id="533" w:name="_Ref473700843"/>
      <w:r w:rsidRPr="00293870">
        <w:t>The relevant parts of Table 2 are expanded as appropriate in each of the annexes to provide a list (not comprehensive) of primary, secondary, correlated, and consequential site hazards associated with each type.</w:t>
      </w:r>
      <w:bookmarkEnd w:id="530"/>
      <w:bookmarkEnd w:id="531"/>
      <w:bookmarkEnd w:id="532"/>
      <w:r w:rsidRPr="00293870">
        <w:t xml:space="preserve"> This division of hazards into different categories has been found useful for conveying the interdependencies of various hazards (especially meteorological and coastal flooding hazards) on each other</w:t>
      </w:r>
      <w:r w:rsidR="001553C3">
        <w:t>.</w:t>
      </w:r>
      <w:bookmarkEnd w:id="533"/>
    </w:p>
    <w:p w14:paraId="5560ADE0" w14:textId="5EB79BB4" w:rsidR="001B650A" w:rsidRPr="00293870" w:rsidRDefault="001B650A" w:rsidP="00547634">
      <w:pPr>
        <w:pStyle w:val="Heading2"/>
      </w:pPr>
      <w:bookmarkStart w:id="534" w:name="_Ref138931870"/>
      <w:bookmarkStart w:id="535" w:name="_Toc140137244"/>
      <w:r w:rsidRPr="00293870">
        <w:t>Fault Identification (Fault Initiation)</w:t>
      </w:r>
      <w:bookmarkEnd w:id="534"/>
      <w:bookmarkEnd w:id="535"/>
    </w:p>
    <w:p w14:paraId="78FB451C" w14:textId="58CF9FB6" w:rsidR="001B650A" w:rsidRPr="00293870" w:rsidRDefault="001B650A" w:rsidP="000D6BF8">
      <w:pPr>
        <w:pStyle w:val="F9-Paragraph"/>
        <w:ind w:hanging="502"/>
      </w:pPr>
      <w:r w:rsidRPr="00293870">
        <w:t xml:space="preserve">The fault identification process should provide sufficient site-specific data </w:t>
      </w:r>
      <w:r w:rsidR="0014067E" w:rsidRPr="00293870">
        <w:t>to</w:t>
      </w:r>
      <w:r w:rsidR="0014067E">
        <w:t xml:space="preserve"> </w:t>
      </w:r>
      <w:r w:rsidR="0014067E" w:rsidRPr="00293870">
        <w:t>determine</w:t>
      </w:r>
      <w:r w:rsidRPr="00293870">
        <w:t xml:space="preserve"> each hazard’s potential for plant / SSC fault initiation</w:t>
      </w:r>
      <w:r w:rsidR="00526518">
        <w:t>,</w:t>
      </w:r>
      <w:r w:rsidRPr="00293870">
        <w:t xml:space="preserve"> and whether the hazard can be screened out from further fault analysis / hazard analysis (including hazard combinations and consequential events as noted in </w:t>
      </w:r>
      <w:r w:rsidRPr="00293870">
        <w:lastRenderedPageBreak/>
        <w:t>paragraph</w:t>
      </w:r>
      <w:r w:rsidR="00117257">
        <w:t xml:space="preserve"> </w:t>
      </w:r>
      <w:r w:rsidR="00117257">
        <w:fldChar w:fldCharType="begin"/>
      </w:r>
      <w:r w:rsidR="00117257">
        <w:instrText xml:space="preserve"> REF _Ref445807144 \r \h </w:instrText>
      </w:r>
      <w:r w:rsidR="00221C99">
        <w:instrText xml:space="preserve"> \* MERGEFORMAT </w:instrText>
      </w:r>
      <w:r w:rsidR="00117257">
        <w:fldChar w:fldCharType="separate"/>
      </w:r>
      <w:r w:rsidR="008B51F7">
        <w:t>52</w:t>
      </w:r>
      <w:r w:rsidR="00117257">
        <w:fldChar w:fldCharType="end"/>
      </w:r>
      <w:r w:rsidRPr="00293870">
        <w:t>). Fault sequences should be developed to determine the potential radiological consequence.</w:t>
      </w:r>
    </w:p>
    <w:p w14:paraId="5A974219" w14:textId="0094599C" w:rsidR="001B650A" w:rsidRPr="0057000A" w:rsidRDefault="00AA001C" w:rsidP="00547634">
      <w:pPr>
        <w:pStyle w:val="Heading2"/>
      </w:pPr>
      <w:bookmarkStart w:id="536" w:name="_Ref138756012"/>
      <w:bookmarkStart w:id="537" w:name="_Toc140137245"/>
      <w:r>
        <w:t xml:space="preserve">External Hazards </w:t>
      </w:r>
      <w:r w:rsidR="001B650A" w:rsidRPr="00293870">
        <w:t>Screening</w:t>
      </w:r>
      <w:bookmarkEnd w:id="536"/>
      <w:bookmarkEnd w:id="537"/>
    </w:p>
    <w:p w14:paraId="77CFADE4" w14:textId="04079AA5" w:rsidR="001B650A" w:rsidRDefault="001B650A" w:rsidP="000D6BF8">
      <w:pPr>
        <w:pStyle w:val="F9-Paragraph"/>
        <w:ind w:hanging="502"/>
      </w:pPr>
      <w:bookmarkStart w:id="538" w:name="_Ref138753317"/>
      <w:r w:rsidRPr="0057000A">
        <w:t>Hazards can be screened from further consideration if they are shown by the fault analysis to make no significant contribution to overall risks from a facility (SAP EHA.19). A screening process consisting of defined screening criteria should be applied to each identified hazard. Screening criteria (SAP paragraphs 235, 631 &amp; 649) can be defined in terms of very low frequency of occurrence (for discrete hazards less than 10</w:t>
      </w:r>
      <w:r w:rsidRPr="00F8764A">
        <w:rPr>
          <w:vertAlign w:val="superscript"/>
        </w:rPr>
        <w:t>-7</w:t>
      </w:r>
      <w:r w:rsidRPr="0057000A">
        <w:t>/</w:t>
      </w:r>
      <w:r w:rsidR="0014067E" w:rsidRPr="0057000A">
        <w:t>y) or</w:t>
      </w:r>
      <w:r w:rsidRPr="0057000A">
        <w:t xml:space="preserve"> in terms of the potential consequences from associated fault sequences if they are incapable of posing a significant threat to nuclear safety. It is important to note that the hazard screening process can often be a major part of the hazard analysis.</w:t>
      </w:r>
      <w:r>
        <w:t xml:space="preserve"> To determine whether EHs can be screened out</w:t>
      </w:r>
      <w:r w:rsidR="009E17B3">
        <w:t>,</w:t>
      </w:r>
      <w:r>
        <w:t xml:space="preserve"> </w:t>
      </w:r>
      <w:r w:rsidRPr="00977452">
        <w:t>it is necessary to first characterise the hazard sufficiently to facilitate a meaningful screening analysis (</w:t>
      </w:r>
      <w:r w:rsidR="004C043B" w:rsidRPr="00977452">
        <w:t>e.g.,</w:t>
      </w:r>
      <w:r w:rsidRPr="00977452">
        <w:t xml:space="preserve"> generate a hazard frequency versus severity curve).</w:t>
      </w:r>
      <w:bookmarkEnd w:id="538"/>
    </w:p>
    <w:p w14:paraId="754F0AD9" w14:textId="6F49AC30" w:rsidR="001B650A" w:rsidRDefault="001B650A" w:rsidP="000D6BF8">
      <w:pPr>
        <w:pStyle w:val="F9-Paragraph"/>
        <w:ind w:hanging="502"/>
      </w:pPr>
      <w:r w:rsidRPr="006116D3">
        <w:t xml:space="preserve">Screened-in hazards are considered as significant fault initiators under </w:t>
      </w:r>
      <w:r w:rsidR="008A532C">
        <w:t xml:space="preserve">SAP </w:t>
      </w:r>
      <w:r w:rsidRPr="006116D3">
        <w:t>FA.2 and should therefore be subject to DBA and PSA if appropriate</w:t>
      </w:r>
      <w:r>
        <w:t>, which will potentially require more detailed extensions to the hazard analysis to lower frequencies.</w:t>
      </w:r>
    </w:p>
    <w:p w14:paraId="74600CF5" w14:textId="123D4FA3" w:rsidR="001B650A" w:rsidRPr="00D45A2C" w:rsidRDefault="001B650A" w:rsidP="00547634">
      <w:pPr>
        <w:pStyle w:val="Heading2"/>
      </w:pPr>
      <w:bookmarkStart w:id="539" w:name="_Ref139285544"/>
      <w:bookmarkStart w:id="540" w:name="_Toc140137246"/>
      <w:r w:rsidRPr="00D45A2C">
        <w:t>Hazard Analysis</w:t>
      </w:r>
      <w:r w:rsidR="00E66026">
        <w:t xml:space="preserve"> Characteris</w:t>
      </w:r>
      <w:r w:rsidR="008909F8">
        <w:t>a</w:t>
      </w:r>
      <w:r w:rsidR="00E66026">
        <w:t>tion</w:t>
      </w:r>
      <w:bookmarkEnd w:id="539"/>
      <w:bookmarkEnd w:id="540"/>
    </w:p>
    <w:p w14:paraId="23DE0306" w14:textId="3D96561D" w:rsidR="001B650A" w:rsidRPr="00D45A2C" w:rsidRDefault="001B650A" w:rsidP="000D6BF8">
      <w:pPr>
        <w:pStyle w:val="F9-Paragraph"/>
        <w:ind w:hanging="502"/>
      </w:pPr>
      <w:r w:rsidRPr="00D45A2C">
        <w:t xml:space="preserve">Each credible EH should be assessed to establish its frequency and severity (in terms of magnitude, duration, progression, spatial extent, relationship to other hazards, etc) at the site. The hazard analysis is used not only for the purpose of defining the </w:t>
      </w:r>
      <w:r w:rsidR="000D40DF">
        <w:t>DBE</w:t>
      </w:r>
      <w:r w:rsidRPr="00D45A2C">
        <w:t xml:space="preserve">, but also to support BDBA, PSA and SAA. </w:t>
      </w:r>
      <w:r w:rsidR="00E2041C">
        <w:t>Therefore</w:t>
      </w:r>
      <w:r w:rsidR="00F84433">
        <w:t>,</w:t>
      </w:r>
      <w:r w:rsidR="00E2041C">
        <w:t xml:space="preserve"> the </w:t>
      </w:r>
      <w:r w:rsidR="00E2041C" w:rsidRPr="00D45A2C">
        <w:t>characterisation of EHs</w:t>
      </w:r>
      <w:r w:rsidR="00F84433">
        <w:t xml:space="preserve"> needs to </w:t>
      </w:r>
      <w:r w:rsidR="0000396D">
        <w:t xml:space="preserve">provide sufficient information </w:t>
      </w:r>
      <w:r w:rsidR="00AC43F6">
        <w:t>for these purposes.</w:t>
      </w:r>
      <w:r>
        <w:t xml:space="preserve"> </w:t>
      </w:r>
      <w:r w:rsidRPr="00D45A2C">
        <w:t xml:space="preserve">The hazard curves should extend down to an appropriate frequency generally consistent with the fault screening frequency for discrete hazards, see paragraph </w:t>
      </w:r>
      <w:r w:rsidR="00CD017F">
        <w:fldChar w:fldCharType="begin"/>
      </w:r>
      <w:r w:rsidR="00CD017F">
        <w:instrText xml:space="preserve"> REF _Ref138753317 \r \h </w:instrText>
      </w:r>
      <w:r w:rsidR="00221C99">
        <w:instrText xml:space="preserve"> \* MERGEFORMAT </w:instrText>
      </w:r>
      <w:r w:rsidR="00CD017F">
        <w:fldChar w:fldCharType="separate"/>
      </w:r>
      <w:r w:rsidR="008B51F7">
        <w:t>57</w:t>
      </w:r>
      <w:r w:rsidR="00CD017F">
        <w:fldChar w:fldCharType="end"/>
      </w:r>
      <w:r w:rsidRPr="00D45A2C">
        <w:t xml:space="preserve">, since this represents a frequency at which risk is considered negligible for a single class of accident, see SAP paragraph 749. </w:t>
      </w:r>
    </w:p>
    <w:p w14:paraId="1726C5F0" w14:textId="6D2CC13E" w:rsidR="001B650A" w:rsidRPr="005900A8" w:rsidRDefault="001B650A" w:rsidP="000D6BF8">
      <w:pPr>
        <w:pStyle w:val="F9-Paragraph"/>
        <w:ind w:hanging="502"/>
      </w:pPr>
      <w:r w:rsidRPr="00D45A2C">
        <w:t>It should be noted that for EHs PSA, a range of frequencies and associated hazard parameters is often required. All relevant characteristics need to be specified and the</w:t>
      </w:r>
      <w:r w:rsidR="00536FB2">
        <w:t xml:space="preserve"> </w:t>
      </w:r>
      <w:r w:rsidRPr="00955614">
        <w:t xml:space="preserve">rationale for their selection justified. Several parameters could be relevant to characterise severity and / or magnitude. A useful checklist of hazard analysis </w:t>
      </w:r>
      <w:r w:rsidRPr="005900A8">
        <w:t xml:space="preserve">considerations is provided in Ref. </w:t>
      </w:r>
      <w:sdt>
        <w:sdtPr>
          <w:id w:val="-551850362"/>
          <w:citation/>
        </w:sdtPr>
        <w:sdtContent>
          <w:r w:rsidR="007A49C1" w:rsidRPr="005900A8">
            <w:fldChar w:fldCharType="begin"/>
          </w:r>
          <w:r w:rsidR="00F12D69">
            <w:instrText xml:space="preserve">CITATION WEN13 \l 2057 </w:instrText>
          </w:r>
          <w:r w:rsidR="007A49C1" w:rsidRPr="005900A8">
            <w:fldChar w:fldCharType="separate"/>
          </w:r>
          <w:r w:rsidR="002A4EED">
            <w:t>[25]</w:t>
          </w:r>
          <w:r w:rsidR="007A49C1" w:rsidRPr="005900A8">
            <w:fldChar w:fldCharType="end"/>
          </w:r>
        </w:sdtContent>
      </w:sdt>
      <w:r w:rsidRPr="005900A8">
        <w:t>. Further details are also provided within individual hazard annexes in this guide.</w:t>
      </w:r>
    </w:p>
    <w:p w14:paraId="458449F9" w14:textId="1F1F42D1" w:rsidR="001B650A" w:rsidRPr="00547634" w:rsidRDefault="00627380" w:rsidP="000D6BF8">
      <w:pPr>
        <w:pStyle w:val="F9-Paragraph"/>
        <w:ind w:hanging="502"/>
      </w:pPr>
      <w:r w:rsidRPr="005900A8">
        <w:t>Characterisation of s</w:t>
      </w:r>
      <w:r w:rsidR="001B650A" w:rsidRPr="005900A8">
        <w:t xml:space="preserve">ignificant natural hazards often </w:t>
      </w:r>
      <w:r w:rsidRPr="005900A8">
        <w:t>involves</w:t>
      </w:r>
      <w:r w:rsidR="001B650A" w:rsidRPr="005900A8">
        <w:t xml:space="preserve"> complex computational analyses requiring specialist expertise. In all cases the analysis should use methods, assumptions or arguments that are justified, take account of all relevant site and regional </w:t>
      </w:r>
      <w:r w:rsidR="00C97749" w:rsidRPr="005900A8">
        <w:t>data,</w:t>
      </w:r>
      <w:r w:rsidR="001B650A" w:rsidRPr="005900A8">
        <w:t xml:space="preserve"> and contain sufficient information to enable a </w:t>
      </w:r>
      <w:r w:rsidR="005900A8" w:rsidRPr="005900A8">
        <w:t>DBE</w:t>
      </w:r>
      <w:r w:rsidR="001B650A" w:rsidRPr="005900A8">
        <w:t xml:space="preserve"> to be defined</w:t>
      </w:r>
      <w:r w:rsidR="001B650A" w:rsidRPr="00547634">
        <w:t>.</w:t>
      </w:r>
    </w:p>
    <w:p w14:paraId="5AC7395B" w14:textId="76D8EB13" w:rsidR="009B7FD0" w:rsidRPr="00651145" w:rsidRDefault="009B7FD0" w:rsidP="000D6BF8">
      <w:pPr>
        <w:pStyle w:val="F9-Paragraph"/>
        <w:ind w:hanging="502"/>
      </w:pPr>
      <w:r w:rsidRPr="005900A8">
        <w:lastRenderedPageBreak/>
        <w:t xml:space="preserve">For many EHs the </w:t>
      </w:r>
      <w:r w:rsidR="00351A2B" w:rsidRPr="00547634">
        <w:t xml:space="preserve">data </w:t>
      </w:r>
      <w:r w:rsidRPr="005900A8">
        <w:t>available</w:t>
      </w:r>
      <w:r w:rsidR="0094720A" w:rsidRPr="00547634">
        <w:t xml:space="preserve">, in terms of </w:t>
      </w:r>
      <w:r w:rsidR="00351A2B" w:rsidRPr="00547634">
        <w:t xml:space="preserve">the collection </w:t>
      </w:r>
      <w:r w:rsidR="0094720A" w:rsidRPr="00547634">
        <w:t>time,</w:t>
      </w:r>
      <w:r w:rsidRPr="00651145">
        <w:t xml:space="preserve"> is limited</w:t>
      </w:r>
      <w:r w:rsidR="0094720A" w:rsidRPr="00547634">
        <w:t>, with</w:t>
      </w:r>
      <w:r w:rsidRPr="00651145">
        <w:t xml:space="preserve"> </w:t>
      </w:r>
      <w:r w:rsidR="0094720A" w:rsidRPr="00547634">
        <w:t xml:space="preserve">data sets for </w:t>
      </w:r>
      <w:r w:rsidR="004905B5">
        <w:t>EHs</w:t>
      </w:r>
      <w:r w:rsidR="0094720A" w:rsidRPr="00547634">
        <w:t xml:space="preserve"> via instrumentation typically only existing for around 100</w:t>
      </w:r>
      <w:r w:rsidR="00351A2B" w:rsidRPr="00547634">
        <w:t xml:space="preserve"> to 150</w:t>
      </w:r>
      <w:r w:rsidR="0094720A" w:rsidRPr="00547634">
        <w:t xml:space="preserve"> years. </w:t>
      </w:r>
    </w:p>
    <w:p w14:paraId="27F04515" w14:textId="6F0AD35E" w:rsidR="009B7FD0" w:rsidRPr="00651145" w:rsidRDefault="009B7FD0" w:rsidP="000D6BF8">
      <w:pPr>
        <w:pStyle w:val="F9-Paragraph"/>
        <w:ind w:hanging="502"/>
      </w:pPr>
      <w:r w:rsidRPr="00651145">
        <w:t>Short datasets like these can be used to estimate hazard parameter values down to statistical frequencies of 10</w:t>
      </w:r>
      <w:r w:rsidRPr="00F8764A">
        <w:rPr>
          <w:vertAlign w:val="superscript"/>
        </w:rPr>
        <w:t>-4</w:t>
      </w:r>
      <w:r w:rsidRPr="00651145">
        <w:t xml:space="preserve">/y and lower, but </w:t>
      </w:r>
      <w:r w:rsidR="00EF08ED">
        <w:t xml:space="preserve">the shorter the datasets </w:t>
      </w:r>
      <w:r w:rsidR="003B5173">
        <w:t>the greater will be the</w:t>
      </w:r>
      <w:r w:rsidRPr="00651145">
        <w:t xml:space="preserve"> uncertaint</w:t>
      </w:r>
      <w:r w:rsidR="003B5173">
        <w:t>ies</w:t>
      </w:r>
      <w:r w:rsidRPr="00651145">
        <w:t>. Adopting legitimate means to extend the dataset can have a significant impact on</w:t>
      </w:r>
      <w:r w:rsidR="0094720A" w:rsidRPr="00547634">
        <w:t xml:space="preserve"> reducing</w:t>
      </w:r>
      <w:r w:rsidRPr="00651145">
        <w:t xml:space="preserve"> the degree of uncertainty.</w:t>
      </w:r>
      <w:r w:rsidR="0094720A" w:rsidRPr="00547634">
        <w:t xml:space="preserve"> SAPs EHA.2, AV.3 and AV.7 provide high level guidance on data collection and use of data.</w:t>
      </w:r>
    </w:p>
    <w:p w14:paraId="05466C79" w14:textId="699E3F04" w:rsidR="009B7FD0" w:rsidRPr="008D792E" w:rsidRDefault="009B7FD0" w:rsidP="000D6BF8">
      <w:pPr>
        <w:pStyle w:val="F9-Paragraph"/>
        <w:ind w:hanging="502"/>
      </w:pPr>
      <w:r w:rsidRPr="008D792E">
        <w:t>Whe</w:t>
      </w:r>
      <w:r w:rsidR="0094720A" w:rsidRPr="00547634">
        <w:t>re</w:t>
      </w:r>
      <w:r w:rsidRPr="008D792E">
        <w:t xml:space="preserve"> databases are extended, inspectors </w:t>
      </w:r>
      <w:r w:rsidR="00116DD8">
        <w:t>may</w:t>
      </w:r>
      <w:r w:rsidR="00116DD8" w:rsidRPr="008D792E">
        <w:t xml:space="preserve"> </w:t>
      </w:r>
      <w:r w:rsidRPr="008D792E">
        <w:t xml:space="preserve">seek to assure themselves that </w:t>
      </w:r>
      <w:r w:rsidR="00B05D04">
        <w:t>l</w:t>
      </w:r>
      <w:r w:rsidRPr="008D792E">
        <w:t>icensees have taken advantage of all reasonabl</w:t>
      </w:r>
      <w:r w:rsidR="00C32E3B" w:rsidRPr="00547634">
        <w:t>y accessible</w:t>
      </w:r>
      <w:r w:rsidRPr="008D792E">
        <w:t xml:space="preserve"> sources of data, proportionate to the nuclear hazard potential from the site.</w:t>
      </w:r>
      <w:r w:rsidR="0094720A" w:rsidRPr="00547634">
        <w:t xml:space="preserve"> RGP in respect of available data for </w:t>
      </w:r>
      <w:r w:rsidR="00640E70">
        <w:t>NEHs</w:t>
      </w:r>
      <w:r w:rsidR="0094720A" w:rsidRPr="00547634">
        <w:t xml:space="preserve"> is covered in detail in Annexes 1 – 3 and the Expert Panel papers that support them.</w:t>
      </w:r>
      <w:r w:rsidRPr="008D792E">
        <w:t xml:space="preserve"> </w:t>
      </w:r>
    </w:p>
    <w:p w14:paraId="0640DC40" w14:textId="0715C4FD" w:rsidR="00673249" w:rsidRPr="00F50C07" w:rsidRDefault="001B650A" w:rsidP="000D6BF8">
      <w:pPr>
        <w:pStyle w:val="F9-Paragraph"/>
        <w:ind w:hanging="502"/>
      </w:pPr>
      <w:r w:rsidRPr="00F50C07">
        <w:t xml:space="preserve">Licensees should provide </w:t>
      </w:r>
      <w:r w:rsidRPr="00547634">
        <w:t>evidence</w:t>
      </w:r>
      <w:r w:rsidRPr="00F50C07">
        <w:t xml:space="preserve"> that uncertainties have been </w:t>
      </w:r>
      <w:r w:rsidRPr="00547634">
        <w:t xml:space="preserve">accounted for </w:t>
      </w:r>
      <w:r w:rsidRPr="00F50C07">
        <w:t>and adequate margins/</w:t>
      </w:r>
      <w:r w:rsidRPr="00547634">
        <w:t xml:space="preserve">contingencies </w:t>
      </w:r>
      <w:r w:rsidRPr="00F50C07">
        <w:t xml:space="preserve">have been included when defining the </w:t>
      </w:r>
      <w:r w:rsidR="00F50C07" w:rsidRPr="00F50C07">
        <w:t>DBEs</w:t>
      </w:r>
      <w:r w:rsidRPr="00F50C07">
        <w:t>.</w:t>
      </w:r>
    </w:p>
    <w:p w14:paraId="442ACB87" w14:textId="5A02E0FB" w:rsidR="00673249" w:rsidRPr="005A12C5" w:rsidRDefault="00673249" w:rsidP="000D6BF8">
      <w:pPr>
        <w:pStyle w:val="F9-Paragraph"/>
        <w:ind w:hanging="502"/>
      </w:pPr>
      <w:r w:rsidRPr="005A12C5">
        <w:t>SAP EHA.1 calls for an effective process to identify and characterise all EH</w:t>
      </w:r>
      <w:r w:rsidR="004905B5">
        <w:t>s</w:t>
      </w:r>
      <w:r w:rsidRPr="005A12C5">
        <w:t xml:space="preserve"> (and internal hazards) that could affect the safety of a facility; SAPs AV.1 – AV.4 and AV.6 provide guidance collectively on the adequacy of site / plant models, calculation methods, data and the uncertainties that surround them. The </w:t>
      </w:r>
      <w:r w:rsidR="008D513C">
        <w:t>DB</w:t>
      </w:r>
      <w:r w:rsidRPr="005A12C5">
        <w:t xml:space="preserve"> criterion for natural EHs corresponds to a hazard severity having an annual exceedance </w:t>
      </w:r>
      <w:r w:rsidR="00D017D3">
        <w:t>frequency</w:t>
      </w:r>
      <w:r w:rsidRPr="005A12C5">
        <w:t>, conservatively evaluated, of 10</w:t>
      </w:r>
      <w:r w:rsidRPr="00F8764A">
        <w:rPr>
          <w:vertAlign w:val="superscript"/>
        </w:rPr>
        <w:t>-4</w:t>
      </w:r>
      <w:r w:rsidR="00E61B31">
        <w:t>/y</w:t>
      </w:r>
      <w:r w:rsidR="00C32E3B" w:rsidRPr="00547634">
        <w:t xml:space="preserve">. Or alternatively, mean based at an annual exceedance </w:t>
      </w:r>
      <w:r w:rsidR="00463E8F">
        <w:t>frequency</w:t>
      </w:r>
      <w:r w:rsidR="00C32E3B" w:rsidRPr="00547634">
        <w:t xml:space="preserve"> of 10</w:t>
      </w:r>
      <w:r w:rsidR="00C32E3B" w:rsidRPr="00F8764A">
        <w:rPr>
          <w:vertAlign w:val="superscript"/>
        </w:rPr>
        <w:t>-5</w:t>
      </w:r>
      <w:r w:rsidR="00E61B31">
        <w:t>/y</w:t>
      </w:r>
      <w:r w:rsidR="00C32E3B" w:rsidRPr="00547634">
        <w:t>.</w:t>
      </w:r>
      <w:r w:rsidRPr="005A12C5">
        <w:t xml:space="preserve"> Furthermore SAP EHA.19 (screening) calls for an analysis of less frequent hazards than those associated with the </w:t>
      </w:r>
      <w:r w:rsidR="008D513C">
        <w:t>DB</w:t>
      </w:r>
      <w:r w:rsidRPr="005A12C5">
        <w:t xml:space="preserve"> wh</w:t>
      </w:r>
      <w:r w:rsidR="00351A2B" w:rsidRPr="00547634">
        <w:t>ere</w:t>
      </w:r>
      <w:r w:rsidRPr="005A12C5">
        <w:t xml:space="preserve"> </w:t>
      </w:r>
      <w:r w:rsidR="00351A2B" w:rsidRPr="00547634">
        <w:t xml:space="preserve">nuclear safety </w:t>
      </w:r>
      <w:r w:rsidRPr="005A12C5">
        <w:t xml:space="preserve">could </w:t>
      </w:r>
      <w:r w:rsidR="00351A2B" w:rsidRPr="00547634">
        <w:t>be</w:t>
      </w:r>
      <w:r w:rsidRPr="005A12C5">
        <w:t xml:space="preserve"> affect</w:t>
      </w:r>
      <w:r w:rsidR="00351A2B" w:rsidRPr="00547634">
        <w:t>ed</w:t>
      </w:r>
      <w:r w:rsidRPr="005A12C5">
        <w:t>. The evaluation of hazard severities corresponding to such extreme</w:t>
      </w:r>
      <w:r w:rsidR="00C32E3B" w:rsidRPr="00547634">
        <w:t>ly low</w:t>
      </w:r>
      <w:r w:rsidRPr="005A12C5">
        <w:t xml:space="preserve"> probabilities is particularly problematic for </w:t>
      </w:r>
      <w:r w:rsidR="00640E70">
        <w:t>NEHs</w:t>
      </w:r>
      <w:r w:rsidRPr="005A12C5">
        <w:t xml:space="preserve"> due to </w:t>
      </w:r>
      <w:r w:rsidR="00C32E3B" w:rsidRPr="00547634">
        <w:t>limited</w:t>
      </w:r>
      <w:r w:rsidRPr="005A12C5">
        <w:t xml:space="preserve"> data, and due to an incomplete understanding of the underlying physical processes. These limitations mean that there is significant uncertainty involved in some hazard analysis.</w:t>
      </w:r>
    </w:p>
    <w:p w14:paraId="467D77E1" w14:textId="7CAD447D" w:rsidR="00673249" w:rsidRPr="00C318FB" w:rsidRDefault="00945BD9" w:rsidP="000D6BF8">
      <w:pPr>
        <w:pStyle w:val="F9-Paragraph"/>
        <w:ind w:hanging="502"/>
      </w:pPr>
      <w:r w:rsidRPr="00547634">
        <w:t>In general</w:t>
      </w:r>
      <w:r w:rsidR="00112C34" w:rsidRPr="00547634">
        <w:t>,</w:t>
      </w:r>
      <w:r w:rsidR="007F326B" w:rsidRPr="00547634">
        <w:t xml:space="preserve"> uncertainty </w:t>
      </w:r>
      <w:r w:rsidR="00112C34" w:rsidRPr="00547634">
        <w:t xml:space="preserve">can be divided </w:t>
      </w:r>
      <w:r w:rsidR="007F326B" w:rsidRPr="00547634">
        <w:t>into the t</w:t>
      </w:r>
      <w:r w:rsidR="00673249" w:rsidRPr="00F24741">
        <w:t xml:space="preserve">wo </w:t>
      </w:r>
      <w:r w:rsidR="007F326B" w:rsidRPr="00547634">
        <w:t>following types</w:t>
      </w:r>
      <w:r w:rsidR="00673249" w:rsidRPr="00F24741">
        <w:t>:</w:t>
      </w:r>
      <w:r w:rsidR="00D813A7" w:rsidRPr="000D6BF8">
        <w:t xml:space="preserve"> </w:t>
      </w:r>
      <w:r w:rsidR="00673249" w:rsidRPr="00547634">
        <w:t>Aleatory variability</w:t>
      </w:r>
      <w:r w:rsidR="00673249" w:rsidRPr="00150754">
        <w:t xml:space="preserve"> </w:t>
      </w:r>
      <w:r w:rsidR="00D813A7" w:rsidRPr="00150754">
        <w:t xml:space="preserve">and </w:t>
      </w:r>
      <w:r w:rsidR="00673249" w:rsidRPr="00547634">
        <w:t>Epistemic uncertainty</w:t>
      </w:r>
      <w:r w:rsidR="009715AE" w:rsidRPr="00C318FB">
        <w:t xml:space="preserve">. </w:t>
      </w:r>
      <w:r w:rsidR="00673249" w:rsidRPr="00C318FB">
        <w:t xml:space="preserve">Classifying uncertainty in this way </w:t>
      </w:r>
      <w:r w:rsidR="00112C34" w:rsidRPr="00547634">
        <w:t>is often</w:t>
      </w:r>
      <w:r w:rsidR="00673249" w:rsidRPr="00C318FB">
        <w:t xml:space="preserve"> a convenient way of di</w:t>
      </w:r>
      <w:r w:rsidR="007F326B" w:rsidRPr="00547634">
        <w:t>viding</w:t>
      </w:r>
      <w:r w:rsidR="00673249" w:rsidRPr="00C318FB">
        <w:t xml:space="preserve"> a complex uncertainty problem into elements that can be treated analytically in different ways. </w:t>
      </w:r>
      <w:r w:rsidR="007F326B" w:rsidRPr="00547634">
        <w:t>This</w:t>
      </w:r>
      <w:r w:rsidR="00673249" w:rsidRPr="00C318FB">
        <w:t xml:space="preserve"> has become common practice in seismic hazard evaluations but not for other </w:t>
      </w:r>
      <w:r w:rsidR="00BB52FE">
        <w:t>EHs</w:t>
      </w:r>
      <w:r w:rsidR="008C6027" w:rsidRPr="00547634">
        <w:t>,</w:t>
      </w:r>
      <w:r w:rsidR="00673249" w:rsidRPr="00C318FB">
        <w:t xml:space="preserve"> </w:t>
      </w:r>
      <w:r w:rsidR="00693A2B" w:rsidRPr="00C318FB">
        <w:t>where</w:t>
      </w:r>
      <w:r w:rsidR="00112C34" w:rsidRPr="00547634">
        <w:t xml:space="preserve"> uncertainty</w:t>
      </w:r>
      <w:r w:rsidR="00673249" w:rsidRPr="00C318FB">
        <w:t xml:space="preserve"> </w:t>
      </w:r>
      <w:r w:rsidR="00693A2B" w:rsidRPr="00C318FB">
        <w:t xml:space="preserve">is treated </w:t>
      </w:r>
      <w:r w:rsidR="00673249" w:rsidRPr="00C318FB">
        <w:t>by the method described next.</w:t>
      </w:r>
    </w:p>
    <w:p w14:paraId="566CDA10" w14:textId="1739D009" w:rsidR="00673249" w:rsidRPr="00547634" w:rsidRDefault="00112C34" w:rsidP="000D6BF8">
      <w:pPr>
        <w:pStyle w:val="F9-Paragraph"/>
        <w:ind w:hanging="502"/>
      </w:pPr>
      <w:r w:rsidRPr="00547634">
        <w:t>With the exception of</w:t>
      </w:r>
      <w:r w:rsidR="00673249" w:rsidRPr="008B23CC">
        <w:t xml:space="preserve"> the seismic hazard, determining the frequency of </w:t>
      </w:r>
      <w:r w:rsidR="000539F8">
        <w:t>NEHs</w:t>
      </w:r>
      <w:r w:rsidR="00673249" w:rsidRPr="008B23CC">
        <w:t xml:space="preserve"> us</w:t>
      </w:r>
      <w:r w:rsidRPr="00547634">
        <w:t>e</w:t>
      </w:r>
      <w:r w:rsidR="00E131F1">
        <w:t>s</w:t>
      </w:r>
      <w:r w:rsidRPr="00547634">
        <w:t xml:space="preserve"> the statistical method of</w:t>
      </w:r>
      <w:r w:rsidR="00673249" w:rsidRPr="008B23CC">
        <w:t xml:space="preserve"> extreme value analysis (EVA). </w:t>
      </w:r>
      <w:r w:rsidR="0029616B">
        <w:t xml:space="preserve">EVA </w:t>
      </w:r>
      <w:r w:rsidRPr="00547634">
        <w:t>models do not differentiate between</w:t>
      </w:r>
      <w:r w:rsidR="00673249" w:rsidRPr="008B23CC">
        <w:t xml:space="preserve"> aleatory and epistemic uncertainty.</w:t>
      </w:r>
      <w:r w:rsidR="00673249" w:rsidRPr="00547634">
        <w:t xml:space="preserve"> </w:t>
      </w:r>
    </w:p>
    <w:p w14:paraId="28F68429" w14:textId="4B726EBA" w:rsidR="00673249" w:rsidRPr="008B23CC" w:rsidRDefault="00673249" w:rsidP="000D6BF8">
      <w:pPr>
        <w:pStyle w:val="F9-Paragraph"/>
        <w:ind w:hanging="502"/>
      </w:pPr>
      <w:r w:rsidRPr="008B23CC">
        <w:t xml:space="preserve">For meteorological hazards, climate change is </w:t>
      </w:r>
      <w:r w:rsidR="00C97749" w:rsidRPr="00547634">
        <w:t>an additional</w:t>
      </w:r>
      <w:r w:rsidRPr="008B23CC">
        <w:t xml:space="preserve"> source of uncertainty</w:t>
      </w:r>
      <w:r w:rsidR="00C97749" w:rsidRPr="00547634">
        <w:t xml:space="preserve"> </w:t>
      </w:r>
      <w:r w:rsidR="00EB0097">
        <w:t xml:space="preserve">requiring </w:t>
      </w:r>
      <w:r w:rsidR="009728F6">
        <w:t>consideration</w:t>
      </w:r>
      <w:r w:rsidR="00C97749" w:rsidRPr="00547634">
        <w:t xml:space="preserve"> over the lifetime of the facility, see section </w:t>
      </w:r>
      <w:r w:rsidR="00951216">
        <w:fldChar w:fldCharType="begin"/>
      </w:r>
      <w:r w:rsidR="00951216">
        <w:instrText xml:space="preserve"> REF _Ref138753845 \r \h </w:instrText>
      </w:r>
      <w:r w:rsidR="00221C99">
        <w:instrText xml:space="preserve"> \* MERGEFORMAT </w:instrText>
      </w:r>
      <w:r w:rsidR="00951216">
        <w:fldChar w:fldCharType="separate"/>
      </w:r>
      <w:r w:rsidR="008B51F7">
        <w:t>5.6.10</w:t>
      </w:r>
      <w:r w:rsidR="00951216">
        <w:fldChar w:fldCharType="end"/>
      </w:r>
      <w:r w:rsidRPr="008B23CC">
        <w:t xml:space="preserve">. </w:t>
      </w:r>
    </w:p>
    <w:p w14:paraId="7095307A" w14:textId="235A9516" w:rsidR="00673249" w:rsidRPr="00FD0A98" w:rsidRDefault="003B5FF4" w:rsidP="000D6BF8">
      <w:pPr>
        <w:pStyle w:val="F9-Paragraph"/>
        <w:ind w:hanging="502"/>
      </w:pPr>
      <w:r w:rsidRPr="00D238B9">
        <w:lastRenderedPageBreak/>
        <w:t xml:space="preserve">The inspector should ensure that the methods adopted for uncertainty analysis are reasonable, consistent with appropriate RGP, and that the results are not </w:t>
      </w:r>
      <w:r w:rsidR="00C97749" w:rsidRPr="00547634">
        <w:t xml:space="preserve">overly </w:t>
      </w:r>
      <w:r w:rsidRPr="00D238B9">
        <w:t>sensitive to specific assumptions or</w:t>
      </w:r>
      <w:r w:rsidR="007F73B9">
        <w:t>,</w:t>
      </w:r>
      <w:r w:rsidRPr="00D238B9">
        <w:t xml:space="preserve"> if they are</w:t>
      </w:r>
      <w:r w:rsidR="00C97749" w:rsidRPr="00547634">
        <w:t>,</w:t>
      </w:r>
      <w:r w:rsidRPr="00D238B9">
        <w:t xml:space="preserve"> that this is well understood and does not undermine the overall safety analysis.</w:t>
      </w:r>
      <w:r w:rsidR="00C97749" w:rsidRPr="00547634">
        <w:t xml:space="preserve"> In such instances,</w:t>
      </w:r>
      <w:r w:rsidRPr="00FD0A98">
        <w:t xml:space="preserve"> </w:t>
      </w:r>
      <w:r w:rsidR="00C97749" w:rsidRPr="00547634">
        <w:t>a</w:t>
      </w:r>
      <w:r w:rsidRPr="00FD0A98">
        <w:t xml:space="preserve"> specific range of sensitivity studies should be considered; </w:t>
      </w:r>
      <w:r w:rsidR="0007440A">
        <w:t xml:space="preserve">SAP </w:t>
      </w:r>
      <w:r w:rsidRPr="00FD0A98">
        <w:t>ERL.1 provides further guidance.</w:t>
      </w:r>
    </w:p>
    <w:p w14:paraId="7F16C1BA" w14:textId="69A545ED" w:rsidR="001B650A" w:rsidRDefault="001B650A" w:rsidP="000D6BF8">
      <w:pPr>
        <w:pStyle w:val="F9-Paragraph"/>
        <w:ind w:hanging="502"/>
      </w:pPr>
      <w:r w:rsidRPr="00FD0A98">
        <w:t xml:space="preserve">For sites where the unmitigated consequences arising from an EH are low (SAP paragraph 241), </w:t>
      </w:r>
      <w:r w:rsidRPr="00547634">
        <w:t>appropriate</w:t>
      </w:r>
      <w:r w:rsidRPr="00FD0A98">
        <w:t xml:space="preserve"> hazard data from conventional </w:t>
      </w:r>
      <w:r w:rsidRPr="00547634">
        <w:t>standards</w:t>
      </w:r>
      <w:r w:rsidRPr="00FD0A98">
        <w:t xml:space="preserve"> may be acceptable. For the less significant </w:t>
      </w:r>
      <w:r w:rsidR="0007440A">
        <w:t>NEHs</w:t>
      </w:r>
      <w:r w:rsidRPr="00FD0A98">
        <w:t xml:space="preserve"> and for industrial hazards, the complexity of the analysis depends on a number of factors that are site-specific. Details of the analysis techniques and the degree of expertise required for the assessment of site-specific analyses in support of nuclear safety cases are provided as a </w:t>
      </w:r>
      <w:r w:rsidRPr="00547634">
        <w:t>set</w:t>
      </w:r>
      <w:r w:rsidRPr="00FD0A98">
        <w:t xml:space="preserve"> of annexes, as follows</w:t>
      </w:r>
      <w:r w:rsidRPr="003A5E69">
        <w:t>:</w:t>
      </w:r>
    </w:p>
    <w:p w14:paraId="2712E878" w14:textId="6FDAB618" w:rsidR="001B650A" w:rsidRPr="00874B5E" w:rsidRDefault="001B650A" w:rsidP="00547634">
      <w:pPr>
        <w:pStyle w:val="Bulletlist1"/>
        <w:ind w:left="1417"/>
      </w:pPr>
      <w:r w:rsidRPr="00874B5E">
        <w:t xml:space="preserve">Annex 1 – </w:t>
      </w:r>
      <w:r>
        <w:t>Seismic</w:t>
      </w:r>
      <w:r w:rsidRPr="00874B5E">
        <w:t xml:space="preserve"> hazards</w:t>
      </w:r>
      <w:sdt>
        <w:sdtPr>
          <w:rPr>
            <w:rStyle w:val="TSNumberedParagraph1Char"/>
            <w:rFonts w:eastAsia="Calibri"/>
          </w:rPr>
          <w:id w:val="1105158976"/>
          <w:citation/>
        </w:sdtPr>
        <w:sdtContent>
          <w:r w:rsidRPr="009D03C1">
            <w:rPr>
              <w:rStyle w:val="TSNumberedParagraph1Char"/>
              <w:rFonts w:eastAsia="Calibri"/>
            </w:rPr>
            <w:fldChar w:fldCharType="begin"/>
          </w:r>
          <w:r>
            <w:rPr>
              <w:rStyle w:val="TSNumberedParagraph1Char"/>
              <w:rFonts w:eastAsia="Calibri"/>
            </w:rPr>
            <w:instrText xml:space="preserve">CITATION ONR17 \l 2057 </w:instrText>
          </w:r>
          <w:r w:rsidRPr="009D03C1">
            <w:rPr>
              <w:rStyle w:val="TSNumberedParagraph1Char"/>
              <w:rFonts w:eastAsia="Calibri"/>
            </w:rPr>
            <w:fldChar w:fldCharType="separate"/>
          </w:r>
          <w:r w:rsidR="002A4EED">
            <w:rPr>
              <w:rStyle w:val="TSNumberedParagraph1Char"/>
              <w:rFonts w:eastAsia="Calibri"/>
            </w:rPr>
            <w:t xml:space="preserve"> </w:t>
          </w:r>
          <w:r w:rsidR="002A4EED" w:rsidRPr="002A4EED">
            <w:rPr>
              <w:rFonts w:cs="Times New Roman"/>
              <w:sz w:val="22"/>
              <w:szCs w:val="24"/>
            </w:rPr>
            <w:t>[3]</w:t>
          </w:r>
          <w:r w:rsidRPr="009D03C1">
            <w:rPr>
              <w:rStyle w:val="TSNumberedParagraph1Char"/>
              <w:rFonts w:eastAsia="Calibri"/>
            </w:rPr>
            <w:fldChar w:fldCharType="end"/>
          </w:r>
        </w:sdtContent>
      </w:sdt>
      <w:r w:rsidRPr="009D03C1">
        <w:rPr>
          <w:rStyle w:val="TSNumberedParagraph1Char"/>
          <w:rFonts w:eastAsia="Calibri"/>
        </w:rPr>
        <w:t xml:space="preserve"> and</w:t>
      </w:r>
      <w:r w:rsidRPr="00874B5E">
        <w:t xml:space="preserve"> supporting Expert Panel paper</w:t>
      </w:r>
      <w:sdt>
        <w:sdtPr>
          <w:id w:val="-1097403683"/>
          <w:citation/>
        </w:sdtPr>
        <w:sdtContent>
          <w:r w:rsidR="00984761">
            <w:fldChar w:fldCharType="begin"/>
          </w:r>
          <w:r w:rsidR="002A4EED">
            <w:instrText xml:space="preserve">CITATION ONR163 \l 2057 </w:instrText>
          </w:r>
          <w:r w:rsidR="00984761">
            <w:fldChar w:fldCharType="separate"/>
          </w:r>
          <w:r w:rsidR="002A4EED">
            <w:t xml:space="preserve"> </w:t>
          </w:r>
          <w:r w:rsidR="002A4EED" w:rsidRPr="002A4EED">
            <w:t>[10]</w:t>
          </w:r>
          <w:r w:rsidR="00984761">
            <w:fldChar w:fldCharType="end"/>
          </w:r>
        </w:sdtContent>
      </w:sdt>
    </w:p>
    <w:p w14:paraId="1B6D0CA7" w14:textId="51E444C8" w:rsidR="001B650A" w:rsidRPr="00874B5E" w:rsidRDefault="001B650A" w:rsidP="00547634">
      <w:pPr>
        <w:pStyle w:val="Bulletlist1"/>
        <w:spacing w:before="120"/>
      </w:pPr>
      <w:r w:rsidRPr="00874B5E">
        <w:t>Annex 2 – Meteorological hazards</w:t>
      </w:r>
      <w:sdt>
        <w:sdtPr>
          <w:rPr>
            <w:rStyle w:val="TSNumberedParagraph1Char"/>
            <w:rFonts w:eastAsia="Calibri"/>
          </w:rPr>
          <w:id w:val="300736759"/>
          <w:citation/>
        </w:sdtPr>
        <w:sdtContent>
          <w:r w:rsidRPr="009D03C1">
            <w:rPr>
              <w:rStyle w:val="TSNumberedParagraph1Char"/>
              <w:rFonts w:eastAsia="Calibri"/>
            </w:rPr>
            <w:fldChar w:fldCharType="begin"/>
          </w:r>
          <w:r>
            <w:rPr>
              <w:rStyle w:val="TSNumberedParagraph1Char"/>
              <w:rFonts w:eastAsia="Calibri"/>
            </w:rPr>
            <w:instrText xml:space="preserve">CITATION ONR171 \l 2057 </w:instrText>
          </w:r>
          <w:r w:rsidRPr="009D03C1">
            <w:rPr>
              <w:rStyle w:val="TSNumberedParagraph1Char"/>
              <w:rFonts w:eastAsia="Calibri"/>
            </w:rPr>
            <w:fldChar w:fldCharType="separate"/>
          </w:r>
          <w:r w:rsidR="002A4EED">
            <w:rPr>
              <w:rStyle w:val="TSNumberedParagraph1Char"/>
              <w:rFonts w:eastAsia="Calibri"/>
            </w:rPr>
            <w:t xml:space="preserve"> </w:t>
          </w:r>
          <w:r w:rsidR="002A4EED" w:rsidRPr="002A4EED">
            <w:rPr>
              <w:rFonts w:cs="Times New Roman"/>
              <w:sz w:val="22"/>
              <w:szCs w:val="24"/>
            </w:rPr>
            <w:t>[4]</w:t>
          </w:r>
          <w:r w:rsidRPr="009D03C1">
            <w:rPr>
              <w:rStyle w:val="TSNumberedParagraph1Char"/>
              <w:rFonts w:eastAsia="Calibri"/>
            </w:rPr>
            <w:fldChar w:fldCharType="end"/>
          </w:r>
        </w:sdtContent>
      </w:sdt>
      <w:r w:rsidRPr="00874B5E">
        <w:t xml:space="preserve"> and supporting Expert Panel paper</w:t>
      </w:r>
      <w:sdt>
        <w:sdtPr>
          <w:rPr>
            <w:rStyle w:val="TSNumberedParagraph1Char"/>
            <w:rFonts w:eastAsia="Calibri"/>
          </w:rPr>
          <w:id w:val="2117798329"/>
          <w:citation/>
        </w:sdtPr>
        <w:sdtContent>
          <w:r w:rsidRPr="009D03C1">
            <w:rPr>
              <w:rStyle w:val="TSNumberedParagraph1Char"/>
              <w:rFonts w:eastAsia="Calibri"/>
            </w:rPr>
            <w:fldChar w:fldCharType="begin"/>
          </w:r>
          <w:r w:rsidR="002A4EED">
            <w:rPr>
              <w:rStyle w:val="TSNumberedParagraph1Char"/>
              <w:rFonts w:eastAsia="Calibri"/>
            </w:rPr>
            <w:instrText xml:space="preserve">CITATION ONR164 \l 2057 </w:instrText>
          </w:r>
          <w:r w:rsidRPr="009D03C1">
            <w:rPr>
              <w:rStyle w:val="TSNumberedParagraph1Char"/>
              <w:rFonts w:eastAsia="Calibri"/>
            </w:rPr>
            <w:fldChar w:fldCharType="separate"/>
          </w:r>
          <w:r w:rsidR="002A4EED">
            <w:rPr>
              <w:rStyle w:val="TSNumberedParagraph1Char"/>
              <w:rFonts w:eastAsia="Calibri"/>
            </w:rPr>
            <w:t xml:space="preserve"> </w:t>
          </w:r>
          <w:r w:rsidR="002A4EED" w:rsidRPr="002A4EED">
            <w:rPr>
              <w:rFonts w:cs="Times New Roman"/>
              <w:sz w:val="22"/>
              <w:szCs w:val="24"/>
            </w:rPr>
            <w:t>[9]</w:t>
          </w:r>
          <w:r w:rsidRPr="009D03C1">
            <w:rPr>
              <w:rStyle w:val="TSNumberedParagraph1Char"/>
              <w:rFonts w:eastAsia="Calibri"/>
            </w:rPr>
            <w:fldChar w:fldCharType="end"/>
          </w:r>
        </w:sdtContent>
      </w:sdt>
    </w:p>
    <w:p w14:paraId="418B19F7" w14:textId="5A1357FE" w:rsidR="001B650A" w:rsidRPr="006B21BF" w:rsidRDefault="001B650A" w:rsidP="00547634">
      <w:pPr>
        <w:pStyle w:val="Bulletlist1"/>
        <w:spacing w:before="120"/>
      </w:pPr>
      <w:r>
        <w:t xml:space="preserve">Annex 3 </w:t>
      </w:r>
      <w:r w:rsidRPr="006B21BF">
        <w:t xml:space="preserve">– Coastal </w:t>
      </w:r>
      <w:r w:rsidRPr="006B21BF">
        <w:rPr>
          <w:rStyle w:val="TSNumberedParagraph1Char"/>
          <w:rFonts w:eastAsia="Calibri"/>
        </w:rPr>
        <w:t>flood</w:t>
      </w:r>
      <w:sdt>
        <w:sdtPr>
          <w:rPr>
            <w:rStyle w:val="TSNumberedParagraph1Char"/>
            <w:rFonts w:eastAsia="Calibri"/>
          </w:rPr>
          <w:id w:val="-785661759"/>
          <w:citation/>
        </w:sdtPr>
        <w:sdtContent>
          <w:r w:rsidRPr="006B21BF">
            <w:rPr>
              <w:rStyle w:val="TSNumberedParagraph1Char"/>
              <w:rFonts w:eastAsia="Calibri"/>
            </w:rPr>
            <w:fldChar w:fldCharType="begin"/>
          </w:r>
          <w:r w:rsidRPr="006B21BF">
            <w:rPr>
              <w:rStyle w:val="TSNumberedParagraph1Char"/>
              <w:rFonts w:eastAsia="Calibri"/>
            </w:rPr>
            <w:instrText xml:space="preserve">CITATION ONR172 \l 2057 </w:instrText>
          </w:r>
          <w:r w:rsidRPr="006B21BF">
            <w:rPr>
              <w:rStyle w:val="TSNumberedParagraph1Char"/>
              <w:rFonts w:eastAsia="Calibri"/>
            </w:rPr>
            <w:fldChar w:fldCharType="separate"/>
          </w:r>
          <w:r w:rsidR="002A4EED">
            <w:rPr>
              <w:rStyle w:val="TSNumberedParagraph1Char"/>
              <w:rFonts w:eastAsia="Calibri"/>
            </w:rPr>
            <w:t xml:space="preserve"> </w:t>
          </w:r>
          <w:r w:rsidR="002A4EED" w:rsidRPr="002A4EED">
            <w:rPr>
              <w:rFonts w:cs="Times New Roman"/>
              <w:sz w:val="22"/>
              <w:szCs w:val="24"/>
            </w:rPr>
            <w:t>[5]</w:t>
          </w:r>
          <w:r w:rsidRPr="006B21BF">
            <w:rPr>
              <w:rStyle w:val="TSNumberedParagraph1Char"/>
              <w:rFonts w:eastAsia="Calibri"/>
            </w:rPr>
            <w:fldChar w:fldCharType="end"/>
          </w:r>
        </w:sdtContent>
      </w:sdt>
      <w:r w:rsidRPr="006B21BF">
        <w:rPr>
          <w:rStyle w:val="TSNumberedParagraph1Char"/>
          <w:rFonts w:eastAsia="Calibri"/>
        </w:rPr>
        <w:t xml:space="preserve"> and</w:t>
      </w:r>
      <w:r w:rsidRPr="006B21BF">
        <w:t xml:space="preserve"> supporting Expert Panel paper</w:t>
      </w:r>
      <w:sdt>
        <w:sdtPr>
          <w:rPr>
            <w:rStyle w:val="TSNumberedParagraph1Char"/>
            <w:rFonts w:eastAsia="Calibri"/>
          </w:rPr>
          <w:id w:val="1790770501"/>
          <w:citation/>
        </w:sdtPr>
        <w:sdtContent>
          <w:r w:rsidRPr="006B21BF">
            <w:rPr>
              <w:rStyle w:val="TSNumberedParagraph1Char"/>
              <w:rFonts w:eastAsia="Calibri"/>
            </w:rPr>
            <w:fldChar w:fldCharType="begin"/>
          </w:r>
          <w:r w:rsidR="002A4EED">
            <w:rPr>
              <w:rStyle w:val="TSNumberedParagraph1Char"/>
              <w:rFonts w:eastAsia="Calibri"/>
            </w:rPr>
            <w:instrText xml:space="preserve">CITATION ONR165 \l 2057 </w:instrText>
          </w:r>
          <w:r w:rsidRPr="006B21BF">
            <w:rPr>
              <w:rStyle w:val="TSNumberedParagraph1Char"/>
              <w:rFonts w:eastAsia="Calibri"/>
            </w:rPr>
            <w:fldChar w:fldCharType="separate"/>
          </w:r>
          <w:r w:rsidR="002A4EED">
            <w:rPr>
              <w:rStyle w:val="TSNumberedParagraph1Char"/>
              <w:rFonts w:eastAsia="Calibri"/>
            </w:rPr>
            <w:t xml:space="preserve"> </w:t>
          </w:r>
          <w:r w:rsidR="002A4EED" w:rsidRPr="002A4EED">
            <w:rPr>
              <w:rFonts w:cs="Times New Roman"/>
              <w:sz w:val="22"/>
              <w:szCs w:val="24"/>
            </w:rPr>
            <w:t>[8]</w:t>
          </w:r>
          <w:r w:rsidRPr="006B21BF">
            <w:rPr>
              <w:rStyle w:val="TSNumberedParagraph1Char"/>
              <w:rFonts w:eastAsia="Calibri"/>
            </w:rPr>
            <w:fldChar w:fldCharType="end"/>
          </w:r>
        </w:sdtContent>
      </w:sdt>
    </w:p>
    <w:p w14:paraId="106FF485" w14:textId="3A3BD763" w:rsidR="001B650A" w:rsidRDefault="001B650A">
      <w:pPr>
        <w:pStyle w:val="Bulletlist1"/>
        <w:spacing w:before="120"/>
        <w:rPr>
          <w:rStyle w:val="TSNumberedParagraph1Char"/>
          <w:rFonts w:eastAsia="Calibri"/>
        </w:rPr>
      </w:pPr>
      <w:r w:rsidRPr="006B21BF">
        <w:t xml:space="preserve">Annex 4 – Aircraft crash </w:t>
      </w:r>
      <w:r w:rsidRPr="00547634">
        <w:t xml:space="preserve">and impact </w:t>
      </w:r>
      <w:r w:rsidRPr="006B21BF">
        <w:rPr>
          <w:rStyle w:val="TSNumberedParagraph1Char"/>
          <w:rFonts w:eastAsia="Calibri"/>
        </w:rPr>
        <w:t>hazard</w:t>
      </w:r>
      <w:sdt>
        <w:sdtPr>
          <w:rPr>
            <w:rStyle w:val="TSNumberedParagraph1Char"/>
            <w:rFonts w:eastAsia="Calibri"/>
          </w:rPr>
          <w:id w:val="-38361301"/>
          <w:citation/>
        </w:sdtPr>
        <w:sdtContent>
          <w:r w:rsidRPr="006B21BF">
            <w:rPr>
              <w:rStyle w:val="TSNumberedParagraph1Char"/>
              <w:rFonts w:eastAsia="Calibri"/>
            </w:rPr>
            <w:fldChar w:fldCharType="begin"/>
          </w:r>
          <w:r w:rsidRPr="006B21BF">
            <w:rPr>
              <w:rStyle w:val="TSNumberedParagraph1Char"/>
              <w:rFonts w:eastAsia="Calibri"/>
            </w:rPr>
            <w:instrText xml:space="preserve">CITATION ONR1 \l 2057 </w:instrText>
          </w:r>
          <w:r w:rsidRPr="006B21BF">
            <w:rPr>
              <w:rStyle w:val="TSNumberedParagraph1Char"/>
              <w:rFonts w:eastAsia="Calibri"/>
            </w:rPr>
            <w:fldChar w:fldCharType="separate"/>
          </w:r>
          <w:r w:rsidR="002A4EED">
            <w:rPr>
              <w:rStyle w:val="TSNumberedParagraph1Char"/>
              <w:rFonts w:eastAsia="Calibri"/>
            </w:rPr>
            <w:t xml:space="preserve"> </w:t>
          </w:r>
          <w:r w:rsidR="002A4EED" w:rsidRPr="002A4EED">
            <w:rPr>
              <w:rFonts w:cs="Times New Roman"/>
              <w:sz w:val="22"/>
              <w:szCs w:val="24"/>
            </w:rPr>
            <w:t>[6]</w:t>
          </w:r>
          <w:r w:rsidRPr="006B21BF">
            <w:rPr>
              <w:rStyle w:val="TSNumberedParagraph1Char"/>
              <w:rFonts w:eastAsia="Calibri"/>
            </w:rPr>
            <w:fldChar w:fldCharType="end"/>
          </w:r>
        </w:sdtContent>
      </w:sdt>
    </w:p>
    <w:p w14:paraId="0244F0B3" w14:textId="25EA46B3" w:rsidR="00D40D98" w:rsidRPr="00547634" w:rsidRDefault="00D40D98">
      <w:pPr>
        <w:pStyle w:val="Bulletlist1"/>
        <w:spacing w:before="120"/>
        <w:rPr>
          <w:rFonts w:cs="Times New Roman"/>
          <w:sz w:val="22"/>
          <w:szCs w:val="24"/>
        </w:rPr>
      </w:pPr>
      <w:r>
        <w:t>Annex 5</w:t>
      </w:r>
      <w:r w:rsidRPr="006B21BF">
        <w:t xml:space="preserve"> – </w:t>
      </w:r>
      <w:r>
        <w:t>Other hazards</w:t>
      </w:r>
      <w:sdt>
        <w:sdtPr>
          <w:id w:val="1036475356"/>
          <w:citation/>
        </w:sdtPr>
        <w:sdtContent>
          <w:r>
            <w:fldChar w:fldCharType="begin"/>
          </w:r>
          <w:r>
            <w:instrText xml:space="preserve"> CITATION ONR \l 2057 </w:instrText>
          </w:r>
          <w:r>
            <w:fldChar w:fldCharType="separate"/>
          </w:r>
          <w:r w:rsidR="002A4EED">
            <w:t xml:space="preserve"> </w:t>
          </w:r>
          <w:r w:rsidR="002A4EED" w:rsidRPr="002A4EED">
            <w:t>[7]</w:t>
          </w:r>
          <w:r>
            <w:fldChar w:fldCharType="end"/>
          </w:r>
        </w:sdtContent>
      </w:sdt>
    </w:p>
    <w:p w14:paraId="04E360F5" w14:textId="58FC2ED1" w:rsidR="00D40D98" w:rsidRPr="00547634" w:rsidRDefault="00047062" w:rsidP="00547634">
      <w:pPr>
        <w:pStyle w:val="Bulletlist2"/>
        <w:spacing w:before="120"/>
        <w:ind w:hanging="357"/>
        <w:rPr>
          <w:rFonts w:cs="Times New Roman"/>
          <w:sz w:val="22"/>
          <w:szCs w:val="24"/>
        </w:rPr>
      </w:pPr>
      <w:r w:rsidRPr="003A2EE1">
        <w:t xml:space="preserve">Section A – </w:t>
      </w:r>
      <w:r w:rsidR="00D40D98" w:rsidRPr="003A2EE1">
        <w:t>Electromagnetic interference and space weather</w:t>
      </w:r>
    </w:p>
    <w:p w14:paraId="0B5C92C5" w14:textId="16AF3BF3" w:rsidR="00D40D98" w:rsidRPr="00547634" w:rsidRDefault="00047062" w:rsidP="00547634">
      <w:pPr>
        <w:pStyle w:val="Bulletlist2"/>
        <w:spacing w:before="120"/>
        <w:ind w:hanging="357"/>
        <w:rPr>
          <w:rFonts w:cs="Times New Roman"/>
          <w:sz w:val="22"/>
          <w:szCs w:val="24"/>
        </w:rPr>
      </w:pPr>
      <w:r w:rsidRPr="003A2EE1">
        <w:t xml:space="preserve">Section </w:t>
      </w:r>
      <w:r>
        <w:t>B</w:t>
      </w:r>
      <w:r w:rsidRPr="003A2EE1">
        <w:t xml:space="preserve"> – </w:t>
      </w:r>
      <w:r w:rsidR="00D40D98" w:rsidRPr="003A2EE1">
        <w:t>Biological hazard</w:t>
      </w:r>
      <w:r w:rsidR="00D40D98">
        <w:t>s</w:t>
      </w:r>
    </w:p>
    <w:p w14:paraId="73478B36" w14:textId="5A42EC5C" w:rsidR="00D40D98" w:rsidRPr="00547634" w:rsidRDefault="00047062" w:rsidP="00547634">
      <w:pPr>
        <w:pStyle w:val="Bulletlist2"/>
        <w:spacing w:before="120"/>
        <w:ind w:hanging="357"/>
        <w:rPr>
          <w:rFonts w:cs="Times New Roman"/>
          <w:sz w:val="22"/>
          <w:szCs w:val="24"/>
        </w:rPr>
      </w:pPr>
      <w:r w:rsidRPr="003A2EE1">
        <w:t xml:space="preserve">Section </w:t>
      </w:r>
      <w:r>
        <w:t>C</w:t>
      </w:r>
      <w:r w:rsidRPr="003A2EE1">
        <w:t xml:space="preserve"> – </w:t>
      </w:r>
      <w:r w:rsidR="00D40D98" w:rsidRPr="003A2EE1">
        <w:t>Industrial hazard</w:t>
      </w:r>
      <w:r w:rsidR="00D40D98">
        <w:t>s</w:t>
      </w:r>
    </w:p>
    <w:p w14:paraId="3A72E943" w14:textId="21D884DE" w:rsidR="00D40D98" w:rsidRPr="00547634" w:rsidRDefault="00047062" w:rsidP="00547634">
      <w:pPr>
        <w:pStyle w:val="Bulletlist2"/>
        <w:spacing w:before="120"/>
        <w:ind w:hanging="357"/>
        <w:rPr>
          <w:rFonts w:cs="Times New Roman"/>
          <w:sz w:val="22"/>
          <w:szCs w:val="24"/>
        </w:rPr>
      </w:pPr>
      <w:r w:rsidRPr="003A2EE1">
        <w:t xml:space="preserve">Section </w:t>
      </w:r>
      <w:r>
        <w:t>D</w:t>
      </w:r>
      <w:r w:rsidRPr="003A2EE1">
        <w:t xml:space="preserve"> – </w:t>
      </w:r>
      <w:r w:rsidR="00D40D98" w:rsidRPr="003A2EE1">
        <w:t>Landscape chang</w:t>
      </w:r>
      <w:r w:rsidR="00D40D98">
        <w:t>e</w:t>
      </w:r>
    </w:p>
    <w:p w14:paraId="2311DC37" w14:textId="7248F3F3" w:rsidR="00D40D98" w:rsidRPr="00304EDE" w:rsidRDefault="00047062" w:rsidP="00547634">
      <w:pPr>
        <w:pStyle w:val="Bulletlist2"/>
        <w:spacing w:before="120"/>
        <w:ind w:hanging="357"/>
        <w:rPr>
          <w:rFonts w:cs="Times New Roman"/>
          <w:sz w:val="22"/>
          <w:szCs w:val="24"/>
        </w:rPr>
      </w:pPr>
      <w:r w:rsidRPr="00304EDE">
        <w:t xml:space="preserve">Section E – </w:t>
      </w:r>
      <w:r w:rsidR="00D40D98" w:rsidRPr="00304EDE">
        <w:t>Naturally and anthropogenically occurring gase</w:t>
      </w:r>
      <w:r w:rsidRPr="00304EDE">
        <w:t>s</w:t>
      </w:r>
    </w:p>
    <w:p w14:paraId="3A0152C4" w14:textId="1DCC5847" w:rsidR="00DF4935" w:rsidRPr="00304EDE" w:rsidRDefault="00DF4935" w:rsidP="00547634">
      <w:pPr>
        <w:pStyle w:val="Heading2"/>
      </w:pPr>
      <w:bookmarkStart w:id="541" w:name="_Ref138674429"/>
      <w:bookmarkStart w:id="542" w:name="_Toc140137247"/>
      <w:r w:rsidRPr="00304EDE">
        <w:t>Engineering and Hazard Analysis</w:t>
      </w:r>
      <w:bookmarkEnd w:id="541"/>
      <w:bookmarkEnd w:id="542"/>
    </w:p>
    <w:p w14:paraId="5FD10D28" w14:textId="5557F383" w:rsidR="00DF4935" w:rsidRPr="00304EDE" w:rsidRDefault="00DF4935" w:rsidP="00547634">
      <w:pPr>
        <w:pStyle w:val="Heading3"/>
      </w:pPr>
      <w:bookmarkStart w:id="543" w:name="_Toc473126290"/>
      <w:bookmarkStart w:id="544" w:name="_Toc473127910"/>
      <w:bookmarkStart w:id="545" w:name="_Ref475372892"/>
      <w:bookmarkStart w:id="546" w:name="_Ref475373555"/>
      <w:bookmarkStart w:id="547" w:name="_Ref475373947"/>
      <w:bookmarkStart w:id="548" w:name="_Toc520367614"/>
      <w:bookmarkStart w:id="549" w:name="_Ref138925830"/>
      <w:r w:rsidRPr="00304EDE">
        <w:t xml:space="preserve">Design </w:t>
      </w:r>
      <w:r w:rsidR="00D00F9C" w:rsidRPr="00304EDE">
        <w:t>b</w:t>
      </w:r>
      <w:r w:rsidRPr="00304EDE">
        <w:t xml:space="preserve">asis </w:t>
      </w:r>
      <w:bookmarkEnd w:id="543"/>
      <w:bookmarkEnd w:id="544"/>
      <w:bookmarkEnd w:id="545"/>
      <w:bookmarkEnd w:id="546"/>
      <w:bookmarkEnd w:id="547"/>
      <w:r w:rsidRPr="00304EDE">
        <w:t xml:space="preserve">for </w:t>
      </w:r>
      <w:r w:rsidR="00D00F9C" w:rsidRPr="00304EDE">
        <w:t>e</w:t>
      </w:r>
      <w:r w:rsidRPr="00304EDE">
        <w:t xml:space="preserve">xternal </w:t>
      </w:r>
      <w:r w:rsidR="00D00F9C" w:rsidRPr="00304EDE">
        <w:t>h</w:t>
      </w:r>
      <w:r w:rsidRPr="00304EDE">
        <w:t>azards</w:t>
      </w:r>
      <w:bookmarkEnd w:id="548"/>
      <w:bookmarkEnd w:id="549"/>
    </w:p>
    <w:p w14:paraId="71F29D35" w14:textId="4C202F27" w:rsidR="00DF4935" w:rsidRPr="00304EDE" w:rsidRDefault="00DF4935" w:rsidP="000D6BF8">
      <w:pPr>
        <w:pStyle w:val="F9-Paragraph"/>
        <w:ind w:hanging="502"/>
      </w:pPr>
      <w:bookmarkStart w:id="550" w:name="_Ref448133483"/>
      <w:bookmarkStart w:id="551" w:name="_Toc462321717"/>
      <w:bookmarkStart w:id="552" w:name="_Toc473126291"/>
      <w:bookmarkStart w:id="553" w:name="_Toc473127911"/>
      <w:r w:rsidRPr="00304EDE">
        <w:t xml:space="preserve">The </w:t>
      </w:r>
      <w:r w:rsidR="008D513C" w:rsidRPr="00304EDE">
        <w:t>DB</w:t>
      </w:r>
      <w:r w:rsidR="006C136E" w:rsidRPr="00304EDE">
        <w:t xml:space="preserve"> </w:t>
      </w:r>
      <w:r w:rsidRPr="00304EDE">
        <w:t>is set at a level that ensure</w:t>
      </w:r>
      <w:r w:rsidR="00812A69">
        <w:t>s</w:t>
      </w:r>
      <w:r w:rsidRPr="00304EDE">
        <w:t xml:space="preserve"> a robust demonstration of the engineering resilience of the facility, and of the effectiveness of its safety measures. This is usually supported by a DBA, with </w:t>
      </w:r>
      <w:r w:rsidR="00EF03E1" w:rsidRPr="00304EDE">
        <w:t>i</w:t>
      </w:r>
      <w:r w:rsidRPr="00304EDE">
        <w:t>ts principal aim to guide and refine the engineering requirements of the design and to determine limits and conditions to safe operation (LC 23(1) Operating Rules), so that safety functions can be delivered reliably during all modes of operation and under reasonably foreseeable faults. The adequacy of the design and the suitability and sufficiency of the safety measures are assessed against deterministic targets. These targets are derived from RGP and include the SAPs themselves.</w:t>
      </w:r>
      <w:bookmarkEnd w:id="550"/>
      <w:bookmarkEnd w:id="551"/>
      <w:bookmarkEnd w:id="552"/>
      <w:bookmarkEnd w:id="553"/>
    </w:p>
    <w:p w14:paraId="0385E6C1" w14:textId="77777777" w:rsidR="00DF4935" w:rsidRPr="00304EDE" w:rsidRDefault="00DF4935" w:rsidP="00547634">
      <w:pPr>
        <w:pStyle w:val="Heading3"/>
      </w:pPr>
      <w:bookmarkStart w:id="554" w:name="_Toc473126296"/>
      <w:bookmarkStart w:id="555" w:name="_Toc473127916"/>
      <w:bookmarkStart w:id="556" w:name="_Ref473997862"/>
      <w:bookmarkStart w:id="557" w:name="_Ref473997986"/>
      <w:bookmarkStart w:id="558" w:name="_Ref475372885"/>
      <w:bookmarkStart w:id="559" w:name="_Ref475373178"/>
      <w:bookmarkStart w:id="560" w:name="_Ref475373605"/>
      <w:bookmarkStart w:id="561" w:name="_Ref475373886"/>
      <w:bookmarkStart w:id="562" w:name="_Ref502760907"/>
      <w:bookmarkStart w:id="563" w:name="_Ref505077187"/>
      <w:r w:rsidRPr="00304EDE">
        <w:t>Design bases for screened-in external hazards</w:t>
      </w:r>
      <w:bookmarkEnd w:id="554"/>
      <w:bookmarkEnd w:id="555"/>
      <w:bookmarkEnd w:id="556"/>
      <w:bookmarkEnd w:id="557"/>
      <w:bookmarkEnd w:id="558"/>
      <w:bookmarkEnd w:id="559"/>
      <w:bookmarkEnd w:id="560"/>
      <w:bookmarkEnd w:id="561"/>
      <w:bookmarkEnd w:id="562"/>
      <w:bookmarkEnd w:id="563"/>
    </w:p>
    <w:p w14:paraId="42F22E30" w14:textId="76B084A2" w:rsidR="00DF4935" w:rsidRPr="00304EDE" w:rsidRDefault="00DF4935" w:rsidP="000D6BF8">
      <w:pPr>
        <w:pStyle w:val="F9-Paragraph"/>
        <w:ind w:hanging="502"/>
      </w:pPr>
      <w:bookmarkStart w:id="564" w:name="_Ref448410236"/>
      <w:bookmarkStart w:id="565" w:name="_Toc462321721"/>
      <w:bookmarkStart w:id="566" w:name="_Toc473126297"/>
      <w:bookmarkStart w:id="567" w:name="_Toc473127917"/>
      <w:bookmarkStart w:id="568" w:name="_Ref138937664"/>
      <w:r w:rsidRPr="00304EDE">
        <w:t xml:space="preserve">DBA for EHs is predicated on defining a </w:t>
      </w:r>
      <w:r w:rsidR="006C136E" w:rsidRPr="00304EDE">
        <w:t>DBE</w:t>
      </w:r>
      <w:r w:rsidRPr="00304EDE">
        <w:t xml:space="preserve"> for each EH screened into the fault analysis process (EHA.3). Additional </w:t>
      </w:r>
      <w:r w:rsidR="006C136E" w:rsidRPr="00304EDE">
        <w:t>DBEs</w:t>
      </w:r>
      <w:r w:rsidRPr="00304EDE">
        <w:t xml:space="preserve"> may be defined to capture credible combinations of individual events. SAP EHA.4 refers to the </w:t>
      </w:r>
      <w:r w:rsidR="00C61451" w:rsidRPr="00304EDE">
        <w:t>DBE</w:t>
      </w:r>
      <w:r w:rsidRPr="00304EDE">
        <w:t xml:space="preserve"> </w:t>
      </w:r>
      <w:r w:rsidRPr="00304EDE">
        <w:lastRenderedPageBreak/>
        <w:t>threshold for external events in terms of a return period (e.g.</w:t>
      </w:r>
      <w:r w:rsidR="006C136E" w:rsidRPr="00304EDE">
        <w:t>,</w:t>
      </w:r>
      <w:r w:rsidRPr="00304EDE">
        <w:t xml:space="preserve"> the EH should be conservatively derived at a return period of 1 in 10</w:t>
      </w:r>
      <w:r w:rsidR="00C61451" w:rsidRPr="00304EDE">
        <w:t>,</w:t>
      </w:r>
      <w:r w:rsidRPr="00304EDE">
        <w:t>000 years)</w:t>
      </w:r>
      <w:r w:rsidR="007250A3" w:rsidRPr="00304EDE">
        <w:t>.</w:t>
      </w:r>
      <w:r w:rsidRPr="00304EDE">
        <w:t xml:space="preserve"> </w:t>
      </w:r>
      <w:r w:rsidR="00B509DF">
        <w:t xml:space="preserve">Inspectors should </w:t>
      </w:r>
      <w:r w:rsidR="00996B10">
        <w:t>n</w:t>
      </w:r>
      <w:r w:rsidRPr="00304EDE">
        <w:t>ote that an annual probability of exceedance of 10</w:t>
      </w:r>
      <w:r w:rsidRPr="00F8764A">
        <w:rPr>
          <w:vertAlign w:val="superscript"/>
        </w:rPr>
        <w:t>-4</w:t>
      </w:r>
      <w:r w:rsidR="00214C12" w:rsidRPr="00304EDE">
        <w:t>/y</w:t>
      </w:r>
      <w:r w:rsidRPr="00304EDE">
        <w:t xml:space="preserve"> is an annualised value applicable over the lifetime of the facility </w:t>
      </w:r>
      <w:bookmarkEnd w:id="564"/>
      <w:bookmarkEnd w:id="565"/>
      <w:bookmarkEnd w:id="566"/>
      <w:bookmarkEnd w:id="567"/>
      <w:r w:rsidRPr="00304EDE">
        <w:t>and is the reciprocal of the return period.</w:t>
      </w:r>
      <w:r w:rsidR="00A7569B" w:rsidRPr="00304EDE">
        <w:t xml:space="preserve"> Annual frequency of exceedance is another term often used and </w:t>
      </w:r>
      <w:r w:rsidR="00847CAF">
        <w:t>can be considered</w:t>
      </w:r>
      <w:r w:rsidR="00A7569B" w:rsidRPr="00304EDE">
        <w:t xml:space="preserve"> </w:t>
      </w:r>
      <w:r w:rsidR="001025A3" w:rsidRPr="00304EDE">
        <w:t>equiv</w:t>
      </w:r>
      <w:r w:rsidR="00532928">
        <w:t>alent</w:t>
      </w:r>
      <w:r w:rsidR="001025A3" w:rsidRPr="00304EDE">
        <w:t xml:space="preserve"> to annual probability of exceedance at these low frequencies</w:t>
      </w:r>
      <w:r w:rsidR="00F06F95" w:rsidRPr="000D6BF8">
        <w:footnoteReference w:id="10"/>
      </w:r>
      <w:bookmarkEnd w:id="568"/>
      <w:r w:rsidR="00C61451" w:rsidRPr="00304EDE">
        <w:t>.</w:t>
      </w:r>
      <w:r w:rsidR="009A68D3">
        <w:t xml:space="preserve"> </w:t>
      </w:r>
    </w:p>
    <w:p w14:paraId="5FE2CA7E" w14:textId="0F6BF732" w:rsidR="00DF4935" w:rsidRPr="000D6BF8" w:rsidRDefault="00DF4935" w:rsidP="000D6BF8">
      <w:pPr>
        <w:pStyle w:val="F9-Paragraph"/>
        <w:ind w:hanging="502"/>
      </w:pPr>
      <w:r w:rsidRPr="000D6BF8">
        <w:t xml:space="preserve">Whilst </w:t>
      </w:r>
      <w:r w:rsidRPr="00304EDE">
        <w:t>a return period of 1 in 10</w:t>
      </w:r>
      <w:r w:rsidR="00C61451" w:rsidRPr="00304EDE">
        <w:t>,</w:t>
      </w:r>
      <w:r w:rsidRPr="00304EDE">
        <w:t>000 years is judged a suitable DB</w:t>
      </w:r>
      <w:r w:rsidR="00C61451" w:rsidRPr="00304EDE">
        <w:t>E</w:t>
      </w:r>
      <w:r w:rsidRPr="00304EDE">
        <w:t xml:space="preserve"> for nuclear facilities with typical lifetimes of up to 100 years. Facilities, such as permanent fuel repositories, with exceptionally long lifetimes, will be subjected to repeated EH DB challenges during that lifetime unless an alternative of a DB at longer return periods is adopted.  </w:t>
      </w:r>
    </w:p>
    <w:p w14:paraId="1A7F228F" w14:textId="7BBCB606" w:rsidR="00DF4935" w:rsidRPr="000100FE" w:rsidRDefault="00DF4935" w:rsidP="000D6BF8">
      <w:pPr>
        <w:pStyle w:val="F9-Paragraph"/>
        <w:ind w:hanging="502"/>
      </w:pPr>
      <w:bookmarkStart w:id="569" w:name="_Ref441861975"/>
      <w:bookmarkStart w:id="570" w:name="_Toc462321722"/>
      <w:bookmarkStart w:id="571" w:name="_Toc473126298"/>
      <w:bookmarkStart w:id="572" w:name="_Toc473127918"/>
      <w:r w:rsidRPr="00304EDE">
        <w:t xml:space="preserve">SAP EHA.4 also defines the EH </w:t>
      </w:r>
      <w:r w:rsidR="004208E4" w:rsidRPr="00304EDE">
        <w:t>DBE</w:t>
      </w:r>
      <w:r w:rsidRPr="00304EDE">
        <w:t xml:space="preserve"> exceedance frequency in terms of SAP FA.5 which defines the threshold frequencies for events to be included within DBA. As noted in </w:t>
      </w:r>
      <w:r w:rsidR="00DB427B" w:rsidRPr="00304EDE">
        <w:t xml:space="preserve">Section </w:t>
      </w:r>
      <w:r w:rsidR="00DB427B" w:rsidRPr="00304EDE">
        <w:fldChar w:fldCharType="begin"/>
      </w:r>
      <w:r w:rsidR="00DB427B" w:rsidRPr="00304EDE">
        <w:instrText xml:space="preserve"> REF _Ref138754450 \r \h </w:instrText>
      </w:r>
      <w:r w:rsidR="00304EDE">
        <w:instrText xml:space="preserve"> \* MERGEFORMAT </w:instrText>
      </w:r>
      <w:r w:rsidR="00DB427B" w:rsidRPr="00304EDE">
        <w:fldChar w:fldCharType="separate"/>
      </w:r>
      <w:r w:rsidR="008B51F7">
        <w:t>5.1</w:t>
      </w:r>
      <w:r w:rsidR="00DB427B" w:rsidRPr="00304EDE">
        <w:fldChar w:fldCharType="end"/>
      </w:r>
      <w:r w:rsidRPr="00304EDE">
        <w:t>, EHs should be fully embedded into the DBA process. SAP paragraph 628 identifies hazard initiating fault frequencies below which application of DBA</w:t>
      </w:r>
      <w:r w:rsidRPr="000100FE">
        <w:t xml:space="preserve"> is unlikely to be proportionate to the radiological hazard. These have been re-interpreted here as the frequency points at which the EHs design bases should be established. The exceedance frequency for the EH </w:t>
      </w:r>
      <w:r w:rsidR="008D513C">
        <w:t>DBE</w:t>
      </w:r>
      <w:r w:rsidRPr="000100FE">
        <w:t xml:space="preserve"> therefore corresponds to the threshold frequencies for events that should be included within the DBA process. For non-discrete EHs characterised by a hazard curve, DBA is expected to consider the EH at all exceedance frequencies on the hazard curve down to the </w:t>
      </w:r>
      <w:r w:rsidR="003C0840">
        <w:t>DBE</w:t>
      </w:r>
      <w:r w:rsidRPr="000100FE">
        <w:t xml:space="preserve"> definition. For discrete EHs, the analysis is expected to include consideration of hazards that might be grouped within the EH event definition, in a similar way to plant initiated faults down to a threshold value of 10</w:t>
      </w:r>
      <w:r w:rsidRPr="00924F05">
        <w:rPr>
          <w:vertAlign w:val="superscript"/>
        </w:rPr>
        <w:t>-5</w:t>
      </w:r>
      <w:r w:rsidRPr="000100FE">
        <w:t>/y on a best estimate basis.</w:t>
      </w:r>
    </w:p>
    <w:p w14:paraId="1A5D992D" w14:textId="0914158B" w:rsidR="00DF4935" w:rsidRPr="000100FE" w:rsidRDefault="00DF4935" w:rsidP="000D6BF8">
      <w:pPr>
        <w:pStyle w:val="F9-Paragraph"/>
        <w:ind w:hanging="502"/>
      </w:pPr>
      <w:bookmarkStart w:id="573" w:name="_Ref517331636"/>
      <w:r w:rsidRPr="000100FE">
        <w:t xml:space="preserve">The EH </w:t>
      </w:r>
      <w:r w:rsidR="003C0840">
        <w:t>DBE</w:t>
      </w:r>
      <w:r w:rsidRPr="000100FE">
        <w:t xml:space="preserve"> exceedance frequencies, and threshold values for DBA are summarised </w:t>
      </w:r>
      <w:r w:rsidR="00801EB1">
        <w:t>below</w:t>
      </w:r>
      <w:r w:rsidRPr="000100FE">
        <w:t xml:space="preserve">: </w:t>
      </w:r>
      <w:bookmarkEnd w:id="569"/>
      <w:bookmarkEnd w:id="570"/>
      <w:bookmarkEnd w:id="571"/>
      <w:bookmarkEnd w:id="572"/>
      <w:bookmarkEnd w:id="573"/>
    </w:p>
    <w:p w14:paraId="13CA02EE" w14:textId="6672D0E0" w:rsidR="00DF4935" w:rsidRPr="000100FE" w:rsidRDefault="00DF4935" w:rsidP="000D6BF8">
      <w:pPr>
        <w:pStyle w:val="F9-Paragraph"/>
        <w:ind w:hanging="502"/>
      </w:pPr>
      <w:bookmarkStart w:id="574" w:name="_Toc473126299"/>
      <w:bookmarkStart w:id="575" w:name="_Toc473127919"/>
      <w:r w:rsidRPr="000D6BF8">
        <w:t>Discrete hazards</w:t>
      </w:r>
      <w:r w:rsidRPr="000100FE">
        <w:t xml:space="preserve"> – For internal hazards and man-made EHs the </w:t>
      </w:r>
      <w:r w:rsidR="008D513C">
        <w:t>DB</w:t>
      </w:r>
      <w:r w:rsidRPr="000100FE">
        <w:t xml:space="preserve"> is defined in one of two ways:</w:t>
      </w:r>
      <w:bookmarkEnd w:id="574"/>
      <w:bookmarkEnd w:id="575"/>
    </w:p>
    <w:p w14:paraId="1FD7E74C" w14:textId="2CF7D13B" w:rsidR="00246757" w:rsidRDefault="00DF4935" w:rsidP="00D636FA">
      <w:pPr>
        <w:pStyle w:val="Bulletlist1"/>
      </w:pPr>
      <w:r w:rsidRPr="000100FE">
        <w:t>Probabilistically, as a best estimate value of hazard severity and frequency of occurrence down to about 10</w:t>
      </w:r>
      <w:r w:rsidRPr="000100FE">
        <w:rPr>
          <w:vertAlign w:val="superscript"/>
        </w:rPr>
        <w:t>-5</w:t>
      </w:r>
      <w:r w:rsidRPr="000100FE">
        <w:t>/y (FA.5, paragraph 628(a)), or</w:t>
      </w:r>
      <w:r>
        <w:t xml:space="preserve">, </w:t>
      </w:r>
    </w:p>
    <w:p w14:paraId="47DF250D" w14:textId="21A78444" w:rsidR="00DF4935" w:rsidRPr="000100FE" w:rsidRDefault="00246757" w:rsidP="00547634">
      <w:pPr>
        <w:pStyle w:val="Bulletlist1"/>
        <w:spacing w:before="120"/>
        <w:ind w:left="1417"/>
      </w:pPr>
      <w:r>
        <w:t>D</w:t>
      </w:r>
      <w:r w:rsidR="00DF4935" w:rsidRPr="000100FE">
        <w:t>eterministically, as a MCE (SAP paragraph 242) provided its frequency of occurrence is compatible with the principles of FA.5.</w:t>
      </w:r>
    </w:p>
    <w:p w14:paraId="569D2D3A" w14:textId="588CC9BC" w:rsidR="00DF4935" w:rsidRPr="000100FE" w:rsidRDefault="00DF4935" w:rsidP="00C56750">
      <w:pPr>
        <w:pStyle w:val="F9-Paragraph"/>
        <w:numPr>
          <w:ilvl w:val="0"/>
          <w:numId w:val="0"/>
        </w:numPr>
        <w:ind w:left="644"/>
      </w:pPr>
      <w:r w:rsidRPr="000100FE">
        <w:t xml:space="preserve">Where a discrete hazard has a frequency of occurrence less than the </w:t>
      </w:r>
      <w:r w:rsidR="008D513C">
        <w:t>DB</w:t>
      </w:r>
      <w:r w:rsidRPr="000100FE">
        <w:t xml:space="preserve"> threshold of 10</w:t>
      </w:r>
      <w:r w:rsidRPr="000100FE">
        <w:rPr>
          <w:vertAlign w:val="superscript"/>
        </w:rPr>
        <w:t>-5</w:t>
      </w:r>
      <w:r w:rsidRPr="000100FE">
        <w:t>/y, but cannot be screened out as insignificant according to SAP EHA.19 (</w:t>
      </w:r>
      <w:r w:rsidR="003942A6">
        <w:t xml:space="preserve">Section </w:t>
      </w:r>
      <w:r w:rsidR="003942A6">
        <w:fldChar w:fldCharType="begin"/>
      </w:r>
      <w:r w:rsidR="003942A6">
        <w:instrText xml:space="preserve"> REF _Ref138756012 \r \h </w:instrText>
      </w:r>
      <w:r w:rsidR="003942A6">
        <w:fldChar w:fldCharType="separate"/>
      </w:r>
      <w:r w:rsidR="008B51F7">
        <w:t>5.4</w:t>
      </w:r>
      <w:r w:rsidR="003942A6">
        <w:fldChar w:fldCharType="end"/>
      </w:r>
      <w:r w:rsidRPr="000100FE">
        <w:t xml:space="preserve">), the hazard will still need to be captured by the PSA </w:t>
      </w:r>
      <w:r w:rsidRPr="000100FE">
        <w:lastRenderedPageBreak/>
        <w:t xml:space="preserve">or other form of fault analysis, and needs to be considered as a beyond design basis event, see </w:t>
      </w:r>
      <w:r w:rsidR="00300C50">
        <w:t xml:space="preserve">Section </w:t>
      </w:r>
      <w:r w:rsidR="00300C50">
        <w:fldChar w:fldCharType="begin"/>
      </w:r>
      <w:r w:rsidR="00300C50">
        <w:instrText xml:space="preserve"> REF _Ref138756096 \r \h </w:instrText>
      </w:r>
      <w:r w:rsidR="00300C50">
        <w:fldChar w:fldCharType="separate"/>
      </w:r>
      <w:r w:rsidR="008B51F7">
        <w:t>5.6.4</w:t>
      </w:r>
      <w:r w:rsidR="00300C50">
        <w:fldChar w:fldCharType="end"/>
      </w:r>
      <w:r w:rsidRPr="000100FE">
        <w:t>.</w:t>
      </w:r>
    </w:p>
    <w:p w14:paraId="66DCEB2D" w14:textId="13ED3608" w:rsidR="00DF4935" w:rsidRPr="000100FE" w:rsidRDefault="00DF4935" w:rsidP="000D6BF8">
      <w:pPr>
        <w:pStyle w:val="F9-Paragraph"/>
        <w:ind w:hanging="502"/>
      </w:pPr>
      <w:r w:rsidRPr="000D6BF8">
        <w:t>Non-discrete hazards</w:t>
      </w:r>
      <w:r w:rsidRPr="000100FE">
        <w:t xml:space="preserve"> – For natural EHs defined by hazard curves, the </w:t>
      </w:r>
      <w:r w:rsidR="00617BB0">
        <w:t>DB</w:t>
      </w:r>
      <w:r w:rsidRPr="000100FE">
        <w:t xml:space="preserve"> is defined as follows:</w:t>
      </w:r>
    </w:p>
    <w:p w14:paraId="443706C6" w14:textId="5AA384E4" w:rsidR="00DF4935" w:rsidRPr="000100FE" w:rsidRDefault="00DF4935" w:rsidP="00547634">
      <w:pPr>
        <w:pStyle w:val="Bulletlist1"/>
      </w:pPr>
      <w:r w:rsidRPr="000100FE">
        <w:t>Probabilistically, as a conservative estimate of hazard severity at the 10</w:t>
      </w:r>
      <w:r w:rsidRPr="000100FE">
        <w:rPr>
          <w:vertAlign w:val="superscript"/>
        </w:rPr>
        <w:t>-4</w:t>
      </w:r>
      <w:r w:rsidRPr="000100FE">
        <w:t>/y</w:t>
      </w:r>
      <w:r w:rsidR="0039224C">
        <w:t xml:space="preserve"> </w:t>
      </w:r>
      <w:r>
        <w:t>f</w:t>
      </w:r>
      <w:r w:rsidRPr="000100FE">
        <w:t>requency of exceedance point on the hazard curve</w:t>
      </w:r>
      <w:r w:rsidRPr="000100FE">
        <w:rPr>
          <w:vertAlign w:val="superscript"/>
        </w:rPr>
        <w:footnoteReference w:id="11"/>
      </w:r>
      <w:r w:rsidRPr="000100FE">
        <w:t xml:space="preserve"> (EHA.4, FA.5 paragraph</w:t>
      </w:r>
      <w:r>
        <w:t xml:space="preserve"> </w:t>
      </w:r>
      <w:r w:rsidRPr="000100FE">
        <w:t xml:space="preserve">628(c)). DBA is expected to cover the region of the hazard curve down to the </w:t>
      </w:r>
      <w:r w:rsidR="00C810D2" w:rsidRPr="000100FE">
        <w:t>10</w:t>
      </w:r>
      <w:r w:rsidR="00C810D2" w:rsidRPr="000100FE">
        <w:rPr>
          <w:vertAlign w:val="superscript"/>
        </w:rPr>
        <w:t>-4</w:t>
      </w:r>
      <w:r w:rsidR="00C810D2" w:rsidRPr="000100FE">
        <w:t>/y point.</w:t>
      </w:r>
    </w:p>
    <w:p w14:paraId="6F811AD1" w14:textId="7687D02B" w:rsidR="00DF4935" w:rsidRDefault="00DF4935" w:rsidP="000D6BF8">
      <w:pPr>
        <w:pStyle w:val="F9-Paragraph"/>
        <w:ind w:hanging="502"/>
      </w:pPr>
      <w:bookmarkStart w:id="576" w:name="_Toc462321724"/>
      <w:bookmarkStart w:id="577" w:name="_Toc473126302"/>
      <w:bookmarkStart w:id="578" w:name="_Toc473127922"/>
      <w:r w:rsidRPr="000100FE">
        <w:t xml:space="preserve">Note that some </w:t>
      </w:r>
      <w:r w:rsidR="009106EB">
        <w:t>l</w:t>
      </w:r>
      <w:r w:rsidRPr="000100FE">
        <w:t xml:space="preserve">icensees use </w:t>
      </w:r>
      <w:r w:rsidRPr="00C56750">
        <w:t xml:space="preserve">multiple </w:t>
      </w:r>
      <w:r w:rsidR="002D0668" w:rsidRPr="00C56750">
        <w:t>DBs</w:t>
      </w:r>
      <w:r w:rsidRPr="00C56750">
        <w:t xml:space="preserve"> to describe hazards, with different levels of protection and mitigation associated with faults analysed at the different design bases. The demonstration</w:t>
      </w:r>
      <w:r w:rsidRPr="000100FE">
        <w:t xml:space="preserve"> of ALARP is more complex in these cases and care is needed </w:t>
      </w:r>
      <w:r w:rsidRPr="002066B0">
        <w:t xml:space="preserve">that the </w:t>
      </w:r>
      <w:r w:rsidR="00AF434F">
        <w:t>l</w:t>
      </w:r>
      <w:r w:rsidRPr="002066B0">
        <w:t xml:space="preserve">icensee does not interpret such analyses as justifying an ALARP position </w:t>
      </w:r>
      <w:r w:rsidR="00523245">
        <w:t>laxer</w:t>
      </w:r>
      <w:r w:rsidRPr="002066B0">
        <w:t xml:space="preserve"> than </w:t>
      </w:r>
      <w:r w:rsidRPr="000100FE">
        <w:t>that intended by the SAPs in the use of DBA.</w:t>
      </w:r>
      <w:bookmarkEnd w:id="576"/>
      <w:bookmarkEnd w:id="577"/>
      <w:bookmarkEnd w:id="578"/>
    </w:p>
    <w:p w14:paraId="67D50B0A" w14:textId="4E2DF538" w:rsidR="005C411E" w:rsidRDefault="005C411E" w:rsidP="000D6BF8">
      <w:pPr>
        <w:pStyle w:val="F9-Paragraph"/>
        <w:ind w:hanging="502"/>
      </w:pPr>
      <w:r w:rsidRPr="00547634">
        <w:t xml:space="preserve">Note that the hazard screening criteria described in Section </w:t>
      </w:r>
      <w:r w:rsidRPr="00547634">
        <w:fldChar w:fldCharType="begin"/>
      </w:r>
      <w:r w:rsidRPr="00547634">
        <w:instrText xml:space="preserve"> REF _Ref138756012 \r \h  \* MERGEFORMAT </w:instrText>
      </w:r>
      <w:r w:rsidRPr="00547634">
        <w:fldChar w:fldCharType="separate"/>
      </w:r>
      <w:r w:rsidR="008B51F7">
        <w:t>5.4</w:t>
      </w:r>
      <w:r w:rsidRPr="00547634">
        <w:fldChar w:fldCharType="end"/>
      </w:r>
      <w:r w:rsidRPr="00547634">
        <w:t xml:space="preserve"> are not the same as the DBA criteria (paragraph</w:t>
      </w:r>
      <w:r w:rsidRPr="0010152D">
        <w:t xml:space="preserve"> </w:t>
      </w:r>
      <w:r w:rsidR="0010152D" w:rsidRPr="00547634">
        <w:fldChar w:fldCharType="begin"/>
      </w:r>
      <w:r w:rsidR="0010152D" w:rsidRPr="0010152D">
        <w:instrText xml:space="preserve"> REF _Ref138937664 \r \h </w:instrText>
      </w:r>
      <w:r w:rsidR="0010152D">
        <w:instrText xml:space="preserve"> \* MERGEFORMAT </w:instrText>
      </w:r>
      <w:r w:rsidR="0010152D" w:rsidRPr="00547634">
        <w:fldChar w:fldCharType="separate"/>
      </w:r>
      <w:r w:rsidR="00924F05">
        <w:rPr>
          <w:cs/>
        </w:rPr>
        <w:t>‎</w:t>
      </w:r>
      <w:r w:rsidR="00924F05">
        <w:t>73</w:t>
      </w:r>
      <w:r w:rsidR="0010152D" w:rsidRPr="00547634">
        <w:fldChar w:fldCharType="end"/>
      </w:r>
      <w:r w:rsidRPr="0010152D">
        <w:t>).</w:t>
      </w:r>
      <w:r w:rsidRPr="000100FE">
        <w:t xml:space="preserve"> The </w:t>
      </w:r>
      <w:r>
        <w:t>DBE</w:t>
      </w:r>
      <w:r w:rsidRPr="000100FE">
        <w:t xml:space="preserve"> might not necessarily pose a significant nuclear challenge and the subsequent load case may be bounded by other design load cases. The DBA process should note the SFR to protect against otherwise bounded </w:t>
      </w:r>
      <w:r w:rsidR="00617BB0">
        <w:t>DBEs</w:t>
      </w:r>
      <w:r>
        <w:t>.</w:t>
      </w:r>
    </w:p>
    <w:p w14:paraId="64173E79" w14:textId="6269ACB3" w:rsidR="00AE5F38" w:rsidRPr="001F7BFF" w:rsidRDefault="00AE5F38" w:rsidP="002079B5">
      <w:pPr>
        <w:pStyle w:val="Heading4"/>
      </w:pPr>
      <w:bookmarkStart w:id="579" w:name="_Toc138924384"/>
      <w:bookmarkStart w:id="580" w:name="_Toc138924567"/>
      <w:bookmarkStart w:id="581" w:name="_Toc138924722"/>
      <w:bookmarkEnd w:id="579"/>
      <w:bookmarkEnd w:id="580"/>
      <w:bookmarkEnd w:id="581"/>
      <w:r w:rsidRPr="00547634">
        <w:t xml:space="preserve">The </w:t>
      </w:r>
      <w:r w:rsidR="00D00F9C">
        <w:t>u</w:t>
      </w:r>
      <w:r w:rsidRPr="00547634">
        <w:t xml:space="preserve">se of </w:t>
      </w:r>
      <w:r w:rsidR="00D00F9C">
        <w:t>c</w:t>
      </w:r>
      <w:r w:rsidRPr="00547634">
        <w:t xml:space="preserve">onservatism in the </w:t>
      </w:r>
      <w:r w:rsidR="00D00F9C">
        <w:t>d</w:t>
      </w:r>
      <w:r w:rsidRPr="00547634">
        <w:t xml:space="preserve">efinition of </w:t>
      </w:r>
      <w:r w:rsidR="00D00F9C">
        <w:t>d</w:t>
      </w:r>
      <w:r w:rsidRPr="00547634">
        <w:t xml:space="preserve">esign </w:t>
      </w:r>
      <w:r w:rsidR="00D00F9C">
        <w:t>b</w:t>
      </w:r>
      <w:r w:rsidRPr="00547634">
        <w:t xml:space="preserve">ases for </w:t>
      </w:r>
      <w:r w:rsidR="00D00F9C">
        <w:t>n</w:t>
      </w:r>
      <w:r w:rsidRPr="00547634">
        <w:t>on-</w:t>
      </w:r>
      <w:r w:rsidR="00D00F9C">
        <w:t>d</w:t>
      </w:r>
      <w:r w:rsidRPr="00547634">
        <w:t xml:space="preserve">iscrete </w:t>
      </w:r>
      <w:r w:rsidR="00D00F9C">
        <w:t>e</w:t>
      </w:r>
      <w:r w:rsidRPr="00547634">
        <w:t xml:space="preserve">xternal </w:t>
      </w:r>
      <w:r w:rsidR="00D00F9C">
        <w:t>h</w:t>
      </w:r>
      <w:r w:rsidRPr="00547634">
        <w:t>azards</w:t>
      </w:r>
    </w:p>
    <w:p w14:paraId="2AD44C10" w14:textId="54254FBE" w:rsidR="00DF4935" w:rsidRPr="00643A8D" w:rsidRDefault="00DF4935" w:rsidP="000D6BF8">
      <w:pPr>
        <w:pStyle w:val="F9-Paragraph"/>
        <w:ind w:hanging="502"/>
      </w:pPr>
      <w:bookmarkStart w:id="582" w:name="_Ref501346802"/>
      <w:r w:rsidRPr="000100FE">
        <w:t xml:space="preserve">SAP EHA.4 makes a clear expectation that design bases for non-discrete hazards, </w:t>
      </w:r>
      <w:r w:rsidRPr="00547634">
        <w:t>defined at 10</w:t>
      </w:r>
      <w:r w:rsidRPr="00F8764A">
        <w:rPr>
          <w:vertAlign w:val="superscript"/>
        </w:rPr>
        <w:t>-4</w:t>
      </w:r>
      <w:r w:rsidR="00CE0805" w:rsidRPr="00547634">
        <w:t>/y</w:t>
      </w:r>
      <w:r w:rsidRPr="00643A8D">
        <w:t>, should be conservatively defined but provides no advice on how to define either the level of overall conservatism, or the manner in which conservative assumptions are applied to the hazard analysis process.</w:t>
      </w:r>
      <w:bookmarkEnd w:id="582"/>
      <w:r w:rsidR="0039224C" w:rsidRPr="00547634">
        <w:t xml:space="preserve"> Guidance is therefore provided in the following paragraphs.</w:t>
      </w:r>
    </w:p>
    <w:p w14:paraId="6E07E218" w14:textId="3671032A" w:rsidR="00765935" w:rsidRPr="00643A8D" w:rsidRDefault="00DF4935" w:rsidP="000D6BF8">
      <w:pPr>
        <w:pStyle w:val="F9-Paragraph"/>
        <w:ind w:hanging="502"/>
      </w:pPr>
      <w:r w:rsidRPr="000D6BF8">
        <w:t xml:space="preserve">The criteria in terms of unmitigated dose consequences </w:t>
      </w:r>
      <w:r w:rsidR="00CE0805" w:rsidRPr="000D6BF8">
        <w:t>are</w:t>
      </w:r>
      <w:r w:rsidRPr="000D6BF8">
        <w:t xml:space="preserve"> </w:t>
      </w:r>
      <w:r w:rsidR="00363AEF" w:rsidRPr="000D6BF8">
        <w:t>that</w:t>
      </w:r>
      <w:r w:rsidRPr="000D6BF8">
        <w:t xml:space="preserve"> facilities that could potentially give rise to doses greater than 100mSv to any person off-site, or 500mSv to a worker</w:t>
      </w:r>
      <w:r w:rsidR="00363AEF" w:rsidRPr="000D6BF8">
        <w:t>,</w:t>
      </w:r>
      <w:r w:rsidRPr="000D6BF8">
        <w:t xml:space="preserve"> </w:t>
      </w:r>
      <w:r w:rsidR="008A0EEF" w:rsidRPr="000D6BF8">
        <w:t>are expected to have</w:t>
      </w:r>
      <w:r w:rsidRPr="000D6BF8">
        <w:t xml:space="preserve"> a </w:t>
      </w:r>
      <w:r w:rsidR="00D63A5C" w:rsidRPr="000D6BF8">
        <w:t>DBE</w:t>
      </w:r>
      <w:r w:rsidRPr="000D6BF8">
        <w:t xml:space="preserve"> that conservatively has a predicted frequency of being exceeded no more than 10</w:t>
      </w:r>
      <w:r w:rsidRPr="000D6BF8">
        <w:rPr>
          <w:vertAlign w:val="superscript"/>
        </w:rPr>
        <w:t>-4</w:t>
      </w:r>
      <w:r w:rsidRPr="000D6BF8">
        <w:t>/y</w:t>
      </w:r>
      <w:r w:rsidR="0066722F" w:rsidRPr="000D6BF8">
        <w:t>.</w:t>
      </w:r>
      <w:r w:rsidRPr="000D6BF8">
        <w:t xml:space="preserve"> This criterion is illustrated as part of Figure 2.</w:t>
      </w:r>
    </w:p>
    <w:p w14:paraId="57CB9DAA" w14:textId="77777777" w:rsidR="00765935" w:rsidRDefault="00765935" w:rsidP="00765935">
      <w:pPr>
        <w:pStyle w:val="F9-Paragraph"/>
        <w:numPr>
          <w:ilvl w:val="0"/>
          <w:numId w:val="0"/>
        </w:numPr>
        <w:ind w:left="851" w:hanging="851"/>
      </w:pPr>
    </w:p>
    <w:p w14:paraId="7F66971C" w14:textId="44F43017" w:rsidR="00765935" w:rsidRDefault="00EC3E54" w:rsidP="00547634">
      <w:pPr>
        <w:pStyle w:val="F9-Paragraph"/>
        <w:keepNext/>
        <w:numPr>
          <w:ilvl w:val="0"/>
          <w:numId w:val="0"/>
        </w:numPr>
        <w:ind w:left="851" w:hanging="851"/>
      </w:pPr>
      <w:r>
        <w:rPr>
          <w:noProof/>
        </w:rPr>
        <w:lastRenderedPageBreak/>
        <w:drawing>
          <wp:inline distT="0" distB="0" distL="0" distR="0" wp14:anchorId="66E5CEA0" wp14:editId="29F26A81">
            <wp:extent cx="5731510" cy="5205730"/>
            <wp:effectExtent l="0" t="0" r="0" b="0"/>
            <wp:docPr id="116" name="Picture 116"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descr="Graphical user interface&#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31510" cy="5205730"/>
                    </a:xfrm>
                    <a:prstGeom prst="rect">
                      <a:avLst/>
                    </a:prstGeom>
                  </pic:spPr>
                </pic:pic>
              </a:graphicData>
            </a:graphic>
          </wp:inline>
        </w:drawing>
      </w:r>
    </w:p>
    <w:p w14:paraId="3CDD5479" w14:textId="5B0F81D1" w:rsidR="00765935" w:rsidRDefault="00765935" w:rsidP="00765935">
      <w:pPr>
        <w:pStyle w:val="Caption"/>
        <w:jc w:val="center"/>
      </w:pPr>
      <w:bookmarkStart w:id="583" w:name="_Toc140137296"/>
      <w:r>
        <w:t xml:space="preserve">Figure </w:t>
      </w:r>
      <w:fldSimple w:instr=" SEQ Figure \* ARABIC ">
        <w:r w:rsidR="008B51F7">
          <w:rPr>
            <w:noProof/>
          </w:rPr>
          <w:t>2</w:t>
        </w:r>
      </w:fldSimple>
      <w:r>
        <w:t>: Engineering and Fault Studies criterion for External Hazards</w:t>
      </w:r>
      <w:bookmarkEnd w:id="583"/>
    </w:p>
    <w:p w14:paraId="5F9DDD52" w14:textId="34E26C55" w:rsidR="00B33A92" w:rsidRPr="00D63A5C" w:rsidRDefault="00B33A92" w:rsidP="000D6BF8">
      <w:pPr>
        <w:pStyle w:val="F9-Paragraph"/>
        <w:ind w:hanging="502"/>
      </w:pPr>
      <w:r w:rsidRPr="00D63A5C">
        <w:t xml:space="preserve">The </w:t>
      </w:r>
      <w:r w:rsidRPr="00547634">
        <w:t>effort</w:t>
      </w:r>
      <w:r w:rsidRPr="00D63A5C">
        <w:t xml:space="preserve"> in deriving a </w:t>
      </w:r>
      <w:r w:rsidRPr="00C56750">
        <w:t xml:space="preserve">conservative </w:t>
      </w:r>
      <w:r w:rsidR="00617BB0" w:rsidRPr="00C56750">
        <w:t>DB</w:t>
      </w:r>
      <w:r w:rsidRPr="00C56750">
        <w:t xml:space="preserve"> definition at 10</w:t>
      </w:r>
      <w:r w:rsidRPr="00F8764A">
        <w:rPr>
          <w:vertAlign w:val="superscript"/>
        </w:rPr>
        <w:t>-4</w:t>
      </w:r>
      <w:r w:rsidR="0023706B" w:rsidRPr="00C56750">
        <w:t>/y</w:t>
      </w:r>
      <w:r w:rsidRPr="00C56750">
        <w:t xml:space="preserve"> is most notable for non-discrete natural hazards, since the DB</w:t>
      </w:r>
      <w:r w:rsidRPr="00547634">
        <w:t xml:space="preserve"> for discrete hazards are defined at 10</w:t>
      </w:r>
      <w:r w:rsidRPr="00F8764A">
        <w:rPr>
          <w:vertAlign w:val="superscript"/>
        </w:rPr>
        <w:t>-5</w:t>
      </w:r>
      <w:r w:rsidR="0023706B" w:rsidRPr="00547634">
        <w:t>/y</w:t>
      </w:r>
      <w:r w:rsidRPr="00547634">
        <w:t xml:space="preserve"> so do not require conservatism</w:t>
      </w:r>
      <w:r w:rsidRPr="00D63A5C">
        <w:t xml:space="preserve">. For these non-discrete </w:t>
      </w:r>
      <w:r w:rsidR="00640E70">
        <w:t>NEHs</w:t>
      </w:r>
      <w:r w:rsidRPr="00D63A5C">
        <w:t xml:space="preserve"> especially, inspectors should consider the following:</w:t>
      </w:r>
    </w:p>
    <w:p w14:paraId="46408714" w14:textId="2F21460C" w:rsidR="00B33A92" w:rsidRPr="000100FE" w:rsidRDefault="003A6ABE" w:rsidP="00547634">
      <w:pPr>
        <w:pStyle w:val="Bulletlist1"/>
      </w:pPr>
      <w:r>
        <w:t>T</w:t>
      </w:r>
      <w:r w:rsidR="00B33A92" w:rsidRPr="000100FE">
        <w:t xml:space="preserve">he most important aspect is that the </w:t>
      </w:r>
      <w:r w:rsidR="00905540">
        <w:t>l</w:t>
      </w:r>
      <w:r w:rsidR="00B33A92" w:rsidRPr="000100FE">
        <w:t xml:space="preserve">icensee should demonstrate that the risk arising from EHs is ALARP. The need for a conservative estimate of </w:t>
      </w:r>
      <w:r w:rsidR="00617BB0">
        <w:t>DB</w:t>
      </w:r>
      <w:r w:rsidR="00B33A92" w:rsidRPr="000100FE">
        <w:t xml:space="preserve"> hazard severity at the </w:t>
      </w:r>
      <w:bookmarkStart w:id="584" w:name="_Hlk127550811"/>
      <w:r w:rsidR="00B33A92" w:rsidRPr="000100FE">
        <w:t>10</w:t>
      </w:r>
      <w:r w:rsidR="00B33A92" w:rsidRPr="000100FE">
        <w:rPr>
          <w:vertAlign w:val="superscript"/>
        </w:rPr>
        <w:t>-4</w:t>
      </w:r>
      <w:r w:rsidR="00B33A92" w:rsidRPr="000100FE">
        <w:t xml:space="preserve">/y </w:t>
      </w:r>
      <w:r w:rsidR="00996B10">
        <w:t>frequency</w:t>
      </w:r>
      <w:r w:rsidR="00996B10" w:rsidRPr="000100FE">
        <w:t xml:space="preserve"> </w:t>
      </w:r>
      <w:r w:rsidR="00B33A92" w:rsidRPr="000100FE">
        <w:t xml:space="preserve">of exceedance point </w:t>
      </w:r>
      <w:bookmarkEnd w:id="584"/>
      <w:r w:rsidR="00B33A92" w:rsidRPr="000100FE">
        <w:t>on the hazard curve, is considered by ONR to be consistent with such a demonstration and is captured by EHA.4 and FA.5 paragraph 628(c).</w:t>
      </w:r>
    </w:p>
    <w:p w14:paraId="348AE082" w14:textId="2297965C" w:rsidR="00B33A92" w:rsidRPr="000100FE" w:rsidRDefault="00B33A92" w:rsidP="00547634">
      <w:pPr>
        <w:pStyle w:val="Bulletlist1"/>
      </w:pPr>
      <w:r w:rsidRPr="000100FE">
        <w:t>For a hazard analysis performed in line with modern RGP, a general expectation is that the conservatism will be of the order of the 84%-tile of the distribution at the 10</w:t>
      </w:r>
      <w:r w:rsidRPr="000100FE">
        <w:rPr>
          <w:vertAlign w:val="superscript"/>
        </w:rPr>
        <w:t>-4</w:t>
      </w:r>
      <w:r w:rsidRPr="000100FE">
        <w:t xml:space="preserve">/y </w:t>
      </w:r>
      <w:r w:rsidR="00273DEA">
        <w:t>frequency</w:t>
      </w:r>
      <w:r w:rsidRPr="000100FE">
        <w:t xml:space="preserve"> of exceedance point. This value is considered suitable for Class 1 SSCs.</w:t>
      </w:r>
      <w:r w:rsidRPr="007C2D93">
        <w:t xml:space="preserve"> </w:t>
      </w:r>
      <w:r w:rsidR="008A3B53">
        <w:t xml:space="preserve">As implied by paragraph </w:t>
      </w:r>
      <w:r w:rsidR="008A3B53">
        <w:fldChar w:fldCharType="begin"/>
      </w:r>
      <w:r w:rsidR="008A3B53">
        <w:instrText xml:space="preserve"> REF _Ref143007363 \r \h </w:instrText>
      </w:r>
      <w:r w:rsidR="008A3B53">
        <w:fldChar w:fldCharType="separate"/>
      </w:r>
      <w:r w:rsidR="008A3B53">
        <w:t>46</w:t>
      </w:r>
      <w:r w:rsidR="008A3B53">
        <w:fldChar w:fldCharType="end"/>
      </w:r>
      <w:r w:rsidR="008A3B53">
        <w:t xml:space="preserve"> t</w:t>
      </w:r>
      <w:r w:rsidRPr="00547634">
        <w:t xml:space="preserve">he option exists for licensees to present cases that apply a reduction factor in the case of Class 2 and Class 3 SSCs but this needs </w:t>
      </w:r>
      <w:r w:rsidRPr="00547634">
        <w:lastRenderedPageBreak/>
        <w:t>to be done on a case-by-case basis in concert with the relevant discipline for the particular SSC</w:t>
      </w:r>
      <w:r w:rsidR="008A3B53">
        <w:t>.</w:t>
      </w:r>
    </w:p>
    <w:p w14:paraId="4ED3B7B0" w14:textId="4904A8D0" w:rsidR="00B33A92" w:rsidRPr="000100FE" w:rsidRDefault="00571B1A" w:rsidP="00547634">
      <w:pPr>
        <w:pStyle w:val="Bulletlist1"/>
      </w:pPr>
      <w:r>
        <w:t xml:space="preserve">In practice the numerical difference between </w:t>
      </w:r>
      <w:r w:rsidR="00FC7327">
        <w:t>a DBE based on</w:t>
      </w:r>
      <w:r w:rsidR="00B33A92" w:rsidRPr="000100FE">
        <w:t xml:space="preserve"> the 84%-tile of the distribution at the 10</w:t>
      </w:r>
      <w:r w:rsidR="00B33A92" w:rsidRPr="000100FE">
        <w:rPr>
          <w:vertAlign w:val="superscript"/>
        </w:rPr>
        <w:t>-4</w:t>
      </w:r>
      <w:r w:rsidR="00B33A92" w:rsidRPr="000100FE">
        <w:t xml:space="preserve">/y </w:t>
      </w:r>
      <w:r w:rsidR="00273DEA">
        <w:t>frequency</w:t>
      </w:r>
      <w:r w:rsidR="00B33A92" w:rsidRPr="000100FE">
        <w:t xml:space="preserve"> of exceedance point </w:t>
      </w:r>
      <w:r w:rsidR="00B637AE">
        <w:t>and the</w:t>
      </w:r>
      <w:r w:rsidR="00B33A92" w:rsidRPr="000100FE">
        <w:t xml:space="preserve"> mean based </w:t>
      </w:r>
      <w:r w:rsidR="00BB52FE">
        <w:t>EH</w:t>
      </w:r>
      <w:r w:rsidR="00B33A92" w:rsidRPr="000100FE">
        <w:t xml:space="preserve"> at the 10</w:t>
      </w:r>
      <w:r w:rsidR="00B33A92" w:rsidRPr="000100FE">
        <w:rPr>
          <w:vertAlign w:val="superscript"/>
        </w:rPr>
        <w:t>-5</w:t>
      </w:r>
      <w:r w:rsidR="00B33A92" w:rsidRPr="000100FE">
        <w:t xml:space="preserve">/y </w:t>
      </w:r>
      <w:r w:rsidR="00273DEA">
        <w:t>frequency</w:t>
      </w:r>
      <w:r w:rsidR="00B33A92" w:rsidRPr="000100FE">
        <w:t xml:space="preserve"> of exceedance</w:t>
      </w:r>
      <w:r w:rsidR="00513F9A">
        <w:t xml:space="preserve"> may </w:t>
      </w:r>
      <w:r w:rsidR="00F02980">
        <w:t>be quite small</w:t>
      </w:r>
      <w:r w:rsidR="00B33A92" w:rsidRPr="000100FE">
        <w:t>.</w:t>
      </w:r>
      <w:r w:rsidR="0084694A">
        <w:t xml:space="preserve"> Adopting a DB based on the latter </w:t>
      </w:r>
      <w:r w:rsidR="00AE4D56">
        <w:t xml:space="preserve">may be </w:t>
      </w:r>
      <w:r w:rsidR="00E06CAD">
        <w:t xml:space="preserve">judged adequate, provided </w:t>
      </w:r>
      <w:r w:rsidR="00AF3747">
        <w:t xml:space="preserve">it is also established </w:t>
      </w:r>
      <w:r w:rsidR="00DE43C9">
        <w:t xml:space="preserve">that </w:t>
      </w:r>
      <w:r w:rsidR="00DE43C9" w:rsidRPr="00DE43C9">
        <w:t>there is margin in the plant’s capacity to resist the hazard</w:t>
      </w:r>
      <w:r w:rsidR="009E112A">
        <w:t xml:space="preserve">, consistent with </w:t>
      </w:r>
      <w:r w:rsidR="00D11211">
        <w:t xml:space="preserve">SAP EHA.7. </w:t>
      </w:r>
    </w:p>
    <w:p w14:paraId="2B3ABA53" w14:textId="77777777" w:rsidR="00B33A92" w:rsidRPr="000100FE" w:rsidRDefault="00B33A92" w:rsidP="00547634">
      <w:pPr>
        <w:pStyle w:val="Bulletlist1"/>
      </w:pPr>
      <w:r w:rsidRPr="000100FE">
        <w:t>Any abrupt changes in the hazard curve should be thoroughly investigated and a detailed explanation of the cause provided.</w:t>
      </w:r>
    </w:p>
    <w:p w14:paraId="070ABE66" w14:textId="20729585" w:rsidR="00B33A92" w:rsidRPr="00FF4935" w:rsidRDefault="00B33A92" w:rsidP="00547634">
      <w:pPr>
        <w:pStyle w:val="Bulletlist1"/>
      </w:pPr>
      <w:r w:rsidRPr="00FF4935">
        <w:t xml:space="preserve">The use of sensitivity studies (SAP AV.6) can assist in identifying the parameters or analysis aspects on which a </w:t>
      </w:r>
      <w:r w:rsidR="00617BB0">
        <w:t>DB</w:t>
      </w:r>
      <w:r w:rsidRPr="00FF4935">
        <w:t xml:space="preserve"> is very dependent. </w:t>
      </w:r>
      <w:r w:rsidRPr="00547634">
        <w:t xml:space="preserve">It </w:t>
      </w:r>
      <w:r w:rsidR="006178BC">
        <w:t>may</w:t>
      </w:r>
      <w:r w:rsidRPr="00547634">
        <w:t xml:space="preserve"> also indicate the potential range of uncertainties.</w:t>
      </w:r>
      <w:r w:rsidRPr="00FF4935">
        <w:t xml:space="preserve"> Where these parameters or issues are also associated with a high degree of uncertainty, this </w:t>
      </w:r>
      <w:r w:rsidR="007C17F2">
        <w:t>may</w:t>
      </w:r>
      <w:r w:rsidRPr="00FF4935">
        <w:t xml:space="preserve"> indicate where </w:t>
      </w:r>
      <w:r w:rsidRPr="00547634">
        <w:t>alternative means of increasing the data pool might be considered necessary.</w:t>
      </w:r>
    </w:p>
    <w:p w14:paraId="42370407" w14:textId="3F783DD8" w:rsidR="00B33A92" w:rsidRPr="00547634" w:rsidRDefault="00B33A92" w:rsidP="000D6BF8">
      <w:pPr>
        <w:pStyle w:val="F9-Paragraph"/>
        <w:ind w:hanging="502"/>
      </w:pPr>
      <w:r w:rsidRPr="00154C2A">
        <w:t xml:space="preserve">For existing plant where it may be difficult for the </w:t>
      </w:r>
      <w:r w:rsidR="003D7206">
        <w:t>l</w:t>
      </w:r>
      <w:r w:rsidRPr="00154C2A">
        <w:t xml:space="preserve">icensee to demonstrate that a </w:t>
      </w:r>
      <w:r w:rsidR="008E4D73" w:rsidRPr="00154C2A">
        <w:t>DBE</w:t>
      </w:r>
      <w:r w:rsidRPr="00154C2A">
        <w:t xml:space="preserve"> is conservative in line with the expectations of EHA.4 and RGP, possibly because the hazard analysis predates a modern interpretation of RGP, the </w:t>
      </w:r>
      <w:r w:rsidRPr="00547634">
        <w:t xml:space="preserve">inspector </w:t>
      </w:r>
      <w:r w:rsidR="00A5706D">
        <w:t>could</w:t>
      </w:r>
      <w:r w:rsidR="00A5706D" w:rsidRPr="00547634">
        <w:t xml:space="preserve"> </w:t>
      </w:r>
      <w:r w:rsidRPr="00547634">
        <w:t xml:space="preserve">obtain support from other disciplines to confirm, or not, that there is margin in the plant’s capacity to resist the hazard. </w:t>
      </w:r>
      <w:r w:rsidRPr="00154C2A">
        <w:t xml:space="preserve">In such cases, </w:t>
      </w:r>
      <w:r w:rsidR="004B4655">
        <w:t>l</w:t>
      </w:r>
      <w:r w:rsidRPr="00154C2A">
        <w:t xml:space="preserve">icensee safety cases </w:t>
      </w:r>
      <w:r w:rsidR="00636581">
        <w:t>should</w:t>
      </w:r>
      <w:r w:rsidR="00636581" w:rsidRPr="00154C2A">
        <w:t xml:space="preserve"> </w:t>
      </w:r>
      <w:r w:rsidRPr="00154C2A">
        <w:t>make clear that this is where the demonstration of conservatism exist</w:t>
      </w:r>
      <w:r w:rsidR="009260FA">
        <w:t>s</w:t>
      </w:r>
      <w:r w:rsidRPr="00154C2A">
        <w:t xml:space="preserve"> and provide a reasoned argument as </w:t>
      </w:r>
      <w:r w:rsidRPr="00547634">
        <w:t xml:space="preserve">to why the approach is valid and is equivalent to a demonstration of conservatism in the </w:t>
      </w:r>
      <w:r w:rsidR="00BB52FE">
        <w:t>EH</w:t>
      </w:r>
      <w:r w:rsidR="00BF19DA">
        <w:t xml:space="preserve"> derivation</w:t>
      </w:r>
      <w:r w:rsidRPr="00547634">
        <w:t xml:space="preserve">. This latter requirement is to ensure that the </w:t>
      </w:r>
      <w:r w:rsidR="00BF19DA">
        <w:t>c</w:t>
      </w:r>
      <w:r w:rsidRPr="00547634">
        <w:t xml:space="preserve">liff-edge and </w:t>
      </w:r>
      <w:r w:rsidR="00BF19DA">
        <w:t>BDB</w:t>
      </w:r>
      <w:r w:rsidRPr="00547634">
        <w:t xml:space="preserve"> capacity is not eroded.</w:t>
      </w:r>
      <w:r w:rsidR="00A003E5">
        <w:t xml:space="preserve"> Where th</w:t>
      </w:r>
      <w:r w:rsidR="00032C76">
        <w:t xml:space="preserve">e above </w:t>
      </w:r>
      <w:r w:rsidR="00A003E5">
        <w:t>cannot be demonstrated</w:t>
      </w:r>
      <w:r w:rsidR="001A1CEF">
        <w:t>,</w:t>
      </w:r>
      <w:r w:rsidR="00A003E5">
        <w:t xml:space="preserve"> </w:t>
      </w:r>
      <w:r w:rsidR="00667D60">
        <w:t xml:space="preserve">it may be acceptable for </w:t>
      </w:r>
      <w:r w:rsidR="00032C76">
        <w:t xml:space="preserve">a SSE </w:t>
      </w:r>
      <w:r w:rsidR="005817A4">
        <w:t xml:space="preserve">to be </w:t>
      </w:r>
      <w:r w:rsidR="00032C76">
        <w:t>defined</w:t>
      </w:r>
      <w:r w:rsidR="005817A4">
        <w:t xml:space="preserve">, along with an </w:t>
      </w:r>
      <w:r w:rsidR="00032C76">
        <w:t>underpinn</w:t>
      </w:r>
      <w:r w:rsidR="005817A4">
        <w:t>ing</w:t>
      </w:r>
      <w:r w:rsidR="00032C76">
        <w:t xml:space="preserve"> ALARP justification, see paragraph </w:t>
      </w:r>
      <w:r w:rsidR="00032C76">
        <w:fldChar w:fldCharType="begin"/>
      </w:r>
      <w:r w:rsidR="00032C76">
        <w:instrText xml:space="preserve"> REF _Ref138760794 \r \h </w:instrText>
      </w:r>
      <w:r w:rsidR="00221C99">
        <w:instrText xml:space="preserve"> \* MERGEFORMAT </w:instrText>
      </w:r>
      <w:r w:rsidR="00032C76">
        <w:fldChar w:fldCharType="separate"/>
      </w:r>
      <w:r w:rsidR="008B51F7">
        <w:t>49</w:t>
      </w:r>
      <w:r w:rsidR="00032C76">
        <w:fldChar w:fldCharType="end"/>
      </w:r>
      <w:r w:rsidR="005817A4">
        <w:t xml:space="preserve"> above.</w:t>
      </w:r>
    </w:p>
    <w:p w14:paraId="53A26A7E" w14:textId="20956382" w:rsidR="00B33A92" w:rsidRDefault="00B33A92" w:rsidP="000D6BF8">
      <w:pPr>
        <w:pStyle w:val="F9-Paragraph"/>
        <w:ind w:hanging="502"/>
      </w:pPr>
      <w:r w:rsidRPr="00C56750">
        <w:t xml:space="preserve">Referring to Figure 2, it can be seen that the </w:t>
      </w:r>
      <w:r w:rsidR="00617BB0" w:rsidRPr="00C56750">
        <w:t>DBE</w:t>
      </w:r>
      <w:r w:rsidRPr="00C56750">
        <w:t xml:space="preserve"> definition at 10</w:t>
      </w:r>
      <w:r w:rsidRPr="00F8764A">
        <w:rPr>
          <w:vertAlign w:val="superscript"/>
        </w:rPr>
        <w:t>-4</w:t>
      </w:r>
      <w:r w:rsidRPr="00C56750">
        <w:t xml:space="preserve"> and the effective DB threshold for natural hazards, the black dashed line, appears to be less onerous than</w:t>
      </w:r>
      <w:r w:rsidRPr="00AD26E8">
        <w:t xml:space="preserve"> that defined for fault analysis. This</w:t>
      </w:r>
      <w:r w:rsidR="00AA7A69">
        <w:t>,</w:t>
      </w:r>
      <w:r w:rsidRPr="00AD26E8">
        <w:t xml:space="preserve"> however</w:t>
      </w:r>
      <w:r w:rsidR="00AA7A69">
        <w:t>,</w:t>
      </w:r>
      <w:r w:rsidRPr="00AD26E8">
        <w:t xml:space="preserve"> is not the case because the Initiating Event Frequencies (IEFs) for plant / SSC initiated faults are evaluated on a best estimate basis</w:t>
      </w:r>
      <w:r w:rsidR="00AA7A69">
        <w:t xml:space="preserve">. </w:t>
      </w:r>
      <w:r w:rsidR="00C56750">
        <w:t>W</w:t>
      </w:r>
      <w:r w:rsidR="00C56750" w:rsidRPr="00AD26E8">
        <w:t>hereas</w:t>
      </w:r>
      <w:r w:rsidRPr="00AD26E8">
        <w:t xml:space="preserve"> exceedance frequencies for non-discrete EHs should be evaluated on a conservative basis at 10</w:t>
      </w:r>
      <w:r w:rsidRPr="00F8764A">
        <w:rPr>
          <w:vertAlign w:val="superscript"/>
        </w:rPr>
        <w:t>-4</w:t>
      </w:r>
      <w:r w:rsidR="007A7031">
        <w:t>/y</w:t>
      </w:r>
      <w:r w:rsidRPr="00AD26E8">
        <w:t xml:space="preserve"> to take uncertainty into account </w:t>
      </w:r>
      <w:r w:rsidR="00A416BC">
        <w:t>(</w:t>
      </w:r>
      <w:r w:rsidRPr="00AD26E8">
        <w:t>or optionally at 10</w:t>
      </w:r>
      <w:r w:rsidRPr="00F8764A">
        <w:rPr>
          <w:vertAlign w:val="superscript"/>
        </w:rPr>
        <w:t>-5</w:t>
      </w:r>
      <w:r w:rsidR="0023706B">
        <w:t>/y</w:t>
      </w:r>
      <w:r w:rsidRPr="00AD26E8">
        <w:t xml:space="preserve"> mean for non-discrete </w:t>
      </w:r>
      <w:r w:rsidR="00BB52FE">
        <w:t>EHs</w:t>
      </w:r>
      <w:r w:rsidR="00A416BC">
        <w:t>)</w:t>
      </w:r>
      <w:r w:rsidRPr="00AD26E8">
        <w:t xml:space="preserve"> and 10</w:t>
      </w:r>
      <w:r w:rsidRPr="00F8764A">
        <w:rPr>
          <w:vertAlign w:val="superscript"/>
        </w:rPr>
        <w:t>-5</w:t>
      </w:r>
      <w:r w:rsidR="0023706B">
        <w:t>/y</w:t>
      </w:r>
      <w:r w:rsidRPr="00AD26E8">
        <w:t xml:space="preserve"> mean for discrete </w:t>
      </w:r>
      <w:r w:rsidR="00BB52FE">
        <w:t>EHs</w:t>
      </w:r>
      <w:r w:rsidRPr="00AD26E8">
        <w:t xml:space="preserve"> as shown by the brown dashed line in Figure 2.</w:t>
      </w:r>
    </w:p>
    <w:p w14:paraId="35F1585A" w14:textId="3978BC04" w:rsidR="00B03E91" w:rsidRPr="00BE0A74" w:rsidRDefault="00075882" w:rsidP="002079B5">
      <w:pPr>
        <w:pStyle w:val="Heading4"/>
      </w:pPr>
      <w:r w:rsidRPr="00547634">
        <w:t xml:space="preserve">Development of a </w:t>
      </w:r>
      <w:r w:rsidR="002079B5">
        <w:t>b</w:t>
      </w:r>
      <w:r w:rsidRPr="00547634">
        <w:t xml:space="preserve">asis of </w:t>
      </w:r>
      <w:r w:rsidR="002079B5">
        <w:t>d</w:t>
      </w:r>
      <w:r w:rsidRPr="00547634">
        <w:t xml:space="preserve">esign that </w:t>
      </w:r>
      <w:r w:rsidR="000670B4" w:rsidRPr="00547634">
        <w:t>corresponds to</w:t>
      </w:r>
      <w:r w:rsidRPr="00547634">
        <w:t xml:space="preserve"> the DBE</w:t>
      </w:r>
    </w:p>
    <w:p w14:paraId="2FCC4B96" w14:textId="23065C45" w:rsidR="00614D92" w:rsidRPr="00BE0A74" w:rsidRDefault="00811F64" w:rsidP="000D6BF8">
      <w:pPr>
        <w:pStyle w:val="F9-Paragraph"/>
        <w:ind w:hanging="502"/>
      </w:pPr>
      <w:r w:rsidRPr="00547634">
        <w:t>With the DBE defined</w:t>
      </w:r>
      <w:r w:rsidR="00614D92" w:rsidRPr="00547634">
        <w:t>,</w:t>
      </w:r>
      <w:r w:rsidRPr="00547634">
        <w:t xml:space="preserve"> </w:t>
      </w:r>
      <w:r w:rsidR="003D2602" w:rsidRPr="00547634">
        <w:t xml:space="preserve">a </w:t>
      </w:r>
      <w:proofErr w:type="spellStart"/>
      <w:r w:rsidR="003D2602" w:rsidRPr="00547634">
        <w:t>BoD</w:t>
      </w:r>
      <w:proofErr w:type="spellEnd"/>
      <w:r w:rsidR="003D2602" w:rsidRPr="00547634">
        <w:t xml:space="preserve"> </w:t>
      </w:r>
      <w:r w:rsidR="00FC6D37" w:rsidRPr="00547634">
        <w:t xml:space="preserve">for SSCs </w:t>
      </w:r>
      <w:r w:rsidR="003D2602" w:rsidRPr="00547634">
        <w:t xml:space="preserve">needs to be developed that </w:t>
      </w:r>
      <w:r w:rsidR="001F507A" w:rsidRPr="00547634">
        <w:t xml:space="preserve">corresponds to </w:t>
      </w:r>
      <w:r w:rsidR="003D2602" w:rsidRPr="00547634">
        <w:t>the DBE</w:t>
      </w:r>
      <w:r w:rsidR="00614D92" w:rsidRPr="00547634">
        <w:t>,</w:t>
      </w:r>
      <w:r w:rsidR="003D2602" w:rsidRPr="00547634">
        <w:t xml:space="preserve"> whilst being of </w:t>
      </w:r>
      <w:r w:rsidR="002E663E" w:rsidRPr="00547634">
        <w:t xml:space="preserve">the necessary </w:t>
      </w:r>
      <w:r w:rsidR="003D2602" w:rsidRPr="00547634">
        <w:t xml:space="preserve">format </w:t>
      </w:r>
      <w:r w:rsidR="00614D92" w:rsidRPr="00547634">
        <w:t>for use as</w:t>
      </w:r>
      <w:r w:rsidR="002E663E" w:rsidRPr="00547634">
        <w:t xml:space="preserve"> input to the engineering analysis for design and substantiation of SSCs. </w:t>
      </w:r>
      <w:r w:rsidR="006A4539" w:rsidRPr="00547634">
        <w:t>For some hazards</w:t>
      </w:r>
      <w:r w:rsidR="00B31E60">
        <w:t>,</w:t>
      </w:r>
      <w:r w:rsidR="006A4539" w:rsidRPr="00547634">
        <w:t xml:space="preserve"> such as seismic</w:t>
      </w:r>
      <w:r w:rsidR="00B31E60">
        <w:t>,</w:t>
      </w:r>
      <w:r w:rsidR="006A4539" w:rsidRPr="00547634">
        <w:t xml:space="preserve"> the </w:t>
      </w:r>
      <w:r w:rsidR="00CD71AF" w:rsidRPr="00547634">
        <w:t xml:space="preserve">DBE is </w:t>
      </w:r>
      <w:r w:rsidR="006A4539" w:rsidRPr="00547634">
        <w:t xml:space="preserve">often </w:t>
      </w:r>
      <w:r w:rsidR="00CD71AF" w:rsidRPr="00547634">
        <w:t xml:space="preserve">standardised </w:t>
      </w:r>
      <w:r w:rsidR="002C52B0" w:rsidRPr="00547634">
        <w:t>in some manner</w:t>
      </w:r>
      <w:r w:rsidR="006A4539" w:rsidRPr="00547634">
        <w:t xml:space="preserve"> to simplify the shape</w:t>
      </w:r>
      <w:r w:rsidR="00614D92" w:rsidRPr="00547634">
        <w:t>, whereas sometimes the DBE is used directly.</w:t>
      </w:r>
      <w:r w:rsidR="003734B0" w:rsidRPr="00BE0A74">
        <w:t xml:space="preserve"> </w:t>
      </w:r>
      <w:r w:rsidR="00D70001">
        <w:t>A</w:t>
      </w:r>
      <w:r w:rsidR="00614D92" w:rsidRPr="00BE0A74">
        <w:t xml:space="preserve">ssessment </w:t>
      </w:r>
      <w:r w:rsidR="00614D92" w:rsidRPr="00BE0A74">
        <w:lastRenderedPageBreak/>
        <w:t xml:space="preserve">of the </w:t>
      </w:r>
      <w:proofErr w:type="spellStart"/>
      <w:r w:rsidR="00614D92" w:rsidRPr="00BE0A74">
        <w:t>BoD</w:t>
      </w:r>
      <w:proofErr w:type="spellEnd"/>
      <w:r w:rsidR="00614D92" w:rsidRPr="00BE0A74">
        <w:t xml:space="preserve"> will require EH to work in collaboration with the </w:t>
      </w:r>
      <w:r w:rsidR="003734B0" w:rsidRPr="00BE0A74">
        <w:t>relevant engineering disciplines.</w:t>
      </w:r>
    </w:p>
    <w:p w14:paraId="18DC3779" w14:textId="3E69D0D6" w:rsidR="00B33A92" w:rsidRPr="00547634" w:rsidRDefault="00B33A92" w:rsidP="002079B5">
      <w:pPr>
        <w:pStyle w:val="Heading4"/>
      </w:pPr>
      <w:r w:rsidRPr="00547634">
        <w:t xml:space="preserve">The </w:t>
      </w:r>
      <w:r w:rsidR="002079B5">
        <w:t>u</w:t>
      </w:r>
      <w:r w:rsidRPr="00547634">
        <w:t xml:space="preserve">se of </w:t>
      </w:r>
      <w:r w:rsidR="002079B5">
        <w:t>d</w:t>
      </w:r>
      <w:r w:rsidRPr="00547634">
        <w:t xml:space="preserve">esign </w:t>
      </w:r>
      <w:r w:rsidR="002079B5">
        <w:t>b</w:t>
      </w:r>
      <w:r w:rsidRPr="00547634">
        <w:t xml:space="preserve">asis </w:t>
      </w:r>
      <w:r w:rsidR="002079B5">
        <w:t>a</w:t>
      </w:r>
      <w:r w:rsidRPr="00547634">
        <w:t xml:space="preserve">nalysis to </w:t>
      </w:r>
      <w:r w:rsidR="002079B5">
        <w:t>s</w:t>
      </w:r>
      <w:r w:rsidRPr="00547634">
        <w:t xml:space="preserve">upport </w:t>
      </w:r>
      <w:r w:rsidR="002079B5">
        <w:t>o</w:t>
      </w:r>
      <w:r w:rsidRPr="00547634">
        <w:t xml:space="preserve">verall </w:t>
      </w:r>
      <w:r w:rsidR="002079B5">
        <w:t>r</w:t>
      </w:r>
      <w:r w:rsidRPr="00547634">
        <w:t xml:space="preserve">isk </w:t>
      </w:r>
      <w:r w:rsidR="002079B5">
        <w:t>t</w:t>
      </w:r>
      <w:r w:rsidRPr="00547634">
        <w:t>argets</w:t>
      </w:r>
    </w:p>
    <w:p w14:paraId="5348CC50" w14:textId="3C5F9668" w:rsidR="00B33A92" w:rsidRDefault="00B33A92" w:rsidP="000D6BF8">
      <w:pPr>
        <w:pStyle w:val="F9-Paragraph"/>
        <w:ind w:hanging="502"/>
      </w:pPr>
      <w:bookmarkStart w:id="585" w:name="_Ref448478401"/>
      <w:bookmarkStart w:id="586" w:name="_Toc462321726"/>
      <w:bookmarkStart w:id="587" w:name="_Toc473126305"/>
      <w:bookmarkStart w:id="588" w:name="_Toc473127925"/>
      <w:bookmarkStart w:id="589" w:name="_Ref473545314"/>
      <w:r w:rsidRPr="00E06DCC">
        <w:t xml:space="preserve">The success criteria for DBA are set out in SAP FA.7. The </w:t>
      </w:r>
      <w:r w:rsidR="00C709CE">
        <w:t>l</w:t>
      </w:r>
      <w:r w:rsidRPr="00E06DCC">
        <w:t xml:space="preserve">icensee should define a protection concept that describes the barriers required to protect against EH </w:t>
      </w:r>
      <w:r w:rsidR="00617BB0">
        <w:t>DBE</w:t>
      </w:r>
      <w:r w:rsidRPr="00E06DCC">
        <w:t>s (with due consideration of BDB events and severe accidents). The intent is that</w:t>
      </w:r>
      <w:r w:rsidR="00861A70">
        <w:t>,</w:t>
      </w:r>
      <w:r w:rsidRPr="00E06DCC">
        <w:t xml:space="preserve"> following a </w:t>
      </w:r>
      <w:r w:rsidR="00617BB0">
        <w:t>DBE</w:t>
      </w:r>
      <w:r w:rsidRPr="00E06DCC">
        <w:t xml:space="preserve"> and successful operation of the protection and mitigation measures, none of the physical barriers to prevent the escape of a significant quantity of radioactive material should be breached, there should be no release of radioactivity and no person should receive a significant dose of radiation, see SAP paragraph 635. SAP paragraph 637 clarifies that a significant escape of radioactive material is defined by the Basic Safety Objectives quoted in </w:t>
      </w:r>
      <w:r w:rsidR="003A5AC2" w:rsidRPr="00E06DCC">
        <w:t>SAP Target 4.</w:t>
      </w:r>
      <w:bookmarkEnd w:id="585"/>
      <w:bookmarkEnd w:id="586"/>
      <w:bookmarkEnd w:id="587"/>
      <w:bookmarkEnd w:id="588"/>
      <w:bookmarkEnd w:id="589"/>
    </w:p>
    <w:p w14:paraId="2AD2EB1C" w14:textId="2473C12B" w:rsidR="00B33A92" w:rsidRDefault="00B33A92" w:rsidP="000D6BF8">
      <w:pPr>
        <w:pStyle w:val="F9-Paragraph"/>
        <w:ind w:hanging="502"/>
      </w:pPr>
      <w:bookmarkStart w:id="590" w:name="_Toc462321728"/>
      <w:bookmarkStart w:id="591" w:name="_Toc473126307"/>
      <w:bookmarkStart w:id="592" w:name="_Toc473127927"/>
      <w:r w:rsidRPr="00E06DCC">
        <w:t>The intent of DBA is that, used in conjunction with good engineering principles as described in the SAPs (</w:t>
      </w:r>
      <w:r w:rsidR="00D17305" w:rsidRPr="00E06DCC">
        <w:t>e.g.,</w:t>
      </w:r>
      <w:r w:rsidRPr="00E06DCC">
        <w:t xml:space="preserve"> EKP.1 to EKP.3), it guides the development of a plant design that can meet risk targets, or otherwise a design where risk has been reduced ALARP. The criterion for discrete EHs whose design bas</w:t>
      </w:r>
      <w:r w:rsidR="009E552E">
        <w:t>e</w:t>
      </w:r>
      <w:r w:rsidRPr="00E06DCC">
        <w:t>s are defined at the mean 10</w:t>
      </w:r>
      <w:r w:rsidRPr="00F8764A">
        <w:rPr>
          <w:vertAlign w:val="superscript"/>
        </w:rPr>
        <w:t>-5</w:t>
      </w:r>
      <w:r w:rsidRPr="00E06DCC">
        <w:t>/y frequency</w:t>
      </w:r>
      <w:r w:rsidRPr="005A2770">
        <w:rPr>
          <w:vertAlign w:val="superscript"/>
        </w:rPr>
        <w:footnoteReference w:id="12"/>
      </w:r>
      <w:r w:rsidRPr="00E06DCC">
        <w:t xml:space="preserve"> is judged to be consistent with this intent.</w:t>
      </w:r>
      <w:bookmarkEnd w:id="590"/>
      <w:bookmarkEnd w:id="591"/>
      <w:bookmarkEnd w:id="592"/>
    </w:p>
    <w:p w14:paraId="2387CA9E" w14:textId="5E93034F" w:rsidR="00B33A92" w:rsidRPr="00115CC0" w:rsidRDefault="00B33A92" w:rsidP="000D6BF8">
      <w:pPr>
        <w:pStyle w:val="F9-Paragraph"/>
        <w:ind w:hanging="502"/>
      </w:pPr>
      <w:bookmarkStart w:id="593" w:name="_Toc462321729"/>
      <w:bookmarkStart w:id="594" w:name="_Toc473126308"/>
      <w:bookmarkStart w:id="595" w:name="_Toc473127928"/>
      <w:bookmarkStart w:id="596" w:name="_Ref443651918"/>
      <w:r w:rsidRPr="00115CC0">
        <w:t>Similarly, the use of good engineering principles applied to protect and mitigate conservatively defined non-discrete EH initiated faults down to the 10</w:t>
      </w:r>
      <w:r w:rsidRPr="00F8764A">
        <w:rPr>
          <w:vertAlign w:val="superscript"/>
        </w:rPr>
        <w:t>-4</w:t>
      </w:r>
      <w:r w:rsidRPr="00115CC0">
        <w:t>/y exceedance frequency value is likely to produce a plant that can meet the risk targets, with balanced risks from different classes of initiating event (EHA.18 paragraph 246(d) and SAP paragraph 749), and whose risks are reduced ALARP.</w:t>
      </w:r>
      <w:bookmarkEnd w:id="593"/>
      <w:bookmarkEnd w:id="594"/>
      <w:bookmarkEnd w:id="595"/>
      <w:r w:rsidR="00115CC0" w:rsidRPr="00115CC0">
        <w:t xml:space="preserve"> </w:t>
      </w:r>
      <w:bookmarkStart w:id="597" w:name="_Toc462321730"/>
      <w:bookmarkStart w:id="598" w:name="_Toc473126309"/>
      <w:bookmarkStart w:id="599" w:name="_Toc473127929"/>
      <w:r w:rsidRPr="00115CC0">
        <w:t xml:space="preserve">That the </w:t>
      </w:r>
      <w:r w:rsidR="00617BB0">
        <w:t>DB</w:t>
      </w:r>
      <w:r w:rsidRPr="00115CC0">
        <w:t xml:space="preserve"> is evaluated on a conservative rather than best estimate basis is taken into consideration in reaching this conclusion</w:t>
      </w:r>
      <w:bookmarkEnd w:id="596"/>
      <w:bookmarkEnd w:id="597"/>
      <w:bookmarkEnd w:id="598"/>
      <w:bookmarkEnd w:id="599"/>
      <w:r w:rsidRPr="00115CC0">
        <w:t>.</w:t>
      </w:r>
    </w:p>
    <w:p w14:paraId="2B74DD1A" w14:textId="08F29C51" w:rsidR="00B33A92" w:rsidRPr="008E14C8" w:rsidRDefault="00B33A92" w:rsidP="000D6BF8">
      <w:pPr>
        <w:pStyle w:val="F9-Paragraph"/>
        <w:ind w:hanging="502"/>
      </w:pPr>
      <w:bookmarkStart w:id="600" w:name="_Ref442351171"/>
      <w:bookmarkStart w:id="601" w:name="_Ref448484009"/>
      <w:bookmarkStart w:id="602" w:name="_Toc462321732"/>
      <w:bookmarkStart w:id="603" w:name="_Toc473126311"/>
      <w:bookmarkStart w:id="604" w:name="_Toc473127931"/>
      <w:r w:rsidRPr="00E06DCC">
        <w:t xml:space="preserve">The </w:t>
      </w:r>
      <w:r w:rsidR="00617BB0">
        <w:t>DB</w:t>
      </w:r>
      <w:r w:rsidRPr="00E06DCC">
        <w:t xml:space="preserve"> process should prevent EHs considered within the </w:t>
      </w:r>
      <w:r w:rsidR="00617BB0">
        <w:t>DB</w:t>
      </w:r>
      <w:r w:rsidRPr="00E06DCC">
        <w:t xml:space="preserve"> from initiating accidents that lead to core damage and fission product release for reactor systems, or significant release for non-reactor systems. Natural hazards, however, are described by </w:t>
      </w:r>
      <w:r w:rsidRPr="008E14C8">
        <w:t>hazard curves covering a wide range of frequencies, part of which extends well below 10</w:t>
      </w:r>
      <w:r w:rsidRPr="00F8764A">
        <w:rPr>
          <w:vertAlign w:val="superscript"/>
        </w:rPr>
        <w:t>-4</w:t>
      </w:r>
      <w:r w:rsidRPr="008E14C8">
        <w:t>/</w:t>
      </w:r>
      <w:r w:rsidR="007A7031" w:rsidRPr="008E14C8">
        <w:t>y</w:t>
      </w:r>
      <w:r w:rsidRPr="008E14C8">
        <w:t xml:space="preserve">, and therefore some consideration must also be given to events at these very low frequencies. Such events may contribute significantly to facility risk. </w:t>
      </w:r>
      <w:r w:rsidRPr="00547634">
        <w:t xml:space="preserve">Therefore, for non-discrete hazards, </w:t>
      </w:r>
      <w:r w:rsidRPr="008E14C8">
        <w:t>BDBA and PSA are very important and often help to define the hazard severity at which plant failure occurs.</w:t>
      </w:r>
      <w:bookmarkEnd w:id="600"/>
      <w:bookmarkEnd w:id="601"/>
      <w:bookmarkEnd w:id="602"/>
      <w:bookmarkEnd w:id="603"/>
      <w:bookmarkEnd w:id="604"/>
    </w:p>
    <w:p w14:paraId="193592B7" w14:textId="4AB187EF" w:rsidR="00335E13" w:rsidRPr="00547634" w:rsidRDefault="00B33A92" w:rsidP="000D6BF8">
      <w:pPr>
        <w:pStyle w:val="F9-Paragraph"/>
        <w:ind w:hanging="502"/>
      </w:pPr>
      <w:bookmarkStart w:id="605" w:name="_Ref448478331"/>
      <w:bookmarkStart w:id="606" w:name="_Toc462321734"/>
      <w:bookmarkStart w:id="607" w:name="_Toc473126313"/>
      <w:bookmarkStart w:id="608" w:name="_Toc473127933"/>
      <w:r w:rsidRPr="00547634">
        <w:t xml:space="preserve">When the hazard analysis is complete and </w:t>
      </w:r>
      <w:r w:rsidR="00617BB0">
        <w:t>DBE</w:t>
      </w:r>
      <w:r w:rsidRPr="00547634">
        <w:t xml:space="preserve">s defined, the </w:t>
      </w:r>
      <w:r w:rsidR="0040081B">
        <w:t>l</w:t>
      </w:r>
      <w:r w:rsidRPr="00547634">
        <w:t xml:space="preserve">icensee should define relevant parameters to input to the plant / SSC design process or plant / SSC withstand substantiation. This subject extends beyond the scope of this </w:t>
      </w:r>
      <w:r w:rsidR="00337003" w:rsidRPr="00337003">
        <w:t>TAG but</w:t>
      </w:r>
      <w:r w:rsidRPr="00547634">
        <w:t xml:space="preserve"> is discussed as appropriate within individual hazards appendices and annexes (see also paragraph</w:t>
      </w:r>
      <w:r w:rsidR="00081DFF">
        <w:t xml:space="preserve"> </w:t>
      </w:r>
      <w:r w:rsidR="00081DFF">
        <w:fldChar w:fldCharType="begin"/>
      </w:r>
      <w:r w:rsidR="00081DFF">
        <w:instrText xml:space="preserve"> REF _Ref473993849 \r \h </w:instrText>
      </w:r>
      <w:r w:rsidR="00221C99">
        <w:instrText xml:space="preserve"> \* MERGEFORMAT </w:instrText>
      </w:r>
      <w:r w:rsidR="00081DFF">
        <w:fldChar w:fldCharType="separate"/>
      </w:r>
      <w:r w:rsidR="008B51F7">
        <w:t>20</w:t>
      </w:r>
      <w:r w:rsidR="00081DFF">
        <w:fldChar w:fldCharType="end"/>
      </w:r>
      <w:r w:rsidRPr="00547634">
        <w:t>).</w:t>
      </w:r>
      <w:bookmarkEnd w:id="605"/>
      <w:bookmarkEnd w:id="606"/>
      <w:bookmarkEnd w:id="607"/>
      <w:bookmarkEnd w:id="608"/>
    </w:p>
    <w:p w14:paraId="31C5B47B" w14:textId="2EA30B28" w:rsidR="00B33A92" w:rsidRDefault="00B33A92" w:rsidP="00547634">
      <w:pPr>
        <w:pStyle w:val="Heading3"/>
      </w:pPr>
      <w:r>
        <w:lastRenderedPageBreak/>
        <w:t>C</w:t>
      </w:r>
      <w:r w:rsidRPr="009058C9">
        <w:t>liff-edge considerations</w:t>
      </w:r>
    </w:p>
    <w:p w14:paraId="08A9B0F2" w14:textId="33A6B7D4" w:rsidR="00B33A92" w:rsidRPr="00547634" w:rsidRDefault="00B33A92" w:rsidP="000D6BF8">
      <w:pPr>
        <w:pStyle w:val="F9-Paragraph"/>
        <w:ind w:hanging="502"/>
      </w:pPr>
      <w:r w:rsidRPr="0097186D">
        <w:t xml:space="preserve">SAP EHA.7 expects cliff-edge effects should be considered. </w:t>
      </w:r>
      <w:r w:rsidRPr="00547634">
        <w:t>This applies when the 10</w:t>
      </w:r>
      <w:r w:rsidRPr="00F8764A">
        <w:rPr>
          <w:vertAlign w:val="superscript"/>
        </w:rPr>
        <w:t>-4</w:t>
      </w:r>
      <w:r w:rsidR="00174069" w:rsidRPr="00547634">
        <w:t>/y</w:t>
      </w:r>
      <w:r w:rsidRPr="00547634">
        <w:t xml:space="preserve"> level with the included conservatism is selected for the </w:t>
      </w:r>
      <w:r w:rsidR="00617BB0">
        <w:t>DB</w:t>
      </w:r>
      <w:r w:rsidRPr="00547634">
        <w:t>.</w:t>
      </w:r>
      <w:r w:rsidRPr="0097186D">
        <w:t xml:space="preserve"> The objective of examining cliff-edge effects is to test whether a small change in a contributing factor in the safety argument can lead to a significant change to the consequences or risk. This analysis needs to be carried out using the same approach that was used to develop the </w:t>
      </w:r>
      <w:r w:rsidR="00617BB0">
        <w:t>DBA</w:t>
      </w:r>
      <w:r w:rsidRPr="0097186D">
        <w:t>, namely on a deterministic basis, with the appropriate level of conservatism</w:t>
      </w:r>
      <w:r w:rsidRPr="00547634">
        <w:t xml:space="preserve">, which should be the same as that used in the </w:t>
      </w:r>
      <w:r w:rsidR="00617BB0">
        <w:t xml:space="preserve">DB </w:t>
      </w:r>
      <w:r w:rsidRPr="00547634">
        <w:t>engineering analysis.</w:t>
      </w:r>
    </w:p>
    <w:p w14:paraId="70F5FAB8" w14:textId="48C8D993" w:rsidR="00B33A92" w:rsidRDefault="00B33A92" w:rsidP="000D6BF8">
      <w:pPr>
        <w:pStyle w:val="F9-Paragraph"/>
        <w:ind w:hanging="502"/>
      </w:pPr>
      <w:r>
        <w:t xml:space="preserve">A successful outcome from the cliff-edge analyses will form a robust starting point for the </w:t>
      </w:r>
      <w:r w:rsidR="00244B5A">
        <w:t>BDB</w:t>
      </w:r>
      <w:r>
        <w:t xml:space="preserve"> analysis, which is the subject of the next section. Cliff-edge considerations do not form a conceptual boundary between the </w:t>
      </w:r>
      <w:r w:rsidR="00244B5A" w:rsidRPr="00C56750">
        <w:t>DB</w:t>
      </w:r>
      <w:r>
        <w:t xml:space="preserve"> and the B</w:t>
      </w:r>
      <w:r w:rsidR="00244B5A">
        <w:t>DB</w:t>
      </w:r>
      <w:r>
        <w:t>, rather they are a sensitivity analysis. Hence it is not shown on Figure 2.</w:t>
      </w:r>
    </w:p>
    <w:p w14:paraId="27A057A3" w14:textId="27D0D303" w:rsidR="00B33A92" w:rsidRDefault="00B33A92" w:rsidP="000D6BF8">
      <w:pPr>
        <w:pStyle w:val="F9-Paragraph"/>
        <w:ind w:hanging="502"/>
      </w:pPr>
      <w:r>
        <w:t xml:space="preserve">Whilst this document is centred on </w:t>
      </w:r>
      <w:r w:rsidR="007831C8">
        <w:t>EHs</w:t>
      </w:r>
      <w:r>
        <w:t xml:space="preserve">, when conservatism is being accounted for there can sometimes be other features of the safety case that involve using a </w:t>
      </w:r>
      <w:r w:rsidRPr="0097186D">
        <w:t>range of possible values. For the cliff-edge analysis</w:t>
      </w:r>
      <w:r w:rsidRPr="00547634">
        <w:t>,</w:t>
      </w:r>
      <w:r w:rsidRPr="0097186D">
        <w:t xml:space="preserve"> where these features interact with </w:t>
      </w:r>
      <w:r w:rsidR="007831C8">
        <w:t>EHs</w:t>
      </w:r>
      <w:r w:rsidRPr="00547634">
        <w:t>,</w:t>
      </w:r>
      <w:r w:rsidRPr="0097186D">
        <w:t xml:space="preserve"> the values should be the same as are used for the </w:t>
      </w:r>
      <w:r w:rsidR="00244B5A">
        <w:t>DB</w:t>
      </w:r>
      <w:r w:rsidRPr="0097186D">
        <w:t xml:space="preserve"> </w:t>
      </w:r>
      <w:r w:rsidRPr="00547634">
        <w:t xml:space="preserve">engineering </w:t>
      </w:r>
      <w:r w:rsidRPr="0097186D">
        <w:t>analysis.</w:t>
      </w:r>
    </w:p>
    <w:p w14:paraId="1A4A903A" w14:textId="54C5D578" w:rsidR="00B33A92" w:rsidRDefault="00B33A92" w:rsidP="000D6BF8">
      <w:pPr>
        <w:pStyle w:val="F9-Paragraph"/>
        <w:ind w:hanging="502"/>
      </w:pPr>
      <w:r w:rsidRPr="00874B5E">
        <w:t xml:space="preserve">The way in which this principle is satisfied may depend on the nature of the hazard being addressed. For some </w:t>
      </w:r>
      <w:r>
        <w:t xml:space="preserve">non-discrete </w:t>
      </w:r>
      <w:r w:rsidRPr="00874B5E">
        <w:t>hazards</w:t>
      </w:r>
      <w:r>
        <w:t>,</w:t>
      </w:r>
      <w:r w:rsidRPr="00874B5E">
        <w:t xml:space="preserve"> a point will be reached where there is a step change in the effect on the installation. </w:t>
      </w:r>
      <w:r>
        <w:t>F</w:t>
      </w:r>
      <w:r w:rsidRPr="00874B5E">
        <w:t>or example</w:t>
      </w:r>
      <w:r>
        <w:t>,</w:t>
      </w:r>
      <w:r w:rsidRPr="00874B5E">
        <w:t xml:space="preserve"> </w:t>
      </w:r>
      <w:r>
        <w:t>i</w:t>
      </w:r>
      <w:r w:rsidRPr="00874B5E">
        <w:t xml:space="preserve">n the case of </w:t>
      </w:r>
      <w:r>
        <w:t>coastal</w:t>
      </w:r>
      <w:r w:rsidRPr="00874B5E">
        <w:t xml:space="preserve"> flooding, the site defences </w:t>
      </w:r>
      <w:r>
        <w:t xml:space="preserve">may </w:t>
      </w:r>
      <w:r w:rsidRPr="00874B5E">
        <w:t>become overtopped</w:t>
      </w:r>
      <w:r>
        <w:t xml:space="preserve"> by </w:t>
      </w:r>
      <w:r w:rsidRPr="00086B13">
        <w:t>still-water flood height</w:t>
      </w:r>
      <w:r>
        <w:t>.</w:t>
      </w:r>
      <w:r w:rsidRPr="00874B5E">
        <w:t xml:space="preserve"> In such cases, it needs to be shown that there is a </w:t>
      </w:r>
      <w:r w:rsidRPr="00D959D3">
        <w:t>margin</w:t>
      </w:r>
      <w:r w:rsidRPr="00874B5E">
        <w:t xml:space="preserve"> between the </w:t>
      </w:r>
      <w:r w:rsidR="00617BB0">
        <w:t>DB</w:t>
      </w:r>
      <w:r w:rsidRPr="00874B5E">
        <w:t xml:space="preserve"> </w:t>
      </w:r>
      <w:r>
        <w:t xml:space="preserve">flood level </w:t>
      </w:r>
      <w:r w:rsidRPr="00874B5E">
        <w:t xml:space="preserve">and the </w:t>
      </w:r>
      <w:r>
        <w:t>height</w:t>
      </w:r>
      <w:r w:rsidRPr="00874B5E">
        <w:t xml:space="preserve"> at which this step change would occur.</w:t>
      </w:r>
    </w:p>
    <w:p w14:paraId="737B2AD3" w14:textId="0C1B421F" w:rsidR="00760FAB" w:rsidRPr="00874B5E" w:rsidRDefault="00760FAB" w:rsidP="00547634">
      <w:pPr>
        <w:pStyle w:val="Heading3"/>
      </w:pPr>
      <w:bookmarkStart w:id="609" w:name="_Toc473126322"/>
      <w:bookmarkStart w:id="610" w:name="_Toc473127942"/>
      <w:bookmarkStart w:id="611" w:name="_Ref473992215"/>
      <w:bookmarkStart w:id="612" w:name="_Ref475372877"/>
      <w:bookmarkStart w:id="613" w:name="_Ref475373564"/>
      <w:bookmarkStart w:id="614" w:name="_Ref475373874"/>
      <w:bookmarkStart w:id="615" w:name="_Ref475516426"/>
      <w:bookmarkStart w:id="616" w:name="_Ref475516704"/>
      <w:bookmarkStart w:id="617" w:name="_Ref138756096"/>
      <w:r>
        <w:t>B</w:t>
      </w:r>
      <w:r w:rsidRPr="00874B5E">
        <w:t xml:space="preserve">eyond </w:t>
      </w:r>
      <w:r w:rsidR="002079B5">
        <w:t>d</w:t>
      </w:r>
      <w:r>
        <w:t xml:space="preserve">esign </w:t>
      </w:r>
      <w:r w:rsidR="002079B5">
        <w:t>b</w:t>
      </w:r>
      <w:r w:rsidRPr="00874B5E">
        <w:t xml:space="preserve">asis </w:t>
      </w:r>
      <w:r>
        <w:t>for</w:t>
      </w:r>
      <w:r w:rsidRPr="00874B5E">
        <w:t xml:space="preserve"> </w:t>
      </w:r>
      <w:r>
        <w:t>e</w:t>
      </w:r>
      <w:r w:rsidRPr="00874B5E">
        <w:t xml:space="preserve">xternal </w:t>
      </w:r>
      <w:r>
        <w:t>h</w:t>
      </w:r>
      <w:r w:rsidRPr="00874B5E">
        <w:t>azards</w:t>
      </w:r>
      <w:bookmarkEnd w:id="609"/>
      <w:bookmarkEnd w:id="610"/>
      <w:bookmarkEnd w:id="611"/>
      <w:bookmarkEnd w:id="612"/>
      <w:bookmarkEnd w:id="613"/>
      <w:bookmarkEnd w:id="614"/>
      <w:bookmarkEnd w:id="615"/>
      <w:bookmarkEnd w:id="616"/>
      <w:bookmarkEnd w:id="617"/>
    </w:p>
    <w:p w14:paraId="01E6A4AD" w14:textId="6037FF7A" w:rsidR="00760FAB" w:rsidRPr="00C56750" w:rsidRDefault="00760FAB" w:rsidP="000D6BF8">
      <w:pPr>
        <w:pStyle w:val="F9-Paragraph"/>
        <w:ind w:hanging="502"/>
      </w:pPr>
      <w:bookmarkStart w:id="618" w:name="_Ref447801948"/>
      <w:bookmarkStart w:id="619" w:name="_Toc462321744"/>
      <w:bookmarkStart w:id="620" w:name="_Toc473126323"/>
      <w:bookmarkStart w:id="621" w:name="_Toc473127943"/>
      <w:bookmarkStart w:id="622" w:name="_Ref444700408"/>
      <w:bookmarkStart w:id="623" w:name="_Ref441861486"/>
      <w:r>
        <w:t>B</w:t>
      </w:r>
      <w:r w:rsidR="00244B5A">
        <w:t xml:space="preserve">DB </w:t>
      </w:r>
      <w:r>
        <w:t xml:space="preserve">is not restricted to the subject of EHs. However, because some EHs are characterised as non-discrete (in contrast to </w:t>
      </w:r>
      <w:r w:rsidR="00C71E72">
        <w:t>plant-initiated</w:t>
      </w:r>
      <w:r>
        <w:t xml:space="preserve"> faults for example), they will necessarily have a BDB component to consider, as the site</w:t>
      </w:r>
      <w:r w:rsidR="00FE2742">
        <w:t>-specific</w:t>
      </w:r>
      <w:r>
        <w:t xml:space="preserve"> hazard can be </w:t>
      </w:r>
      <w:r w:rsidRPr="00C56750">
        <w:t xml:space="preserve">computed down to very low frequencies (albeit in some instances with increasing levels of uncertainty), well below the </w:t>
      </w:r>
      <w:r w:rsidR="00617BB0" w:rsidRPr="00C56750">
        <w:t>DB</w:t>
      </w:r>
      <w:r w:rsidRPr="00C56750">
        <w:t xml:space="preserve"> frequency. Figure 2 shows that the BDB </w:t>
      </w:r>
      <w:r w:rsidR="0090351C">
        <w:t xml:space="preserve">realm </w:t>
      </w:r>
      <w:r w:rsidRPr="00C56750">
        <w:t xml:space="preserve">starts at </w:t>
      </w:r>
      <w:r w:rsidR="00E33E61">
        <w:t>the DB</w:t>
      </w:r>
      <w:r w:rsidR="009F5A3E">
        <w:t xml:space="preserve"> level (</w:t>
      </w:r>
      <w:r w:rsidRPr="00C56750">
        <w:t>either 10</w:t>
      </w:r>
      <w:r w:rsidRPr="00F8764A">
        <w:rPr>
          <w:vertAlign w:val="superscript"/>
        </w:rPr>
        <w:t>-4</w:t>
      </w:r>
      <w:r w:rsidR="00174069" w:rsidRPr="00C56750">
        <w:t>/y</w:t>
      </w:r>
      <w:r w:rsidRPr="00C56750">
        <w:t xml:space="preserve"> level with the included conservatism or at the optional 10</w:t>
      </w:r>
      <w:r w:rsidRPr="00F8764A">
        <w:rPr>
          <w:vertAlign w:val="superscript"/>
        </w:rPr>
        <w:t>-5</w:t>
      </w:r>
      <w:r w:rsidR="00174069" w:rsidRPr="00C56750">
        <w:t>/y</w:t>
      </w:r>
      <w:r w:rsidRPr="00C56750">
        <w:t xml:space="preserve"> mean level</w:t>
      </w:r>
      <w:r w:rsidR="009F5A3E">
        <w:t>)</w:t>
      </w:r>
      <w:r w:rsidRPr="00C56750">
        <w:t>.</w:t>
      </w:r>
      <w:r w:rsidR="00931C7C">
        <w:t xml:space="preserve"> </w:t>
      </w:r>
      <w:r w:rsidR="004127D4">
        <w:t xml:space="preserve">The inspector should note </w:t>
      </w:r>
      <w:r w:rsidRPr="00C56750">
        <w:t xml:space="preserve">that the BDB </w:t>
      </w:r>
      <w:r w:rsidR="00BB52FE" w:rsidRPr="00C56750">
        <w:t>EH</w:t>
      </w:r>
      <w:r w:rsidRPr="00C56750">
        <w:t xml:space="preserve"> is </w:t>
      </w:r>
      <w:r w:rsidR="00290C8F">
        <w:t xml:space="preserve">defined and </w:t>
      </w:r>
      <w:r w:rsidR="00A7061E">
        <w:t>treated</w:t>
      </w:r>
      <w:r w:rsidRPr="00C56750">
        <w:t xml:space="preserve"> </w:t>
      </w:r>
      <w:r w:rsidR="00A7061E">
        <w:t xml:space="preserve">on a </w:t>
      </w:r>
      <w:r w:rsidRPr="00C56750">
        <w:t>best estimate</w:t>
      </w:r>
      <w:r w:rsidR="00A7061E">
        <w:t xml:space="preserve"> basis</w:t>
      </w:r>
      <w:r w:rsidRPr="00C56750">
        <w:t xml:space="preserve">. </w:t>
      </w:r>
    </w:p>
    <w:p w14:paraId="08482E7C" w14:textId="5B0A1900" w:rsidR="00760FAB" w:rsidRDefault="00760FAB" w:rsidP="000D6BF8">
      <w:pPr>
        <w:pStyle w:val="F9-Paragraph"/>
        <w:ind w:hanging="502"/>
      </w:pPr>
      <w:r w:rsidRPr="00C56750">
        <w:t xml:space="preserve">The purpose of BDB engineering analysis is to demonstrate that for EH events that can extend significantly beyond the </w:t>
      </w:r>
      <w:r w:rsidR="00A057CF" w:rsidRPr="00C56750">
        <w:t>DB</w:t>
      </w:r>
      <w:r w:rsidRPr="00C56750">
        <w:t xml:space="preserve">, the </w:t>
      </w:r>
      <w:r w:rsidR="00D62BB2">
        <w:t>l</w:t>
      </w:r>
      <w:r w:rsidRPr="00C56750">
        <w:t>icensee has an understanding of how</w:t>
      </w:r>
      <w:r w:rsidR="00A82A81" w:rsidRPr="00C56750">
        <w:t xml:space="preserve"> </w:t>
      </w:r>
      <w:r w:rsidRPr="00C56750">
        <w:t>progressively nuclear safety significant plant / SSCs responds, what failure modes can occur</w:t>
      </w:r>
      <w:r w:rsidR="00244B5A" w:rsidRPr="00C56750">
        <w:t>,</w:t>
      </w:r>
      <w:r w:rsidRPr="00C56750">
        <w:t xml:space="preserve"> and how the ability of plant / SSCs and operators to deliver safety functions is degraded.</w:t>
      </w:r>
    </w:p>
    <w:p w14:paraId="18F38A00" w14:textId="670A6EEB" w:rsidR="00DE3459" w:rsidRPr="00D51758" w:rsidRDefault="00DE3459" w:rsidP="000D6BF8">
      <w:pPr>
        <w:pStyle w:val="F9-Paragraph"/>
        <w:ind w:hanging="502"/>
      </w:pPr>
      <w:r w:rsidRPr="00D51758">
        <w:t xml:space="preserve">For hazards such as earthquake, the forces acting on the facility will continue to increase progressively with increasing size of event. A demonstration is needed that there will not be a step change in the response of the installation </w:t>
      </w:r>
      <w:r w:rsidRPr="00D51758">
        <w:lastRenderedPageBreak/>
        <w:t>to the hazard (e.g., collapse of a floor or wall) for an appropriate range of events more severe than the</w:t>
      </w:r>
      <w:r>
        <w:t xml:space="preserve"> DBE</w:t>
      </w:r>
      <w:r w:rsidRPr="00D51758">
        <w:t xml:space="preserve">. The response of a </w:t>
      </w:r>
      <w:r w:rsidRPr="00547634">
        <w:t>SSC</w:t>
      </w:r>
      <w:r w:rsidRPr="00D51758">
        <w:t xml:space="preserve"> to earthquake loads beyond the </w:t>
      </w:r>
      <w:r>
        <w:t>DB</w:t>
      </w:r>
      <w:r w:rsidRPr="00D51758">
        <w:t xml:space="preserve"> can be enhanced considerably by </w:t>
      </w:r>
      <w:r w:rsidRPr="00547634">
        <w:t>adopting a form that performs in a ductile manner or in progressive failure modes.</w:t>
      </w:r>
      <w:r w:rsidRPr="00D51758">
        <w:t xml:space="preserve"> This is a preferred method of demonstrating no disproportionate increase in consequences for </w:t>
      </w:r>
      <w:r w:rsidRPr="00547634">
        <w:t>SSCs</w:t>
      </w:r>
      <w:r w:rsidRPr="00D51758">
        <w:t xml:space="preserve"> unless </w:t>
      </w:r>
      <w:r w:rsidRPr="00547634">
        <w:t>failure</w:t>
      </w:r>
      <w:r w:rsidRPr="00D51758">
        <w:t xml:space="preserve"> can be argued as being of little consequence. </w:t>
      </w:r>
    </w:p>
    <w:p w14:paraId="5201D793" w14:textId="77777777" w:rsidR="00DE3459" w:rsidRDefault="00DE3459" w:rsidP="000D6BF8">
      <w:pPr>
        <w:pStyle w:val="F9-Paragraph"/>
        <w:ind w:hanging="502"/>
      </w:pPr>
      <w:r w:rsidRPr="00874B5E">
        <w:t>The accurate identification of critical failure modes and their nature (</w:t>
      </w:r>
      <w:r>
        <w:t xml:space="preserve">e.g., </w:t>
      </w:r>
      <w:r w:rsidRPr="00874B5E">
        <w:t>ductile or non-ductile) is helpful since this can aid the identification of the actual threshold of failure.</w:t>
      </w:r>
      <w:r>
        <w:t xml:space="preserve"> </w:t>
      </w:r>
    </w:p>
    <w:p w14:paraId="2BB7F75F" w14:textId="2C4C0775" w:rsidR="00DE3459" w:rsidRDefault="00DE3459" w:rsidP="000D6BF8">
      <w:pPr>
        <w:pStyle w:val="F9-Paragraph"/>
        <w:ind w:hanging="502"/>
      </w:pPr>
      <w:r>
        <w:t xml:space="preserve">In respect of safety related equipment, </w:t>
      </w:r>
      <w:r w:rsidRPr="006B63CF">
        <w:t xml:space="preserve">loss of safety function should not, where practicable, lead to another fault condition, i.e., equipment should be designed, where practicable, to fail </w:t>
      </w:r>
      <w:r w:rsidR="00787CF8">
        <w:t xml:space="preserve">to a </w:t>
      </w:r>
      <w:r w:rsidRPr="006B63CF">
        <w:t xml:space="preserve">safe </w:t>
      </w:r>
      <w:r w:rsidR="00787CF8">
        <w:t xml:space="preserve">condition </w:t>
      </w:r>
      <w:r w:rsidRPr="006B63CF">
        <w:t xml:space="preserve">following an EH </w:t>
      </w:r>
      <w:r w:rsidRPr="00547634">
        <w:t>event</w:t>
      </w:r>
      <w:r w:rsidRPr="006B63CF">
        <w:t>.</w:t>
      </w:r>
    </w:p>
    <w:p w14:paraId="4B99D09A" w14:textId="77777777" w:rsidR="00DE3459" w:rsidRPr="009A1326" w:rsidRDefault="00DE3459" w:rsidP="000D6BF8">
      <w:pPr>
        <w:pStyle w:val="F9-Paragraph"/>
        <w:ind w:hanging="502"/>
      </w:pPr>
      <w:r w:rsidRPr="009A1326">
        <w:t xml:space="preserve">The BDB engineering analysis and the BDBA should demonstrate that a margin exists between the </w:t>
      </w:r>
      <w:r>
        <w:t>DB</w:t>
      </w:r>
      <w:r w:rsidRPr="009A1326">
        <w:t xml:space="preserve"> and the loss of the </w:t>
      </w:r>
      <w:r>
        <w:t>DB</w:t>
      </w:r>
      <w:r w:rsidRPr="009A1326">
        <w:t xml:space="preserve"> safety function that reflects the known uncertainties in both hazard analysis and plant response analysis. This is considered to represent good engineering practice. The advice of SAPs ECE.2, ECE.6 and supporting paragraphs, in particular, are relevant to the analysis of BDB response of civil structures.</w:t>
      </w:r>
    </w:p>
    <w:p w14:paraId="66E47CA9" w14:textId="745DAE68" w:rsidR="00DE3459" w:rsidRPr="00547634" w:rsidRDefault="00DE3459" w:rsidP="000D6BF8">
      <w:pPr>
        <w:pStyle w:val="F9-Paragraph"/>
        <w:ind w:hanging="502"/>
      </w:pPr>
      <w:r w:rsidRPr="009A1326">
        <w:t xml:space="preserve">For non-discrete hazards the analysis of BDB events cannot generally be divorced from consideration of the exceedance frequency of the events considered. For the BDB </w:t>
      </w:r>
      <w:r w:rsidRPr="00547634">
        <w:t>engineering analysis</w:t>
      </w:r>
      <w:r w:rsidRPr="009A1326">
        <w:t>, a range of increasing hazard severities should be used to examine the BDB</w:t>
      </w:r>
      <w:r w:rsidR="002E6EAF">
        <w:t xml:space="preserve">, </w:t>
      </w:r>
      <w:r w:rsidR="00096122">
        <w:t>w</w:t>
      </w:r>
      <w:r w:rsidRPr="00547634">
        <w:t>ith the same applying to the BDBA.</w:t>
      </w:r>
    </w:p>
    <w:p w14:paraId="546AF968" w14:textId="41D5F342" w:rsidR="00DE3459" w:rsidRPr="00C56750" w:rsidRDefault="00DE3459" w:rsidP="000D6BF8">
      <w:pPr>
        <w:pStyle w:val="F9-Paragraph"/>
        <w:ind w:hanging="502"/>
      </w:pPr>
      <w:r w:rsidRPr="000D6BF8">
        <w:t>Special considerations for discrete hazards</w:t>
      </w:r>
      <w:r w:rsidRPr="00FE6730">
        <w:t xml:space="preserve">: As noted in paragraph </w:t>
      </w:r>
      <w:r w:rsidRPr="00FE6730">
        <w:fldChar w:fldCharType="begin"/>
      </w:r>
      <w:r w:rsidRPr="00FE6730">
        <w:instrText xml:space="preserve"> REF _Ref484509727 \r \h  \* MERGEFORMAT </w:instrText>
      </w:r>
      <w:r w:rsidRPr="00FE6730">
        <w:fldChar w:fldCharType="separate"/>
      </w:r>
      <w:r w:rsidR="008B51F7">
        <w:t>107</w:t>
      </w:r>
      <w:r w:rsidRPr="00FE6730">
        <w:fldChar w:fldCharType="end"/>
      </w:r>
      <w:r w:rsidRPr="00FE6730">
        <w:t xml:space="preserve">, discrete EHs are free of the complications arising from hazard curves. It may be appropriate to postulate an event of increased severity, </w:t>
      </w:r>
      <w:r w:rsidRPr="00547634">
        <w:t>but avoiding inadvertently circumventing ALARP,</w:t>
      </w:r>
      <w:r w:rsidRPr="00FE6730">
        <w:t xml:space="preserve"> such that the </w:t>
      </w:r>
      <w:r>
        <w:t>DB</w:t>
      </w:r>
      <w:r w:rsidRPr="00FE6730">
        <w:t xml:space="preserve"> can be tested in light of the uncertainties involved in both the </w:t>
      </w:r>
      <w:r>
        <w:t>DB</w:t>
      </w:r>
      <w:r w:rsidRPr="00FE6730">
        <w:t xml:space="preserve"> </w:t>
      </w:r>
      <w:r>
        <w:t>definition and the associated plant design process, to ensure that safety functions can still be reliably delivered.</w:t>
      </w:r>
    </w:p>
    <w:p w14:paraId="349FBC91" w14:textId="53A30464" w:rsidR="00760FAB" w:rsidRPr="00C56750" w:rsidRDefault="00760FAB" w:rsidP="002079B5">
      <w:pPr>
        <w:pStyle w:val="Heading4"/>
      </w:pPr>
      <w:r w:rsidRPr="00C56750">
        <w:t xml:space="preserve">Beyond </w:t>
      </w:r>
      <w:r w:rsidR="002079B5" w:rsidRPr="00C56750">
        <w:t>d</w:t>
      </w:r>
      <w:r w:rsidRPr="00C56750">
        <w:t xml:space="preserve">esign </w:t>
      </w:r>
      <w:r w:rsidR="002079B5" w:rsidRPr="00C56750">
        <w:t>b</w:t>
      </w:r>
      <w:r w:rsidRPr="00C56750">
        <w:t xml:space="preserve">asis </w:t>
      </w:r>
      <w:r w:rsidR="002079B5" w:rsidRPr="00C56750">
        <w:t>a</w:t>
      </w:r>
      <w:r w:rsidRPr="00C56750">
        <w:t>nalysis</w:t>
      </w:r>
    </w:p>
    <w:p w14:paraId="6F11C5B0" w14:textId="6448F75F" w:rsidR="00760FAB" w:rsidRPr="00C56750" w:rsidRDefault="00760FAB" w:rsidP="000D6BF8">
      <w:pPr>
        <w:pStyle w:val="F9-Paragraph"/>
        <w:ind w:hanging="502"/>
      </w:pPr>
      <w:r w:rsidRPr="00C56750">
        <w:t>As noted in paragraph</w:t>
      </w:r>
      <w:r w:rsidR="009E741D" w:rsidRPr="00C56750">
        <w:t xml:space="preserve"> </w:t>
      </w:r>
      <w:r w:rsidR="009E741D" w:rsidRPr="00C56750">
        <w:fldChar w:fldCharType="begin"/>
      </w:r>
      <w:r w:rsidR="009E741D" w:rsidRPr="00C56750">
        <w:instrText xml:space="preserve"> REF _Ref442351171 \r \h </w:instrText>
      </w:r>
      <w:r w:rsidR="00C56750" w:rsidRPr="00C56750">
        <w:instrText xml:space="preserve"> \* MERGEFORMAT </w:instrText>
      </w:r>
      <w:r w:rsidR="009E741D" w:rsidRPr="00C56750">
        <w:fldChar w:fldCharType="separate"/>
      </w:r>
      <w:r w:rsidR="008B51F7">
        <w:t>90</w:t>
      </w:r>
      <w:r w:rsidR="009E741D" w:rsidRPr="00C56750">
        <w:fldChar w:fldCharType="end"/>
      </w:r>
      <w:r w:rsidRPr="00C56750">
        <w:t>, the use of good engineering practice applied to protect and mitigate conservatively defined non-discrete faults initiated down to the 10</w:t>
      </w:r>
      <w:r w:rsidRPr="00F8764A">
        <w:rPr>
          <w:vertAlign w:val="superscript"/>
        </w:rPr>
        <w:t>-4</w:t>
      </w:r>
      <w:r w:rsidRPr="00C56750">
        <w:t>/y exceedance frequency value, is likely to provide a level of risk control that will satisfy the SAP risk targets. However, because non-discrete EHs are described by hazard curves covering a wide range of frequencies, parts of which extend well below 10</w:t>
      </w:r>
      <w:r w:rsidRPr="00F8764A">
        <w:rPr>
          <w:vertAlign w:val="superscript"/>
        </w:rPr>
        <w:t>-4</w:t>
      </w:r>
      <w:r w:rsidRPr="00C56750">
        <w:t>/y</w:t>
      </w:r>
      <w:r w:rsidR="00B33747">
        <w:t>,</w:t>
      </w:r>
      <w:r w:rsidRPr="00C56750">
        <w:t xml:space="preserve"> the BDB component may contribute significantly to facility risk. For non-discrete hazards therefore, BDBA is important and can help to define the hazard severity at which plant / SSC failure or loss of safety function occurs.</w:t>
      </w:r>
    </w:p>
    <w:p w14:paraId="17D9E7ED" w14:textId="3F80E371" w:rsidR="00760FAB" w:rsidRDefault="00760FAB" w:rsidP="000D6BF8">
      <w:pPr>
        <w:pStyle w:val="F9-Paragraph"/>
        <w:ind w:hanging="502"/>
      </w:pPr>
      <w:bookmarkStart w:id="624" w:name="_Ref484509727"/>
      <w:r w:rsidRPr="00C56750">
        <w:t xml:space="preserve">Where a </w:t>
      </w:r>
      <w:r w:rsidR="00316E4A" w:rsidRPr="00C56750">
        <w:t>DB</w:t>
      </w:r>
      <w:r w:rsidRPr="00C56750">
        <w:t xml:space="preserve"> is established for a discrete EH and a hazard curve is not defined, the possibility of an event more severe than the </w:t>
      </w:r>
      <w:r w:rsidR="00316E4A" w:rsidRPr="00C56750">
        <w:t>DB</w:t>
      </w:r>
      <w:r w:rsidRPr="00C56750">
        <w:t xml:space="preserve"> may also need consideration. This applies if the event initiation frequency is difficult to </w:t>
      </w:r>
      <w:r w:rsidRPr="00C56750">
        <w:lastRenderedPageBreak/>
        <w:t xml:space="preserve">determine or if the IEF is less than the </w:t>
      </w:r>
      <w:r w:rsidR="0039787A" w:rsidRPr="00C56750">
        <w:t>DB</w:t>
      </w:r>
      <w:r w:rsidRPr="00C56750">
        <w:t xml:space="preserve"> criterion</w:t>
      </w:r>
      <w:r>
        <w:t>. A</w:t>
      </w:r>
      <w:r w:rsidRPr="00874B5E">
        <w:t xml:space="preserve"> possible approach to demonstrate sufficient margin to loss of safety function </w:t>
      </w:r>
      <w:r>
        <w:t xml:space="preserve">for the former </w:t>
      </w:r>
      <w:r w:rsidRPr="00874B5E">
        <w:t xml:space="preserve">is to select one or more hazard-specific loading values that are higher than the </w:t>
      </w:r>
      <w:r w:rsidR="00E61F9C">
        <w:t>DBE</w:t>
      </w:r>
      <w:r w:rsidRPr="00874B5E">
        <w:t xml:space="preserve"> loads</w:t>
      </w:r>
      <w:r w:rsidR="00502193">
        <w:t>,</w:t>
      </w:r>
      <w:r w:rsidRPr="00874B5E">
        <w:t xml:space="preserve"> and demonstrate that the safety functions are not endangered by these loads. The severity of the loading values may be chosen to correspond to a safety margin that is considered adequate. The use of a MCE for such analyses may also be useful, but caution should be exercised </w:t>
      </w:r>
      <w:r>
        <w:t xml:space="preserve">if the selected MCE is very severe, since </w:t>
      </w:r>
      <w:r w:rsidRPr="00874B5E">
        <w:t>this might lead to the conclusion that</w:t>
      </w:r>
      <w:r>
        <w:t>,</w:t>
      </w:r>
      <w:r w:rsidRPr="00874B5E">
        <w:t xml:space="preserve"> for such an event</w:t>
      </w:r>
      <w:r>
        <w:t>,</w:t>
      </w:r>
      <w:r w:rsidRPr="00874B5E">
        <w:t xml:space="preserve"> reasonably practi</w:t>
      </w:r>
      <w:r>
        <w:t>cable plant improvements do not exist. Selecting a more reasonable choice of BDB event may provide opportunities for reasonably practicable plant improvements.</w:t>
      </w:r>
      <w:bookmarkEnd w:id="624"/>
    </w:p>
    <w:p w14:paraId="1DA333A9" w14:textId="6F7C3266" w:rsidR="00760FAB" w:rsidRDefault="00760FAB" w:rsidP="000D6BF8">
      <w:pPr>
        <w:pStyle w:val="F9-Paragraph"/>
        <w:ind w:hanging="502"/>
      </w:pPr>
      <w:bookmarkStart w:id="625" w:name="_Ref506451969"/>
      <w:r>
        <w:t xml:space="preserve">For </w:t>
      </w:r>
      <w:r w:rsidR="006756EF">
        <w:t>discret</w:t>
      </w:r>
      <w:r w:rsidR="002D0668">
        <w:t>e</w:t>
      </w:r>
      <w:r w:rsidR="006756EF">
        <w:t xml:space="preserve"> hazards</w:t>
      </w:r>
      <w:r w:rsidR="00C56750">
        <w:t xml:space="preserve"> </w:t>
      </w:r>
      <w:r>
        <w:t xml:space="preserve">where the hazard occurrence frequency is estimated to be below the </w:t>
      </w:r>
      <w:r w:rsidR="001C0F7F">
        <w:t>DB</w:t>
      </w:r>
      <w:r>
        <w:t xml:space="preserve"> criterion but above the EH screening criterion (</w:t>
      </w:r>
      <w:r w:rsidRPr="00864290">
        <w:t xml:space="preserve">Section </w:t>
      </w:r>
      <w:r w:rsidR="009E741D" w:rsidRPr="000D6BF8">
        <w:fldChar w:fldCharType="begin"/>
      </w:r>
      <w:r w:rsidR="009E741D">
        <w:instrText xml:space="preserve"> REF _Ref138756012 \r \h </w:instrText>
      </w:r>
      <w:r w:rsidR="00221C99">
        <w:instrText xml:space="preserve"> \* MERGEFORMAT </w:instrText>
      </w:r>
      <w:r w:rsidR="009E741D" w:rsidRPr="000D6BF8">
        <w:fldChar w:fldCharType="separate"/>
      </w:r>
      <w:r w:rsidR="008B51F7">
        <w:t>5.4</w:t>
      </w:r>
      <w:r w:rsidR="009E741D" w:rsidRPr="000D6BF8">
        <w:fldChar w:fldCharType="end"/>
      </w:r>
      <w:r w:rsidRPr="00864290">
        <w:t>)</w:t>
      </w:r>
      <w:r>
        <w:t xml:space="preserve"> the fault analysis guidance given in SAPs paragraph 609-610 is applicable. In this case it is expected that assessment of the likely accident progression and potential consequences should take place to allow consideration of reasonably practicable means of protection or mitigation of the consequences</w:t>
      </w:r>
      <w:r w:rsidR="00E53072">
        <w:t>,</w:t>
      </w:r>
      <w:r>
        <w:t xml:space="preserve"> such that the risks are ALARP</w:t>
      </w:r>
      <w:r w:rsidRPr="00864290">
        <w:t>.</w:t>
      </w:r>
      <w:bookmarkEnd w:id="625"/>
    </w:p>
    <w:p w14:paraId="6CD4885C" w14:textId="4037EADD" w:rsidR="00760FAB" w:rsidRPr="00072DCE" w:rsidRDefault="00760FAB" w:rsidP="002079B5">
      <w:pPr>
        <w:pStyle w:val="Heading4"/>
      </w:pPr>
      <w:bookmarkStart w:id="626" w:name="_Ref138770250"/>
      <w:r w:rsidRPr="00547634">
        <w:t xml:space="preserve">Beyond </w:t>
      </w:r>
      <w:r w:rsidR="002079B5">
        <w:t>d</w:t>
      </w:r>
      <w:r w:rsidRPr="00547634">
        <w:t xml:space="preserve">esign </w:t>
      </w:r>
      <w:r w:rsidR="002079B5">
        <w:t>b</w:t>
      </w:r>
      <w:r w:rsidRPr="00547634">
        <w:t xml:space="preserve">asis </w:t>
      </w:r>
      <w:r w:rsidR="002079B5">
        <w:t>p</w:t>
      </w:r>
      <w:r w:rsidRPr="00547634">
        <w:t xml:space="preserve">robabilistic </w:t>
      </w:r>
      <w:r w:rsidR="002079B5">
        <w:t>s</w:t>
      </w:r>
      <w:r w:rsidRPr="00547634">
        <w:t xml:space="preserve">afety </w:t>
      </w:r>
      <w:r w:rsidR="002079B5">
        <w:t>a</w:t>
      </w:r>
      <w:r w:rsidRPr="00547634">
        <w:t>nalysis</w:t>
      </w:r>
      <w:bookmarkEnd w:id="626"/>
    </w:p>
    <w:p w14:paraId="30802EB4" w14:textId="552B3688" w:rsidR="00760FAB" w:rsidRDefault="00760FAB" w:rsidP="000D6BF8">
      <w:pPr>
        <w:pStyle w:val="F9-Paragraph"/>
        <w:ind w:hanging="502"/>
      </w:pPr>
      <w:r w:rsidRPr="004208C6">
        <w:t>It has previously been accepted that one satisfactory approach to the demonstration of absence of a disproportionate increase in consequences is via an EHs PSA. This has the merit of exploring the response of the plant to a wide range of hazard levels and is accepted internationally as a reasonable approach for EHs</w:t>
      </w:r>
      <w:r w:rsidR="002B4A2C">
        <w:t xml:space="preserve">. However, </w:t>
      </w:r>
      <w:r w:rsidRPr="004208C6">
        <w:t xml:space="preserve">inspectors should exercise caution in their interpretation of the absolute risk values themselves. </w:t>
      </w:r>
    </w:p>
    <w:p w14:paraId="57964490" w14:textId="758FFB74" w:rsidR="00BC0648" w:rsidRDefault="00B556BA" w:rsidP="000D6BF8">
      <w:pPr>
        <w:pStyle w:val="F9-Paragraph"/>
        <w:ind w:hanging="502"/>
      </w:pPr>
      <w:bookmarkStart w:id="627" w:name="_Ref505264937"/>
      <w:r w:rsidRPr="00547634">
        <w:t>G</w:t>
      </w:r>
      <w:r w:rsidR="00760FAB" w:rsidRPr="00547634">
        <w:t xml:space="preserve">uidance on identification of reasonably practicable improvements with regard to natural hazards is </w:t>
      </w:r>
      <w:r w:rsidR="00197320" w:rsidRPr="00547634">
        <w:t xml:space="preserve">also </w:t>
      </w:r>
      <w:r w:rsidR="00760FAB" w:rsidRPr="00547634">
        <w:t xml:space="preserve">provided by WENRA in </w:t>
      </w:r>
      <w:sdt>
        <w:sdtPr>
          <w:id w:val="227658775"/>
          <w:citation/>
        </w:sdtPr>
        <w:sdtContent>
          <w:r w:rsidR="00760FAB" w:rsidRPr="00547634">
            <w:fldChar w:fldCharType="begin"/>
          </w:r>
          <w:r w:rsidR="00487F4E" w:rsidRPr="00547634">
            <w:instrText xml:space="preserve">CITATION WEN15 \l 2057 </w:instrText>
          </w:r>
          <w:r w:rsidR="00760FAB" w:rsidRPr="00547634">
            <w:fldChar w:fldCharType="separate"/>
          </w:r>
          <w:r w:rsidR="002A4EED">
            <w:t>[13]</w:t>
          </w:r>
          <w:r w:rsidR="00760FAB" w:rsidRPr="00547634">
            <w:fldChar w:fldCharType="end"/>
          </w:r>
        </w:sdtContent>
      </w:sdt>
      <w:r w:rsidR="00760FAB" w:rsidRPr="00547634">
        <w:t>.</w:t>
      </w:r>
      <w:bookmarkEnd w:id="618"/>
      <w:bookmarkEnd w:id="619"/>
      <w:bookmarkEnd w:id="620"/>
      <w:bookmarkEnd w:id="621"/>
      <w:bookmarkEnd w:id="627"/>
    </w:p>
    <w:p w14:paraId="0301F7F0" w14:textId="3C9A2044" w:rsidR="00760FAB" w:rsidRPr="00072DCE" w:rsidRDefault="00760FAB" w:rsidP="002079B5">
      <w:pPr>
        <w:pStyle w:val="Heading4"/>
      </w:pPr>
      <w:bookmarkStart w:id="628" w:name="_Ref505248106"/>
      <w:bookmarkStart w:id="629" w:name="_Toc462321745"/>
      <w:bookmarkStart w:id="630" w:name="_Toc473126324"/>
      <w:bookmarkStart w:id="631" w:name="_Toc473127944"/>
      <w:r w:rsidRPr="00547634">
        <w:t xml:space="preserve">Beyond </w:t>
      </w:r>
      <w:r w:rsidR="002079B5">
        <w:t>d</w:t>
      </w:r>
      <w:r w:rsidRPr="00547634">
        <w:t xml:space="preserve">esign </w:t>
      </w:r>
      <w:r w:rsidR="002079B5">
        <w:t>b</w:t>
      </w:r>
      <w:r w:rsidRPr="00547634">
        <w:t xml:space="preserve">asis </w:t>
      </w:r>
      <w:r w:rsidR="002079B5">
        <w:t>s</w:t>
      </w:r>
      <w:r w:rsidRPr="00547634">
        <w:t xml:space="preserve">evere </w:t>
      </w:r>
      <w:r w:rsidR="002079B5">
        <w:t>a</w:t>
      </w:r>
      <w:r w:rsidRPr="00547634">
        <w:t xml:space="preserve">ccident </w:t>
      </w:r>
      <w:r w:rsidR="002079B5">
        <w:t>a</w:t>
      </w:r>
      <w:r w:rsidRPr="00547634">
        <w:t>nalysis</w:t>
      </w:r>
    </w:p>
    <w:p w14:paraId="7D916942" w14:textId="527CA075" w:rsidR="00760FAB" w:rsidRPr="00402621" w:rsidRDefault="00760FAB" w:rsidP="000D6BF8">
      <w:pPr>
        <w:pStyle w:val="F9-Paragraph"/>
        <w:ind w:hanging="502"/>
      </w:pPr>
      <w:r>
        <w:t>The analysis of BDB event</w:t>
      </w:r>
      <w:r w:rsidR="008E12A2">
        <w:t>s</w:t>
      </w:r>
      <w:r>
        <w:t xml:space="preserve"> inevitably applies to non-discrete hazards because the </w:t>
      </w:r>
      <w:r w:rsidR="00E2756E">
        <w:t xml:space="preserve">hazard is </w:t>
      </w:r>
      <w:r w:rsidRPr="00402621">
        <w:t xml:space="preserve">computed in terms of a hazard curve that extends to very low frequencies, consistent with those considered in SAA </w:t>
      </w:r>
      <w:r w:rsidRPr="00547634">
        <w:t>and PSA</w:t>
      </w:r>
      <w:r w:rsidRPr="00402621">
        <w:t xml:space="preserve">. It is also applicable for discrete EHs having an estimated occurrence frequency below the </w:t>
      </w:r>
      <w:r w:rsidR="00FD7059">
        <w:t>DB</w:t>
      </w:r>
      <w:r w:rsidRPr="00402621">
        <w:t xml:space="preserve"> criterion, but which cannot be screened out. The IEF itself can be numerically similar to risk targets defined in the SAPs. At these severe hazard levels, if conditional plant / SSC failure probability is close to unity (</w:t>
      </w:r>
      <w:r w:rsidR="00F305CA" w:rsidRPr="00402621">
        <w:t>i.e.,</w:t>
      </w:r>
      <w:r w:rsidRPr="00402621">
        <w:t xml:space="preserve"> loss of safety functions </w:t>
      </w:r>
      <w:r w:rsidR="00630FB3">
        <w:t>is predicted</w:t>
      </w:r>
      <w:r w:rsidRPr="00402621">
        <w:t xml:space="preserve">), such EH events may contribute significantly to overall plant risks. These events are consistent with WENRA </w:t>
      </w:r>
      <w:r w:rsidR="00D44904">
        <w:t>Design Extension Condition (</w:t>
      </w:r>
      <w:r w:rsidRPr="00402621">
        <w:t>DEC</w:t>
      </w:r>
      <w:r w:rsidR="00D44904">
        <w:t>)</w:t>
      </w:r>
      <w:r w:rsidRPr="00402621">
        <w:t xml:space="preserve"> “B” events.</w:t>
      </w:r>
      <w:bookmarkEnd w:id="628"/>
    </w:p>
    <w:p w14:paraId="4E7FF639" w14:textId="2A84F6FA" w:rsidR="00760FAB" w:rsidRPr="00402621" w:rsidRDefault="00760FAB" w:rsidP="000D6BF8">
      <w:pPr>
        <w:pStyle w:val="F9-Paragraph"/>
        <w:ind w:hanging="502"/>
      </w:pPr>
      <w:r w:rsidRPr="00402621">
        <w:t xml:space="preserve">It is anticipated that the analysis of nuclear safety plant to EH events in this </w:t>
      </w:r>
      <w:r w:rsidRPr="00547634">
        <w:t xml:space="preserve">more severe </w:t>
      </w:r>
      <w:r w:rsidRPr="00402621">
        <w:t xml:space="preserve">region will </w:t>
      </w:r>
      <w:r w:rsidRPr="00547634">
        <w:t>also be captured by an EH PSA</w:t>
      </w:r>
      <w:r w:rsidRPr="00402621">
        <w:t>, see Section</w:t>
      </w:r>
      <w:r w:rsidR="00623A37">
        <w:t xml:space="preserve"> </w:t>
      </w:r>
      <w:r w:rsidR="00623A37">
        <w:fldChar w:fldCharType="begin"/>
      </w:r>
      <w:r w:rsidR="00623A37">
        <w:instrText xml:space="preserve"> REF _Ref138770250 \r \h </w:instrText>
      </w:r>
      <w:r w:rsidR="00221C99">
        <w:instrText xml:space="preserve"> \* MERGEFORMAT </w:instrText>
      </w:r>
      <w:r w:rsidR="00623A37">
        <w:fldChar w:fldCharType="separate"/>
      </w:r>
      <w:r w:rsidR="008B51F7">
        <w:t>5.6.4.2</w:t>
      </w:r>
      <w:r w:rsidR="00623A37">
        <w:fldChar w:fldCharType="end"/>
      </w:r>
      <w:r w:rsidRPr="00402621">
        <w:t xml:space="preserve">. </w:t>
      </w:r>
    </w:p>
    <w:p w14:paraId="1E15D32F" w14:textId="492FD464" w:rsidR="00760FAB" w:rsidRPr="00402621" w:rsidRDefault="00760FAB" w:rsidP="000D6BF8">
      <w:pPr>
        <w:pStyle w:val="F9-Paragraph"/>
        <w:ind w:hanging="502"/>
      </w:pPr>
      <w:r w:rsidRPr="00402621">
        <w:t>A further consideration is the need to identify plant and SSC damage states arising from very severe EH events for input to the SAA</w:t>
      </w:r>
      <w:r w:rsidR="00E24D3B">
        <w:t>,</w:t>
      </w:r>
      <w:r w:rsidRPr="00402621">
        <w:t xml:space="preserve"> if these differ from those identified for other reasons</w:t>
      </w:r>
      <w:bookmarkEnd w:id="622"/>
      <w:bookmarkEnd w:id="623"/>
      <w:bookmarkEnd w:id="629"/>
      <w:bookmarkEnd w:id="630"/>
      <w:bookmarkEnd w:id="631"/>
      <w:r w:rsidRPr="00402621">
        <w:t xml:space="preserve">. In this regard, particular attention should be </w:t>
      </w:r>
      <w:r w:rsidRPr="00402621">
        <w:lastRenderedPageBreak/>
        <w:t xml:space="preserve">given to the potential for widespread common cause effects and the likely </w:t>
      </w:r>
      <w:r w:rsidRPr="00547634">
        <w:t>isolation</w:t>
      </w:r>
      <w:r w:rsidRPr="00402621">
        <w:t xml:space="preserve"> of the site from off-site services and supplies. This latter effect should also be considered in developing the site’s emergency arrangements, see Section </w:t>
      </w:r>
      <w:r w:rsidRPr="00402621">
        <w:fldChar w:fldCharType="begin"/>
      </w:r>
      <w:r w:rsidRPr="00402621">
        <w:instrText xml:space="preserve"> REF _Ref475373630 \r \h  \* MERGEFORMAT </w:instrText>
      </w:r>
      <w:r w:rsidRPr="00402621">
        <w:fldChar w:fldCharType="separate"/>
      </w:r>
      <w:r w:rsidR="008B51F7">
        <w:t>5.10.3</w:t>
      </w:r>
      <w:r w:rsidRPr="00402621">
        <w:fldChar w:fldCharType="end"/>
      </w:r>
      <w:r w:rsidRPr="00402621">
        <w:t>.</w:t>
      </w:r>
    </w:p>
    <w:p w14:paraId="68593AE9" w14:textId="3CC97C37" w:rsidR="00760FAB" w:rsidRPr="00874B5E" w:rsidRDefault="00760FAB" w:rsidP="00547634">
      <w:pPr>
        <w:pStyle w:val="Heading3"/>
      </w:pPr>
      <w:r w:rsidRPr="00402621">
        <w:tab/>
      </w:r>
      <w:bookmarkStart w:id="632" w:name="_Toc473126314"/>
      <w:bookmarkStart w:id="633" w:name="_Toc473127934"/>
      <w:bookmarkStart w:id="634" w:name="_Ref473995699"/>
      <w:bookmarkStart w:id="635" w:name="_Ref475373174"/>
      <w:r w:rsidRPr="00874B5E">
        <w:t xml:space="preserve">Design </w:t>
      </w:r>
      <w:r>
        <w:t>b</w:t>
      </w:r>
      <w:r w:rsidRPr="00874B5E">
        <w:t xml:space="preserve">ases for </w:t>
      </w:r>
      <w:r>
        <w:t>f</w:t>
      </w:r>
      <w:r w:rsidRPr="00874B5E">
        <w:t xml:space="preserve">acilities with </w:t>
      </w:r>
      <w:r>
        <w:t>l</w:t>
      </w:r>
      <w:r w:rsidRPr="00874B5E">
        <w:t xml:space="preserve">ow </w:t>
      </w:r>
      <w:r>
        <w:t>u</w:t>
      </w:r>
      <w:r w:rsidRPr="00874B5E">
        <w:t>nmitigated</w:t>
      </w:r>
      <w:r w:rsidRPr="00034FE2">
        <w:rPr>
          <w:color w:val="7030A0"/>
        </w:rPr>
        <w:t xml:space="preserve"> </w:t>
      </w:r>
      <w:r w:rsidRPr="00547634">
        <w:t>radiological</w:t>
      </w:r>
      <w:r w:rsidRPr="00874B5E">
        <w:t xml:space="preserve"> </w:t>
      </w:r>
      <w:r>
        <w:t>c</w:t>
      </w:r>
      <w:r w:rsidRPr="00874B5E">
        <w:t>onsequences</w:t>
      </w:r>
      <w:bookmarkEnd w:id="632"/>
      <w:bookmarkEnd w:id="633"/>
      <w:bookmarkEnd w:id="634"/>
      <w:bookmarkEnd w:id="635"/>
    </w:p>
    <w:p w14:paraId="4235E5D8" w14:textId="252EAF79" w:rsidR="00760FAB" w:rsidRPr="006A3A44" w:rsidRDefault="00760FAB" w:rsidP="000D6BF8">
      <w:pPr>
        <w:pStyle w:val="F9-Paragraph"/>
        <w:ind w:hanging="502"/>
      </w:pPr>
      <w:bookmarkStart w:id="636" w:name="_Ref445718596"/>
      <w:bookmarkStart w:id="637" w:name="_Toc462321736"/>
      <w:bookmarkStart w:id="638" w:name="_Toc473126315"/>
      <w:bookmarkStart w:id="639" w:name="_Toc473127935"/>
      <w:bookmarkStart w:id="640" w:name="_Ref442445923"/>
      <w:r w:rsidRPr="00AA3073">
        <w:t xml:space="preserve">SAP </w:t>
      </w:r>
      <w:r w:rsidRPr="006A3A44">
        <w:t xml:space="preserve">paragraph 240 allows for consideration of a reduction of the </w:t>
      </w:r>
      <w:r w:rsidR="002C5E0B" w:rsidRPr="00CB0ED8">
        <w:t>DB</w:t>
      </w:r>
      <w:r w:rsidRPr="006A3A44">
        <w:t xml:space="preserve"> criteria for non-discrete hazards if the unmitigated potential radiological consequence is low.</w:t>
      </w:r>
      <w:bookmarkEnd w:id="636"/>
      <w:bookmarkEnd w:id="637"/>
      <w:bookmarkEnd w:id="638"/>
      <w:bookmarkEnd w:id="639"/>
    </w:p>
    <w:p w14:paraId="28BF6A35" w14:textId="3756AF01" w:rsidR="00760FAB" w:rsidRPr="006A3A44" w:rsidRDefault="00760FAB" w:rsidP="000D6BF8">
      <w:pPr>
        <w:pStyle w:val="F9-Paragraph"/>
        <w:ind w:hanging="502"/>
      </w:pPr>
      <w:bookmarkStart w:id="641" w:name="_Toc462321737"/>
      <w:bookmarkStart w:id="642" w:name="_Toc473126316"/>
      <w:bookmarkStart w:id="643" w:name="_Toc473127936"/>
      <w:r w:rsidRPr="006A3A44">
        <w:t xml:space="preserve">FA.5 and Target 4 define the frequency / consequence threshold where DBA is likely to be proportionate to the radiological hazard or consequence potential. It is suggested that the following guidelines provide the basis for definition of the EH </w:t>
      </w:r>
      <w:r w:rsidR="00380797" w:rsidRPr="006A3A44">
        <w:t>DBE</w:t>
      </w:r>
      <w:r w:rsidRPr="006A3A44">
        <w:t xml:space="preserve"> providing consistency between </w:t>
      </w:r>
      <w:r w:rsidR="00380797" w:rsidRPr="006A3A44">
        <w:t>plant-initiated</w:t>
      </w:r>
      <w:r w:rsidRPr="006A3A44">
        <w:t xml:space="preserve"> faults</w:t>
      </w:r>
      <w:r w:rsidR="00380797" w:rsidRPr="006A3A44">
        <w:t>,</w:t>
      </w:r>
      <w:r w:rsidRPr="006A3A44">
        <w:t xml:space="preserve"> and faults initiated by EHs. These guidelines are illustrated in Figure 2.</w:t>
      </w:r>
      <w:bookmarkEnd w:id="640"/>
      <w:bookmarkEnd w:id="641"/>
      <w:bookmarkEnd w:id="642"/>
      <w:bookmarkEnd w:id="643"/>
    </w:p>
    <w:p w14:paraId="525A4BD1" w14:textId="7CD31BEB" w:rsidR="00760FAB" w:rsidRPr="006A3A44" w:rsidRDefault="00760FAB" w:rsidP="000D6BF8">
      <w:pPr>
        <w:pStyle w:val="F9-Paragraph"/>
        <w:ind w:hanging="502"/>
      </w:pPr>
      <w:bookmarkStart w:id="644" w:name="_Toc462321738"/>
      <w:bookmarkStart w:id="645" w:name="_Toc473126317"/>
      <w:bookmarkStart w:id="646" w:name="_Toc473127937"/>
      <w:r w:rsidRPr="006A3A44">
        <w:t xml:space="preserve">For discrete EHs, SAP paragraph 628 (d) is considered applicable. That is, </w:t>
      </w:r>
      <w:r w:rsidR="002C5E0B" w:rsidRPr="006A3A44">
        <w:t>DBEs</w:t>
      </w:r>
      <w:r w:rsidRPr="006A3A44">
        <w:t xml:space="preserve"> should be defined for discrete EHs having an estimated frequency of occurrence within the DBA region indicated on Figure 2.</w:t>
      </w:r>
      <w:bookmarkEnd w:id="644"/>
      <w:bookmarkEnd w:id="645"/>
      <w:bookmarkEnd w:id="646"/>
    </w:p>
    <w:p w14:paraId="6D1B8596" w14:textId="11FE76EB" w:rsidR="00760FAB" w:rsidRPr="006A3A44" w:rsidRDefault="00760FAB" w:rsidP="000D6BF8">
      <w:pPr>
        <w:pStyle w:val="F9-Paragraph"/>
        <w:ind w:hanging="502"/>
      </w:pPr>
      <w:bookmarkStart w:id="647" w:name="_Toc462321739"/>
      <w:bookmarkStart w:id="648" w:name="_Toc473126318"/>
      <w:bookmarkStart w:id="649" w:name="_Toc473127938"/>
      <w:r w:rsidRPr="006A3A44">
        <w:t xml:space="preserve">For non-discrete EHs, the criteria in paragraphs a) to c) below are suggested for the </w:t>
      </w:r>
      <w:r w:rsidR="00D8300B" w:rsidRPr="00CB0ED8">
        <w:t>DB</w:t>
      </w:r>
      <w:r w:rsidRPr="006A3A44">
        <w:t xml:space="preserve"> hazard definition. In this case, DBA is expected to cover the region of the hazard curve down to the frequency on the hazard curve described in paragraphs a) to c) and illustrated on Figure 2.</w:t>
      </w:r>
      <w:r w:rsidR="00FA79E7" w:rsidRPr="006A3A44">
        <w:br/>
      </w:r>
    </w:p>
    <w:bookmarkEnd w:id="647"/>
    <w:bookmarkEnd w:id="648"/>
    <w:bookmarkEnd w:id="649"/>
    <w:p w14:paraId="70E2299F" w14:textId="6A7E22D9" w:rsidR="00760FAB" w:rsidRPr="00177725" w:rsidRDefault="00760FAB" w:rsidP="00547634">
      <w:pPr>
        <w:numPr>
          <w:ilvl w:val="0"/>
          <w:numId w:val="55"/>
        </w:numPr>
        <w:tabs>
          <w:tab w:val="left" w:pos="720"/>
        </w:tabs>
        <w:spacing w:after="220" w:line="240" w:lineRule="auto"/>
        <w:ind w:left="1134" w:hanging="425"/>
        <w:contextualSpacing/>
      </w:pPr>
      <w:r w:rsidRPr="00547634">
        <w:rPr>
          <w:rFonts w:eastAsia="Times New Roman" w:cs="Times New Roman"/>
          <w:szCs w:val="24"/>
        </w:rPr>
        <w:t>Facilities that could give rise to unmitigated doses between 10mSv and 100mSv to any person off-site</w:t>
      </w:r>
      <w:r w:rsidR="00A31D26">
        <w:rPr>
          <w:rFonts w:eastAsia="Times New Roman" w:cs="Times New Roman"/>
          <w:szCs w:val="24"/>
        </w:rPr>
        <w:t>,</w:t>
      </w:r>
      <w:r w:rsidRPr="00547634">
        <w:rPr>
          <w:rFonts w:eastAsia="Times New Roman" w:cs="Times New Roman"/>
          <w:szCs w:val="24"/>
        </w:rPr>
        <w:t xml:space="preserve"> or 200mSv to 500mSv to a worker</w:t>
      </w:r>
      <w:r w:rsidR="00A31D26">
        <w:rPr>
          <w:rFonts w:eastAsia="Times New Roman" w:cs="Times New Roman"/>
          <w:szCs w:val="24"/>
        </w:rPr>
        <w:t>,</w:t>
      </w:r>
      <w:r w:rsidRPr="00547634">
        <w:rPr>
          <w:rFonts w:eastAsia="Times New Roman" w:cs="Times New Roman"/>
          <w:szCs w:val="24"/>
        </w:rPr>
        <w:t xml:space="preserve"> may be designed against a </w:t>
      </w:r>
      <w:r w:rsidR="00D8300B">
        <w:rPr>
          <w:rFonts w:eastAsia="Times New Roman" w:cs="Times New Roman"/>
          <w:szCs w:val="24"/>
        </w:rPr>
        <w:t>DBE</w:t>
      </w:r>
      <w:r w:rsidRPr="00547634">
        <w:rPr>
          <w:rFonts w:eastAsia="Times New Roman" w:cs="Times New Roman"/>
          <w:szCs w:val="24"/>
        </w:rPr>
        <w:t>, defined on a sliding scale, that conservatively has a predicted frequency of being exceeded from no more than 10</w:t>
      </w:r>
      <w:r w:rsidRPr="00547634">
        <w:rPr>
          <w:rFonts w:eastAsia="Times New Roman" w:cs="Times New Roman"/>
          <w:szCs w:val="24"/>
          <w:vertAlign w:val="superscript"/>
        </w:rPr>
        <w:t>-3</w:t>
      </w:r>
      <w:r w:rsidRPr="00547634">
        <w:rPr>
          <w:rFonts w:eastAsia="Times New Roman" w:cs="Times New Roman"/>
          <w:szCs w:val="24"/>
        </w:rPr>
        <w:t>/y to no more than 10</w:t>
      </w:r>
      <w:r w:rsidRPr="00547634">
        <w:rPr>
          <w:rFonts w:eastAsia="Times New Roman" w:cs="Times New Roman"/>
          <w:szCs w:val="24"/>
          <w:vertAlign w:val="superscript"/>
        </w:rPr>
        <w:t>-4</w:t>
      </w:r>
      <w:r w:rsidRPr="00547634">
        <w:rPr>
          <w:rFonts w:eastAsia="Times New Roman" w:cs="Times New Roman"/>
          <w:szCs w:val="24"/>
        </w:rPr>
        <w:t>/y</w:t>
      </w:r>
      <w:r w:rsidR="004B2D4F">
        <w:rPr>
          <w:rFonts w:eastAsia="Times New Roman" w:cs="Times New Roman"/>
          <w:szCs w:val="24"/>
        </w:rPr>
        <w:t>.</w:t>
      </w:r>
    </w:p>
    <w:p w14:paraId="2F639A05" w14:textId="406A629E" w:rsidR="00760FAB" w:rsidRPr="00177725" w:rsidRDefault="00760FAB" w:rsidP="00547634">
      <w:pPr>
        <w:numPr>
          <w:ilvl w:val="0"/>
          <w:numId w:val="55"/>
        </w:numPr>
        <w:tabs>
          <w:tab w:val="left" w:pos="720"/>
        </w:tabs>
        <w:spacing w:after="220" w:line="240" w:lineRule="auto"/>
        <w:ind w:left="1134" w:hanging="414"/>
        <w:contextualSpacing/>
      </w:pPr>
      <w:r w:rsidRPr="00547634">
        <w:rPr>
          <w:rFonts w:eastAsia="Times New Roman" w:cs="Times New Roman"/>
          <w:szCs w:val="24"/>
        </w:rPr>
        <w:t xml:space="preserve">Facilities that could give rise to unmitigated doses between 1mSv and 10mSv to any person off-site or 20mSv to 200mSv to a worker may be designed against a </w:t>
      </w:r>
      <w:r w:rsidR="00D8300B">
        <w:rPr>
          <w:rFonts w:eastAsia="Times New Roman" w:cs="Times New Roman"/>
          <w:szCs w:val="24"/>
        </w:rPr>
        <w:t>DBE</w:t>
      </w:r>
      <w:r w:rsidRPr="00547634">
        <w:rPr>
          <w:rFonts w:eastAsia="Times New Roman" w:cs="Times New Roman"/>
          <w:szCs w:val="24"/>
        </w:rPr>
        <w:t>, defined on a sliding scale, that conservatively has a predicted frequency of being exceeded no more than 10</w:t>
      </w:r>
      <w:r w:rsidRPr="00547634">
        <w:rPr>
          <w:rFonts w:eastAsia="Times New Roman" w:cs="Times New Roman"/>
          <w:szCs w:val="24"/>
          <w:vertAlign w:val="superscript"/>
        </w:rPr>
        <w:t>-2</w:t>
      </w:r>
      <w:r w:rsidRPr="00547634">
        <w:rPr>
          <w:rFonts w:eastAsia="Times New Roman" w:cs="Times New Roman"/>
          <w:szCs w:val="24"/>
        </w:rPr>
        <w:t>/y to no more than 10</w:t>
      </w:r>
      <w:r w:rsidRPr="00547634">
        <w:rPr>
          <w:rFonts w:eastAsia="Times New Roman" w:cs="Times New Roman"/>
          <w:szCs w:val="24"/>
          <w:vertAlign w:val="superscript"/>
        </w:rPr>
        <w:t>-3</w:t>
      </w:r>
      <w:r w:rsidRPr="00547634">
        <w:rPr>
          <w:rFonts w:eastAsia="Times New Roman" w:cs="Times New Roman"/>
          <w:szCs w:val="24"/>
        </w:rPr>
        <w:t>/y</w:t>
      </w:r>
      <w:r w:rsidR="005169CB">
        <w:rPr>
          <w:rFonts w:eastAsia="Times New Roman" w:cs="Times New Roman"/>
          <w:szCs w:val="24"/>
        </w:rPr>
        <w:t>.</w:t>
      </w:r>
    </w:p>
    <w:p w14:paraId="1B1882F7" w14:textId="09D11D9A" w:rsidR="00760FAB" w:rsidRPr="006A3A44" w:rsidRDefault="00760FAB" w:rsidP="00547634">
      <w:pPr>
        <w:numPr>
          <w:ilvl w:val="0"/>
          <w:numId w:val="55"/>
        </w:numPr>
        <w:tabs>
          <w:tab w:val="left" w:pos="720"/>
        </w:tabs>
        <w:spacing w:after="220" w:line="240" w:lineRule="auto"/>
        <w:ind w:left="1134" w:hanging="414"/>
        <w:contextualSpacing/>
      </w:pPr>
      <w:r w:rsidRPr="00547634">
        <w:rPr>
          <w:rFonts w:eastAsia="Times New Roman" w:cs="Times New Roman"/>
          <w:szCs w:val="24"/>
        </w:rPr>
        <w:t xml:space="preserve">Facilities that cannot give rise to unmitigated doses (evaluated on a conservative basis) </w:t>
      </w:r>
      <w:r w:rsidRPr="006A3A44">
        <w:rPr>
          <w:rFonts w:eastAsia="Times New Roman" w:cs="Times New Roman"/>
          <w:szCs w:val="24"/>
        </w:rPr>
        <w:t xml:space="preserve">greater than 1mSv to any person off-site, or 20mSv to a worker, need not be subject to formal DBA, provided this is justified and demonstrated. There should not be a disproportionate increase in risk due to low consequence frequent hazards just outside the </w:t>
      </w:r>
      <w:r w:rsidR="00D8300B" w:rsidRPr="00CB0ED8">
        <w:rPr>
          <w:rFonts w:eastAsia="Times New Roman" w:cs="Times New Roman"/>
          <w:szCs w:val="24"/>
        </w:rPr>
        <w:t>DB</w:t>
      </w:r>
      <w:r w:rsidRPr="006A3A44">
        <w:rPr>
          <w:rFonts w:eastAsia="Times New Roman" w:cs="Times New Roman"/>
          <w:szCs w:val="24"/>
        </w:rPr>
        <w:t xml:space="preserve">. The </w:t>
      </w:r>
      <w:r w:rsidR="00E55392">
        <w:rPr>
          <w:rFonts w:eastAsia="Times New Roman" w:cs="Times New Roman"/>
          <w:szCs w:val="24"/>
        </w:rPr>
        <w:t>l</w:t>
      </w:r>
      <w:r w:rsidRPr="006A3A44">
        <w:rPr>
          <w:rFonts w:eastAsia="Times New Roman" w:cs="Times New Roman"/>
          <w:szCs w:val="24"/>
        </w:rPr>
        <w:t xml:space="preserve">icensee should therefore demonstrate that these risks are ALARP. </w:t>
      </w:r>
    </w:p>
    <w:p w14:paraId="1298D917" w14:textId="098983D6" w:rsidR="00A92D45" w:rsidRPr="006A3A44" w:rsidRDefault="00760FAB" w:rsidP="000D6BF8">
      <w:pPr>
        <w:pStyle w:val="F9-Paragraph"/>
        <w:ind w:hanging="502"/>
      </w:pPr>
      <w:r w:rsidRPr="006A3A44">
        <w:t>The above criteria, along with the criteria for unmitigated dose consequences greater than 1mSv to any person off-site, or 20mSv to a worker, described earlier in</w:t>
      </w:r>
      <w:r w:rsidR="00AE6A1E" w:rsidRPr="006A3A44">
        <w:t xml:space="preserve"> Section </w:t>
      </w:r>
      <w:r w:rsidR="00AE6A1E" w:rsidRPr="006A3A44">
        <w:fldChar w:fldCharType="begin"/>
      </w:r>
      <w:r w:rsidR="00AE6A1E" w:rsidRPr="006A3A44">
        <w:instrText xml:space="preserve"> REF _Ref138925830 \r \h </w:instrText>
      </w:r>
      <w:r w:rsidR="006846EE" w:rsidRPr="006A3A44">
        <w:instrText xml:space="preserve"> \* MERGEFORMAT </w:instrText>
      </w:r>
      <w:r w:rsidR="00AE6A1E" w:rsidRPr="006A3A44">
        <w:fldChar w:fldCharType="separate"/>
      </w:r>
      <w:r w:rsidR="008B51F7">
        <w:t>5.6.1</w:t>
      </w:r>
      <w:r w:rsidR="00AE6A1E" w:rsidRPr="006A3A44">
        <w:fldChar w:fldCharType="end"/>
      </w:r>
      <w:r w:rsidRPr="006A3A44">
        <w:t>, are overlaid onto Figure 2 (the black dashed line).</w:t>
      </w:r>
    </w:p>
    <w:p w14:paraId="4C34BC91" w14:textId="170B6143" w:rsidR="00A92D45" w:rsidRPr="006A3A44" w:rsidRDefault="00A92D45" w:rsidP="00547634">
      <w:pPr>
        <w:pStyle w:val="Heading3"/>
      </w:pPr>
      <w:r w:rsidRPr="006A3A44">
        <w:lastRenderedPageBreak/>
        <w:t xml:space="preserve">Severe </w:t>
      </w:r>
      <w:r w:rsidR="002079B5" w:rsidRPr="006A3A44">
        <w:t>a</w:t>
      </w:r>
      <w:r w:rsidRPr="006A3A44">
        <w:t xml:space="preserve">ccident </w:t>
      </w:r>
      <w:r w:rsidR="002079B5" w:rsidRPr="006A3A44">
        <w:t>a</w:t>
      </w:r>
      <w:r w:rsidRPr="006A3A44">
        <w:t>nalysis for frequent external hazard events</w:t>
      </w:r>
    </w:p>
    <w:p w14:paraId="427C6589" w14:textId="2C8DAAB9" w:rsidR="005448A0" w:rsidRPr="006A3A44" w:rsidRDefault="00A92D45" w:rsidP="000D6BF8">
      <w:pPr>
        <w:pStyle w:val="F9-Paragraph"/>
        <w:ind w:hanging="502"/>
      </w:pPr>
      <w:r w:rsidRPr="006A3A44">
        <w:t xml:space="preserve">The upper </w:t>
      </w:r>
      <w:r w:rsidR="00C46711" w:rsidRPr="006A3A44">
        <w:t>right-hand</w:t>
      </w:r>
      <w:r w:rsidRPr="006A3A44">
        <w:t xml:space="preserve"> corner of Fig</w:t>
      </w:r>
      <w:r w:rsidR="00A01B16" w:rsidRPr="006A3A44">
        <w:t>ure</w:t>
      </w:r>
      <w:r w:rsidRPr="006A3A44">
        <w:t xml:space="preserve"> 2 is a frequency-consequence region to account for the possibility of a Severe Accident occurring due to frequent events. Although a Severe Accident in this region is unlikely to be initiated by an </w:t>
      </w:r>
      <w:r w:rsidR="00FC68A3" w:rsidRPr="006A3A44">
        <w:t>EH</w:t>
      </w:r>
      <w:r w:rsidRPr="006A3A44">
        <w:t xml:space="preserve">, an </w:t>
      </w:r>
      <w:r w:rsidR="003C11AC" w:rsidRPr="006A3A44">
        <w:t>EH</w:t>
      </w:r>
      <w:r w:rsidRPr="006A3A44">
        <w:t xml:space="preserve"> may play a part in combination with malfunctioning of SSCs. This means that information </w:t>
      </w:r>
      <w:r w:rsidR="00A035FB" w:rsidRPr="006A3A44">
        <w:t>may need to be</w:t>
      </w:r>
      <w:r w:rsidRPr="006A3A44">
        <w:t xml:space="preserve"> provided for non-discrete </w:t>
      </w:r>
      <w:r w:rsidR="007739A0" w:rsidRPr="006A3A44">
        <w:t>EHs</w:t>
      </w:r>
      <w:r w:rsidRPr="006A3A44">
        <w:t xml:space="preserve"> that occur more frequently than the </w:t>
      </w:r>
      <w:r w:rsidR="00A035FB" w:rsidRPr="00CB0ED8">
        <w:t>DB</w:t>
      </w:r>
      <w:r w:rsidRPr="006A3A44">
        <w:t xml:space="preserve">. </w:t>
      </w:r>
    </w:p>
    <w:p w14:paraId="1E32F220" w14:textId="49CF56A8" w:rsidR="00A92D45" w:rsidRPr="006A3A44" w:rsidRDefault="00A92D45" w:rsidP="000D6BF8">
      <w:pPr>
        <w:pStyle w:val="F9-Paragraph"/>
        <w:ind w:hanging="502"/>
      </w:pPr>
      <w:r w:rsidRPr="006A3A44">
        <w:t xml:space="preserve">The analysis for these more frequent </w:t>
      </w:r>
      <w:r w:rsidR="005E2A40" w:rsidRPr="006A3A44">
        <w:t>EHs</w:t>
      </w:r>
      <w:r w:rsidRPr="006A3A44">
        <w:t xml:space="preserve"> should be carried out on a best estimate basis. Consideration should be given to the ranges of the parameter values used in the analysis to ensure the appropriate occurrences of more frequent events are included. In some instances, this may mean adjustments to the </w:t>
      </w:r>
      <w:r w:rsidR="00D8300B" w:rsidRPr="00CB0ED8">
        <w:t>DB</w:t>
      </w:r>
      <w:r w:rsidRPr="006A3A44">
        <w:t xml:space="preserve"> evaluations. </w:t>
      </w:r>
    </w:p>
    <w:p w14:paraId="237F7B3C" w14:textId="7C6AEDDB" w:rsidR="00A92D45" w:rsidRPr="00874B5E" w:rsidRDefault="00A92D45" w:rsidP="00547634">
      <w:pPr>
        <w:pStyle w:val="Heading3"/>
      </w:pPr>
      <w:r w:rsidRPr="006A3A44">
        <w:t xml:space="preserve">Probabilistic </w:t>
      </w:r>
      <w:r w:rsidR="002079B5" w:rsidRPr="006A3A44">
        <w:t>s</w:t>
      </w:r>
      <w:r w:rsidRPr="006A3A44">
        <w:t xml:space="preserve">afety </w:t>
      </w:r>
      <w:r w:rsidR="002079B5" w:rsidRPr="006A3A44">
        <w:t>a</w:t>
      </w:r>
      <w:r w:rsidRPr="006A3A44">
        <w:t>nalysis for frequent external</w:t>
      </w:r>
      <w:r>
        <w:t xml:space="preserve"> hazard</w:t>
      </w:r>
      <w:r w:rsidR="00356CB7">
        <w:br/>
      </w:r>
      <w:r>
        <w:t>events</w:t>
      </w:r>
    </w:p>
    <w:p w14:paraId="7CB16030" w14:textId="711E18AB" w:rsidR="00E30E5A" w:rsidRDefault="00A92D45" w:rsidP="000D6BF8">
      <w:pPr>
        <w:pStyle w:val="F9-Paragraph"/>
        <w:ind w:hanging="502"/>
      </w:pPr>
      <w:r>
        <w:t xml:space="preserve">The upper middle and upper </w:t>
      </w:r>
      <w:r w:rsidR="005448A0">
        <w:t>right-hand</w:t>
      </w:r>
      <w:r>
        <w:t xml:space="preserve"> corner of Fig</w:t>
      </w:r>
      <w:r w:rsidR="007B4150">
        <w:t>ure</w:t>
      </w:r>
      <w:r>
        <w:t xml:space="preserve"> 2 is a region where P</w:t>
      </w:r>
      <w:r w:rsidR="00A8610E">
        <w:t>SA</w:t>
      </w:r>
      <w:r>
        <w:t xml:space="preserve"> also applies. The region is larger than the SAA frequent fault region because it also considers cases with lesser radiological consequences. Other than that, the same reasoning applies as in the case of SAA.</w:t>
      </w:r>
    </w:p>
    <w:p w14:paraId="0C48E68B" w14:textId="77777777" w:rsidR="00E30E5A" w:rsidRPr="00B97E96" w:rsidRDefault="00E30E5A" w:rsidP="00E30E5A">
      <w:pPr>
        <w:pStyle w:val="Heading3"/>
      </w:pPr>
      <w:r w:rsidRPr="00B97E96">
        <w:t xml:space="preserve">Combinations of external hazards </w:t>
      </w:r>
    </w:p>
    <w:p w14:paraId="63C110F3" w14:textId="053D3B5C" w:rsidR="00E30E5A" w:rsidRPr="001B148A" w:rsidRDefault="00E30E5A" w:rsidP="000D6BF8">
      <w:pPr>
        <w:pStyle w:val="F9-Paragraph"/>
        <w:ind w:hanging="502"/>
      </w:pPr>
      <w:bookmarkStart w:id="650" w:name="_Ref473661609"/>
      <w:bookmarkStart w:id="651" w:name="_Ref473366362"/>
      <w:bookmarkStart w:id="652" w:name="_Ref473273042"/>
      <w:r w:rsidRPr="001B148A">
        <w:t xml:space="preserve">Licensees should </w:t>
      </w:r>
      <w:r w:rsidR="0009490F">
        <w:t>analyse</w:t>
      </w:r>
      <w:r w:rsidRPr="001B148A">
        <w:t xml:space="preserve"> combinations of EHs that could reasonably be expected to occur at a given site. Combinations of hazards should be identified and considered as part of DBA, PSA and SAA.</w:t>
      </w:r>
      <w:bookmarkEnd w:id="650"/>
      <w:bookmarkEnd w:id="651"/>
      <w:bookmarkEnd w:id="652"/>
    </w:p>
    <w:p w14:paraId="00B42BCC" w14:textId="77777777" w:rsidR="00E30E5A" w:rsidRDefault="00E30E5A" w:rsidP="000D6BF8">
      <w:pPr>
        <w:pStyle w:val="F9-Paragraph"/>
        <w:ind w:hanging="502"/>
      </w:pPr>
      <w:r w:rsidRPr="001B148A">
        <w:t>Licensees should follow a systematic process to identify and categorise hazard combinations and should then screen those hazards on the basis of plant effects and occurrence frequency.</w:t>
      </w:r>
    </w:p>
    <w:p w14:paraId="1B00EBB5" w14:textId="77777777" w:rsidR="00E30E5A" w:rsidRPr="00221C99" w:rsidRDefault="00E30E5A" w:rsidP="002079B5">
      <w:pPr>
        <w:pStyle w:val="Heading4"/>
      </w:pPr>
      <w:r w:rsidRPr="00221C99">
        <w:t>Identification</w:t>
      </w:r>
    </w:p>
    <w:p w14:paraId="0D5F33E2" w14:textId="771ADFC3" w:rsidR="00E30E5A" w:rsidRPr="00221C99" w:rsidRDefault="00E30E5A" w:rsidP="000D6BF8">
      <w:pPr>
        <w:pStyle w:val="F9-Paragraph"/>
        <w:ind w:hanging="502"/>
      </w:pPr>
      <w:r w:rsidRPr="00221C99">
        <w:t>The identification of combinations of EHs should start with the unscreened list of individual EHs. The unscreened list should be used because individual hazards that have been screened out based on plant effect may still have a significant impact in combination with another hazard.</w:t>
      </w:r>
      <w:r w:rsidR="00A132DF" w:rsidRPr="00221C99">
        <w:t xml:space="preserve"> </w:t>
      </w:r>
      <w:r w:rsidR="00AC39FC" w:rsidRPr="00221C99">
        <w:t xml:space="preserve">However, </w:t>
      </w:r>
      <w:r w:rsidR="002A1E67" w:rsidRPr="00221C99">
        <w:t>c</w:t>
      </w:r>
      <w:r w:rsidR="00A132DF" w:rsidRPr="00221C99">
        <w:t xml:space="preserve">are should be taken to avoid </w:t>
      </w:r>
      <w:r w:rsidR="00930BD0" w:rsidRPr="00221C99">
        <w:t>drawing back</w:t>
      </w:r>
      <w:r w:rsidR="009C5BD4" w:rsidRPr="00221C99">
        <w:t xml:space="preserve"> in</w:t>
      </w:r>
      <w:r w:rsidR="00930BD0" w:rsidRPr="00221C99">
        <w:t xml:space="preserve"> EHs that have </w:t>
      </w:r>
      <w:r w:rsidR="00266F09" w:rsidRPr="00221C99">
        <w:t xml:space="preserve">been screened out </w:t>
      </w:r>
      <w:r w:rsidR="00B620E1" w:rsidRPr="00221C99">
        <w:t>by a significant margin, either in terms of frequency or consequence.</w:t>
      </w:r>
    </w:p>
    <w:p w14:paraId="3A73E1F1" w14:textId="6028E01F" w:rsidR="00E30E5A" w:rsidRPr="000D6BF8" w:rsidRDefault="00E30E5A" w:rsidP="000D6BF8">
      <w:pPr>
        <w:pStyle w:val="F9-Paragraph"/>
        <w:ind w:hanging="502"/>
      </w:pPr>
      <w:r w:rsidRPr="00221C99">
        <w:t>A matrix approach is often used to list and identify hazard combinations</w:t>
      </w:r>
      <w:r w:rsidR="006A65F3" w:rsidRPr="000D6BF8">
        <w:footnoteReference w:id="13"/>
      </w:r>
      <w:r w:rsidRPr="00221C99">
        <w:t xml:space="preserve">. The use of a matrix is beneficial, but care should be taken in its application. Applying a 2-dimensional matrix alone is not sufficient as a 2-dimensional </w:t>
      </w:r>
      <w:r w:rsidRPr="00221C99">
        <w:lastRenderedPageBreak/>
        <w:t>matrix only considers the combination of two hazards and can cause groups of more than two hazards in combination to be overlooked. An example of a combination of three or more hazards that should be considered is the combination of rain, wind and lightning.</w:t>
      </w:r>
      <w:r w:rsidRPr="000D6BF8">
        <w:t xml:space="preserve"> </w:t>
      </w:r>
      <w:r w:rsidRPr="00221C99">
        <w:t>However, consideration of every possible combination of three of more hazards is likely to be an onerous task. A reasonable approach would be to apply a 2-dimensional matrix and then supplement this with expert judgment to ensure that reasonably foreseeable combinations of more than two hazards are considered. Inspectors should assure themselves that where expert judgment has been used to identify multiple hazard combinations, it has been used in a systematic manner as part of the identification process, to ensure that all credible combinations have been identified, so far as is reasonably practicable.</w:t>
      </w:r>
      <w:r w:rsidRPr="000D6BF8">
        <w:t xml:space="preserve"> </w:t>
      </w:r>
    </w:p>
    <w:p w14:paraId="0AAFB16F" w14:textId="056B67AC" w:rsidR="00E30E5A" w:rsidRPr="001B148A" w:rsidRDefault="00E30E5A" w:rsidP="000D6BF8">
      <w:pPr>
        <w:pStyle w:val="F9-Paragraph"/>
        <w:ind w:hanging="502"/>
      </w:pPr>
      <w:r w:rsidRPr="00221C99">
        <w:t>Further guidance specifically o</w:t>
      </w:r>
      <w:r w:rsidRPr="001B148A">
        <w:t xml:space="preserve">n combinations of hazards is available from </w:t>
      </w:r>
      <w:r w:rsidR="008C7FAE">
        <w:t>refs.</w:t>
      </w:r>
      <w:r w:rsidRPr="001B148A">
        <w:t xml:space="preserve"> </w:t>
      </w:r>
      <w:sdt>
        <w:sdtPr>
          <w:id w:val="1421212997"/>
          <w:citation/>
        </w:sdtPr>
        <w:sdtContent>
          <w:r w:rsidRPr="001B148A">
            <w:fldChar w:fldCharType="begin"/>
          </w:r>
          <w:r w:rsidRPr="001B148A">
            <w:instrText xml:space="preserve">CITATION Decdf \l 2057 </w:instrText>
          </w:r>
          <w:r w:rsidR="009059DB">
            <w:instrText xml:space="preserve"> \m WEN15</w:instrText>
          </w:r>
          <w:r w:rsidR="00A85454">
            <w:instrText xml:space="preserve"> \m Kno03 \m EPR15</w:instrText>
          </w:r>
          <w:r w:rsidRPr="001B148A">
            <w:fldChar w:fldCharType="separate"/>
          </w:r>
          <w:r w:rsidR="002A4EED">
            <w:t>[26, 13, 27, 28]</w:t>
          </w:r>
          <w:r w:rsidRPr="001B148A">
            <w:fldChar w:fldCharType="end"/>
          </w:r>
        </w:sdtContent>
      </w:sdt>
      <w:bookmarkStart w:id="653" w:name="_Ref471031284"/>
      <w:bookmarkStart w:id="654" w:name="_Ref470975911"/>
      <w:r w:rsidR="008C7FAE">
        <w:t>.</w:t>
      </w:r>
      <w:bookmarkEnd w:id="653"/>
      <w:bookmarkEnd w:id="654"/>
    </w:p>
    <w:p w14:paraId="1136A713" w14:textId="77777777" w:rsidR="00E30E5A" w:rsidRPr="001F7BFF" w:rsidRDefault="00E30E5A" w:rsidP="002079B5">
      <w:pPr>
        <w:pStyle w:val="Heading4"/>
      </w:pPr>
      <w:r w:rsidRPr="00547634">
        <w:t>Categorisation</w:t>
      </w:r>
    </w:p>
    <w:p w14:paraId="78B43CC5" w14:textId="649BFEA6" w:rsidR="00E30E5A" w:rsidRPr="001B148A" w:rsidRDefault="00E30E5A" w:rsidP="000D6BF8">
      <w:pPr>
        <w:pStyle w:val="F9-Paragraph"/>
        <w:ind w:hanging="502"/>
      </w:pPr>
      <w:bookmarkStart w:id="655" w:name="_Ref475373764"/>
      <w:r w:rsidRPr="001B148A">
        <w:t xml:space="preserve">The EH combination analysis requires an understanding of the types of hazard combinations </w:t>
      </w:r>
      <w:r w:rsidRPr="008121FF">
        <w:t>that exist. An illustrative categorisation scheme has been developed in Section</w:t>
      </w:r>
      <w:r w:rsidR="008121FF" w:rsidRPr="008121FF">
        <w:t xml:space="preserve"> </w:t>
      </w:r>
      <w:r w:rsidR="008121FF" w:rsidRPr="00547634">
        <w:fldChar w:fldCharType="begin"/>
      </w:r>
      <w:r w:rsidR="008121FF" w:rsidRPr="00547634">
        <w:instrText xml:space="preserve"> REF _Ref138670847 \r \h </w:instrText>
      </w:r>
      <w:r w:rsidR="008121FF">
        <w:instrText xml:space="preserve"> \* MERGEFORMAT </w:instrText>
      </w:r>
      <w:r w:rsidR="008121FF" w:rsidRPr="00547634">
        <w:fldChar w:fldCharType="separate"/>
      </w:r>
      <w:r w:rsidR="008B51F7">
        <w:t>5.2</w:t>
      </w:r>
      <w:r w:rsidR="008121FF" w:rsidRPr="00547634">
        <w:fldChar w:fldCharType="end"/>
      </w:r>
      <w:r w:rsidRPr="008121FF">
        <w:t xml:space="preserve"> (specifically paragraph </w:t>
      </w:r>
      <w:r w:rsidRPr="00547634">
        <w:fldChar w:fldCharType="begin"/>
      </w:r>
      <w:r w:rsidRPr="00547634">
        <w:instrText xml:space="preserve"> REF _Ref473700843 \r \h  \* MERGEFORMAT </w:instrText>
      </w:r>
      <w:r w:rsidRPr="00547634">
        <w:fldChar w:fldCharType="separate"/>
      </w:r>
      <w:r w:rsidR="008B51F7">
        <w:t>55</w:t>
      </w:r>
      <w:r w:rsidRPr="00547634">
        <w:fldChar w:fldCharType="end"/>
      </w:r>
      <w:r w:rsidRPr="008121FF">
        <w:t>) as a way of logically relating different EHs one to another; this</w:t>
      </w:r>
      <w:r w:rsidRPr="001B148A">
        <w:t xml:space="preserve"> could be adapted to the needs of a hazard combination analysis. Recent work reported in </w:t>
      </w:r>
      <w:sdt>
        <w:sdtPr>
          <w:id w:val="1667051075"/>
          <w:citation/>
        </w:sdtPr>
        <w:sdtContent>
          <w:r w:rsidRPr="001B148A">
            <w:fldChar w:fldCharType="begin"/>
          </w:r>
          <w:r w:rsidRPr="001B148A">
            <w:instrText xml:space="preserve"> CITATION Decdf \l 2057 </w:instrText>
          </w:r>
          <w:r w:rsidRPr="001B148A">
            <w:fldChar w:fldCharType="separate"/>
          </w:r>
          <w:r w:rsidR="002A4EED">
            <w:t>[26]</w:t>
          </w:r>
          <w:r w:rsidRPr="001B148A">
            <w:fldChar w:fldCharType="end"/>
          </w:r>
        </w:sdtContent>
      </w:sdt>
      <w:r w:rsidRPr="001B148A">
        <w:t xml:space="preserve"> proposes a similar categorisation scheme.</w:t>
      </w:r>
    </w:p>
    <w:p w14:paraId="358C4C9A" w14:textId="77777777" w:rsidR="00E30E5A" w:rsidRPr="00C64003" w:rsidRDefault="00E30E5A" w:rsidP="000D6BF8">
      <w:pPr>
        <w:pStyle w:val="F9-Paragraph"/>
        <w:ind w:hanging="502"/>
      </w:pPr>
      <w:bookmarkStart w:id="656" w:name="_Ref515458906"/>
      <w:r w:rsidRPr="00C64003">
        <w:t>The following combination effects should be considered:</w:t>
      </w:r>
      <w:bookmarkEnd w:id="656"/>
    </w:p>
    <w:bookmarkEnd w:id="655"/>
    <w:p w14:paraId="62636D4F" w14:textId="77777777" w:rsidR="00E30E5A" w:rsidRPr="00C64003" w:rsidRDefault="00E30E5A" w:rsidP="00547634">
      <w:pPr>
        <w:pStyle w:val="Bulletlist1"/>
        <w:ind w:left="1417"/>
      </w:pPr>
      <w:r w:rsidRPr="00C64003">
        <w:t xml:space="preserve">One or more hazards that affect the plant and occur as the result of a separate event that also affects the plant. </w:t>
      </w:r>
    </w:p>
    <w:p w14:paraId="1B6566D6" w14:textId="77777777" w:rsidR="00E30E5A" w:rsidRPr="00C64003" w:rsidRDefault="00E30E5A" w:rsidP="00547634">
      <w:pPr>
        <w:pStyle w:val="Bulletlist1"/>
        <w:spacing w:before="120"/>
        <w:ind w:left="1417"/>
      </w:pPr>
      <w:r w:rsidRPr="00C64003">
        <w:t xml:space="preserve">One or more hazards that affect the plant in the same time-frame due to persistence or similar causal factors. </w:t>
      </w:r>
    </w:p>
    <w:p w14:paraId="1C26F23E" w14:textId="0BAEA54F" w:rsidR="00E30E5A" w:rsidRPr="008579CA" w:rsidRDefault="00E30E5A" w:rsidP="00547634">
      <w:pPr>
        <w:pStyle w:val="Bulletlist1"/>
        <w:spacing w:before="120"/>
        <w:ind w:left="1417"/>
      </w:pPr>
      <w:r w:rsidRPr="00C64003">
        <w:t xml:space="preserve">One or more hazards </w:t>
      </w:r>
      <w:r w:rsidR="003734B8">
        <w:t xml:space="preserve">that </w:t>
      </w:r>
      <w:r w:rsidRPr="008579CA">
        <w:t xml:space="preserve">may exacerbate other hazards. </w:t>
      </w:r>
    </w:p>
    <w:p w14:paraId="1D27E77A" w14:textId="799BEB77" w:rsidR="00E30E5A" w:rsidRPr="008579CA" w:rsidRDefault="00E30E5A" w:rsidP="00547634">
      <w:pPr>
        <w:pStyle w:val="Bulletlist1"/>
        <w:spacing w:before="120"/>
        <w:ind w:left="1417"/>
      </w:pPr>
      <w:r w:rsidRPr="008579CA">
        <w:t>One or more sequential hazards that affect the plant. Hazard combinations can be important when they occur sequentially</w:t>
      </w:r>
      <w:r w:rsidR="008579CA" w:rsidRPr="00547634">
        <w:t>.</w:t>
      </w:r>
      <w:r w:rsidRPr="008579CA">
        <w:t xml:space="preserve"> </w:t>
      </w:r>
    </w:p>
    <w:p w14:paraId="1EE7FA94" w14:textId="77777777" w:rsidR="00E30E5A" w:rsidRPr="00547634" w:rsidRDefault="00E30E5A" w:rsidP="00547634">
      <w:pPr>
        <w:pStyle w:val="Bulletlist1"/>
        <w:spacing w:before="120"/>
        <w:ind w:left="1417"/>
      </w:pPr>
      <w:r w:rsidRPr="008579CA">
        <w:t>Realistic combinations of randomly occurring independent events affecting the plant simultaneously.</w:t>
      </w:r>
    </w:p>
    <w:p w14:paraId="4484CFA4" w14:textId="77777777" w:rsidR="00E30E5A" w:rsidRPr="008579CA" w:rsidRDefault="00E30E5A" w:rsidP="002079B5">
      <w:pPr>
        <w:pStyle w:val="Heading4"/>
      </w:pPr>
      <w:r w:rsidRPr="00547634">
        <w:t>Screening</w:t>
      </w:r>
    </w:p>
    <w:p w14:paraId="361E922F" w14:textId="77777777" w:rsidR="00E30E5A" w:rsidRPr="00C64003" w:rsidRDefault="00E30E5A" w:rsidP="000D6BF8">
      <w:pPr>
        <w:pStyle w:val="F9-Paragraph"/>
        <w:ind w:hanging="502"/>
      </w:pPr>
      <w:r w:rsidRPr="00C64003">
        <w:t xml:space="preserve">A complete consideration of all possible combinations would be an extremely onerous task and is not necessary, since only those that pose a significant risk to nuclear safety are needed to analyse the safety of plant. Therefore, an appropriate screening methodology should be applied. </w:t>
      </w:r>
      <w:r w:rsidRPr="008579CA">
        <w:t>Although there is no international consensus on a screening methodology to apply</w:t>
      </w:r>
      <w:r w:rsidRPr="00C64003">
        <w:t>, ONR considers it reasonable at this time to employ a similar methodology to that applied for screening individual EHs.</w:t>
      </w:r>
    </w:p>
    <w:p w14:paraId="4DDAD31D" w14:textId="4C1B8A07" w:rsidR="00E30E5A" w:rsidRPr="00B54713" w:rsidRDefault="00E30E5A" w:rsidP="000D6BF8">
      <w:pPr>
        <w:pStyle w:val="F9-Paragraph"/>
        <w:ind w:hanging="502"/>
      </w:pPr>
      <w:r w:rsidRPr="00B54713">
        <w:t xml:space="preserve">Combinations can be screened out if they do not pose a significant risk to the plant, or if the consequences of the combination do not exceed the </w:t>
      </w:r>
      <w:r w:rsidRPr="00B54713">
        <w:lastRenderedPageBreak/>
        <w:t>consequences of one of the elements of the combination occurring alone. Combinations of hazards can potentially affect plant and SSCs in different ways. Some combinations can affect plant by undermining the diversity of systems. Other combinations of hazards can affect a single system via the production of an additional load. The requirements for segregation, redundancy, separation and diversity should be considered in light of both of these effects. If the widespread effect of a combination has the potential to undermine the diversity strategy of the plant, then this should be consider</w:t>
      </w:r>
      <w:r w:rsidR="004A5C1F">
        <w:t>ed</w:t>
      </w:r>
      <w:r w:rsidR="00FE7066">
        <w:t xml:space="preserve"> </w:t>
      </w:r>
      <w:r w:rsidR="004A5C1F">
        <w:t>in the</w:t>
      </w:r>
      <w:r w:rsidRPr="00B54713">
        <w:t xml:space="preserve"> screen</w:t>
      </w:r>
      <w:r w:rsidR="004A5C1F">
        <w:t>ing process</w:t>
      </w:r>
      <w:r w:rsidRPr="00B54713">
        <w:t>.</w:t>
      </w:r>
    </w:p>
    <w:p w14:paraId="5EE1E8A8" w14:textId="4322F39F" w:rsidR="00E30E5A" w:rsidRPr="00097838" w:rsidRDefault="00E30E5A" w:rsidP="000D6BF8">
      <w:pPr>
        <w:pStyle w:val="F9-Paragraph"/>
        <w:ind w:hanging="502"/>
      </w:pPr>
      <w:r w:rsidRPr="00097838">
        <w:t xml:space="preserve">Many combinations can be screened out based on low frequency. This is likely to be the case for the majority of coincidental hazards. When considering screening combinations on the basis of low frequency, both the duration of the hazards and the time to repair SSCs should be </w:t>
      </w:r>
      <w:r w:rsidR="005F136A">
        <w:t>considered</w:t>
      </w:r>
      <w:r w:rsidRPr="00097838">
        <w:t xml:space="preserve">. </w:t>
      </w:r>
      <w:r w:rsidR="00592C79">
        <w:t xml:space="preserve">Some EH </w:t>
      </w:r>
      <w:r w:rsidRPr="00097838">
        <w:t xml:space="preserve">combinations </w:t>
      </w:r>
      <w:r w:rsidR="00592C79">
        <w:t>that are</w:t>
      </w:r>
      <w:r w:rsidRPr="00097838">
        <w:t xml:space="preserve"> screened out of the </w:t>
      </w:r>
      <w:r w:rsidR="002C6EB4">
        <w:t>DB</w:t>
      </w:r>
      <w:r w:rsidRPr="00097838">
        <w:t xml:space="preserve">, may </w:t>
      </w:r>
      <w:r w:rsidR="003D14BA">
        <w:t xml:space="preserve">still </w:t>
      </w:r>
      <w:r w:rsidR="003C7EBA">
        <w:t>be applicable to</w:t>
      </w:r>
      <w:r w:rsidRPr="00097838">
        <w:t xml:space="preserve"> SAA and PSA. </w:t>
      </w:r>
    </w:p>
    <w:p w14:paraId="1BA76F2B" w14:textId="6F64C7B0" w:rsidR="00E30E5A" w:rsidRPr="00097838" w:rsidRDefault="00E30E5A" w:rsidP="000D6BF8">
      <w:pPr>
        <w:pStyle w:val="F9-Paragraph"/>
        <w:ind w:hanging="502"/>
      </w:pPr>
      <w:r w:rsidRPr="00097838">
        <w:t>An example set of screening criteria, taken from</w:t>
      </w:r>
      <w:sdt>
        <w:sdtPr>
          <w:id w:val="-1116982033"/>
          <w:citation/>
        </w:sdtPr>
        <w:sdtContent>
          <w:r w:rsidR="00115D7E">
            <w:fldChar w:fldCharType="begin"/>
          </w:r>
          <w:r w:rsidR="002530A8">
            <w:instrText xml:space="preserve">CITATION Kno03 \l 2057 </w:instrText>
          </w:r>
          <w:r w:rsidR="00115D7E">
            <w:fldChar w:fldCharType="separate"/>
          </w:r>
          <w:r w:rsidR="002A4EED">
            <w:t xml:space="preserve"> [27]</w:t>
          </w:r>
          <w:r w:rsidR="00115D7E">
            <w:fldChar w:fldCharType="end"/>
          </w:r>
        </w:sdtContent>
      </w:sdt>
      <w:r w:rsidRPr="00097838">
        <w:t>, is given in Table 6.</w:t>
      </w:r>
    </w:p>
    <w:p w14:paraId="01607AF3" w14:textId="2FB2DD9A" w:rsidR="00E30E5A" w:rsidRPr="00D66B82" w:rsidRDefault="00E30E5A" w:rsidP="000D6BF8">
      <w:pPr>
        <w:pStyle w:val="F9-Paragraph"/>
        <w:ind w:hanging="502"/>
      </w:pPr>
      <w:r w:rsidRPr="00D66B82">
        <w:t>In addition to combinations of extremes, all EHs should be considered in combination with normal engineered load combinations.</w:t>
      </w:r>
      <w:r w:rsidR="002C6EB4">
        <w:t xml:space="preserve"> </w:t>
      </w:r>
      <w:r w:rsidR="00301487">
        <w:t>Further g</w:t>
      </w:r>
      <w:r w:rsidR="00150B12">
        <w:t xml:space="preserve">uidance on this is </w:t>
      </w:r>
      <w:r w:rsidR="00301487">
        <w:t xml:space="preserve">often </w:t>
      </w:r>
      <w:r w:rsidR="00150B12">
        <w:t>articulated within the design codes</w:t>
      </w:r>
      <w:r w:rsidRPr="00D66B82">
        <w:t xml:space="preserve"> </w:t>
      </w:r>
      <w:r w:rsidR="00150B12">
        <w:t>themselves.</w:t>
      </w:r>
    </w:p>
    <w:p w14:paraId="6D5963D6" w14:textId="41C94BC2" w:rsidR="00E30E5A" w:rsidRPr="00A729A5" w:rsidRDefault="00E30E5A" w:rsidP="000D6BF8">
      <w:pPr>
        <w:pStyle w:val="F9-Paragraph"/>
        <w:ind w:hanging="502"/>
      </w:pPr>
      <w:r w:rsidRPr="00D66B82">
        <w:t xml:space="preserve">Inspectors should ensure that </w:t>
      </w:r>
      <w:r w:rsidR="00DE627A">
        <w:t>l</w:t>
      </w:r>
      <w:r w:rsidRPr="00D66B82">
        <w:t xml:space="preserve">icensees have developed a systematic method of screening that is consistent with </w:t>
      </w:r>
      <w:r w:rsidR="000B0498">
        <w:t xml:space="preserve">the </w:t>
      </w:r>
      <w:r w:rsidRPr="00D66B82">
        <w:t xml:space="preserve">categorisation scheme that identifies individual EHs, captures the inter-relationship between those EHs and consequential effects that are significant to nuclear safety for their site. If a matrix approach has been used to identify potential combinations of hazards, the matrix could then be reviewed against </w:t>
      </w:r>
      <w:r w:rsidRPr="00A729A5">
        <w:t>the categorisation scheme.</w:t>
      </w:r>
    </w:p>
    <w:p w14:paraId="1958055A" w14:textId="5682E06C" w:rsidR="00E30E5A" w:rsidRPr="001F7BFF" w:rsidRDefault="00E30E5A" w:rsidP="002079B5">
      <w:pPr>
        <w:pStyle w:val="Heading4"/>
      </w:pPr>
      <w:r w:rsidRPr="00547634">
        <w:t xml:space="preserve">Development of </w:t>
      </w:r>
      <w:r w:rsidR="002079B5">
        <w:t>d</w:t>
      </w:r>
      <w:r w:rsidRPr="00547634">
        <w:t xml:space="preserve">esign </w:t>
      </w:r>
      <w:r w:rsidR="002079B5">
        <w:t>b</w:t>
      </w:r>
      <w:r w:rsidRPr="00547634">
        <w:t xml:space="preserve">ases and other safety analysis inputs for screened in </w:t>
      </w:r>
      <w:r w:rsidR="002079B5">
        <w:t>external hazard</w:t>
      </w:r>
      <w:r w:rsidRPr="00547634">
        <w:t xml:space="preserve"> combinations</w:t>
      </w:r>
    </w:p>
    <w:p w14:paraId="60D20F68" w14:textId="0E75DDB5" w:rsidR="00E30E5A" w:rsidRPr="007D0AF2" w:rsidRDefault="00E30E5A" w:rsidP="000D6BF8">
      <w:pPr>
        <w:pStyle w:val="F9-Paragraph"/>
        <w:ind w:hanging="502"/>
      </w:pPr>
      <w:bookmarkStart w:id="657" w:name="_Ref519060229"/>
      <w:r w:rsidRPr="00A729A5">
        <w:t xml:space="preserve">Once combinations have been identified, categorised, and screened, they provide input for the </w:t>
      </w:r>
      <w:r w:rsidRPr="007D0AF2">
        <w:t>next stage of safety analysis via the fault schedule, as well as providing input into the PSA. The goal is to arrive at a plant that meets the risk targets and for which risks are reduced ALARP. There are very few hard-and-fast rules that form RGP at this time. Guidance to inspectors is as follows:</w:t>
      </w:r>
      <w:bookmarkEnd w:id="657"/>
    </w:p>
    <w:p w14:paraId="75A5EE15" w14:textId="5A51B8BC" w:rsidR="00E30E5A" w:rsidRDefault="00E30E5A" w:rsidP="00BF6553">
      <w:pPr>
        <w:pStyle w:val="Bulletlist1"/>
        <w:spacing w:before="120"/>
        <w:ind w:left="1417"/>
      </w:pPr>
      <w:r w:rsidRPr="00AE4BBB">
        <w:rPr>
          <w:i/>
        </w:rPr>
        <w:t>Correlated and secondary hazards</w:t>
      </w:r>
      <w:r w:rsidRPr="00604408">
        <w:t>: These are hazards that have a tendency to occur in combination</w:t>
      </w:r>
      <w:r w:rsidRPr="002D6527">
        <w:t xml:space="preserve">. Licensees should analyse these combinations to establish credible individual hazard severities to be used as combined design bases for DBA. This could include at worst, assuming the full </w:t>
      </w:r>
      <w:r w:rsidR="00A057CF">
        <w:t>DB</w:t>
      </w:r>
      <w:r w:rsidRPr="002D6527">
        <w:t xml:space="preserve"> level for each</w:t>
      </w:r>
      <w:r w:rsidRPr="00604408">
        <w:t xml:space="preserve"> individual hazard simultaneously or deriving a combination </w:t>
      </w:r>
      <w:r w:rsidRPr="00984684">
        <w:t xml:space="preserve">effect that collectively meets the </w:t>
      </w:r>
      <w:r w:rsidR="00A057CF">
        <w:t>DB</w:t>
      </w:r>
      <w:r w:rsidRPr="00984684">
        <w:t xml:space="preserve"> criteria in Section </w:t>
      </w:r>
      <w:r w:rsidRPr="00984684">
        <w:fldChar w:fldCharType="begin"/>
      </w:r>
      <w:r w:rsidRPr="00984684">
        <w:instrText xml:space="preserve"> REF _Ref505077187 \r \h  \* MERGEFORMAT </w:instrText>
      </w:r>
      <w:r w:rsidRPr="00984684">
        <w:fldChar w:fldCharType="separate"/>
      </w:r>
      <w:r w:rsidR="008B51F7">
        <w:t>5.6.2</w:t>
      </w:r>
      <w:r w:rsidRPr="00984684">
        <w:fldChar w:fldCharType="end"/>
      </w:r>
      <w:r w:rsidRPr="00984684">
        <w:t>.</w:t>
      </w:r>
    </w:p>
    <w:p w14:paraId="79AB8BA5" w14:textId="2F36FB09" w:rsidR="00E30E5A" w:rsidRDefault="00E30E5A" w:rsidP="00BF6553">
      <w:pPr>
        <w:pStyle w:val="Bulletlist1"/>
        <w:spacing w:before="120"/>
        <w:ind w:left="1417"/>
      </w:pPr>
      <w:r w:rsidRPr="00DF33B1">
        <w:rPr>
          <w:i/>
        </w:rPr>
        <w:t>Coincidental hazards</w:t>
      </w:r>
      <w:r w:rsidRPr="00984684">
        <w:t xml:space="preserve">: These are random combinations and for these, inspectors should </w:t>
      </w:r>
      <w:r w:rsidR="001A5BE9">
        <w:t>gain confidence</w:t>
      </w:r>
      <w:r w:rsidR="001A5BE9" w:rsidRPr="00984684">
        <w:t xml:space="preserve"> </w:t>
      </w:r>
      <w:r w:rsidRPr="00984684">
        <w:t xml:space="preserve">that a pragmatic and reasonably conservative approach has been taken by </w:t>
      </w:r>
      <w:r w:rsidR="0096505A">
        <w:t>l</w:t>
      </w:r>
      <w:r w:rsidRPr="00984684">
        <w:t>icensees.</w:t>
      </w:r>
    </w:p>
    <w:p w14:paraId="4519280F" w14:textId="77777777" w:rsidR="00E30E5A" w:rsidRPr="008B77A8" w:rsidRDefault="00E30E5A" w:rsidP="00E30E5A">
      <w:pPr>
        <w:pStyle w:val="Heading3"/>
      </w:pPr>
      <w:bookmarkStart w:id="658" w:name="_Ref475373754"/>
      <w:r w:rsidRPr="008B77A8">
        <w:lastRenderedPageBreak/>
        <w:t>Combining external hazards with normal design loads</w:t>
      </w:r>
      <w:bookmarkEnd w:id="658"/>
    </w:p>
    <w:p w14:paraId="7122AFAC" w14:textId="326BD209" w:rsidR="00E30E5A" w:rsidRPr="008B77A8" w:rsidRDefault="00E30E5A" w:rsidP="000D6BF8">
      <w:pPr>
        <w:pStyle w:val="F9-Paragraph"/>
        <w:ind w:hanging="502"/>
      </w:pPr>
      <w:r w:rsidRPr="008B77A8">
        <w:t>SAP paragraph 631 states that the “normal” loads assumed should be the most onerous consistent with those allowed within Operating Rules established under LC</w:t>
      </w:r>
      <w:r w:rsidR="00174C97">
        <w:t xml:space="preserve"> </w:t>
      </w:r>
      <w:r w:rsidRPr="008B77A8">
        <w:t xml:space="preserve">23, but where each load in the combination is considered on a best estimate basis, or consistent with RGP. </w:t>
      </w:r>
      <w:r w:rsidR="00CB0E44" w:rsidRPr="008B77A8">
        <w:t>Account should also be taken</w:t>
      </w:r>
      <w:r w:rsidR="000C46D3" w:rsidRPr="008B77A8">
        <w:t xml:space="preserve"> of likely disruption</w:t>
      </w:r>
      <w:r w:rsidR="002D6F21" w:rsidRPr="00547634">
        <w:t xml:space="preserve"> and failures</w:t>
      </w:r>
      <w:r w:rsidR="009D326E" w:rsidRPr="00547634">
        <w:t xml:space="preserve"> that </w:t>
      </w:r>
      <w:r w:rsidR="002D6F21" w:rsidRPr="00547634">
        <w:t xml:space="preserve">may </w:t>
      </w:r>
      <w:r w:rsidR="009D326E" w:rsidRPr="00547634">
        <w:t>occur</w:t>
      </w:r>
      <w:r w:rsidR="008D037C" w:rsidRPr="008B77A8">
        <w:t xml:space="preserve"> offsite.</w:t>
      </w:r>
      <w:r w:rsidR="00CB0E44" w:rsidRPr="008B77A8">
        <w:t xml:space="preserve"> </w:t>
      </w:r>
      <w:r w:rsidRPr="008B77A8">
        <w:t>However, the combination should not result in an outcome that is less than that due to the most onerous individual EH.</w:t>
      </w:r>
    </w:p>
    <w:p w14:paraId="5ABA4CB9" w14:textId="6C419BDB" w:rsidR="00E30E5A" w:rsidRPr="00D91701" w:rsidRDefault="00E30E5A" w:rsidP="000D6BF8">
      <w:pPr>
        <w:pStyle w:val="F9-Paragraph"/>
        <w:ind w:hanging="502"/>
      </w:pPr>
      <w:r w:rsidRPr="00D91701">
        <w:t xml:space="preserve">Inspectors </w:t>
      </w:r>
      <w:r w:rsidR="00933F5D">
        <w:t>may</w:t>
      </w:r>
      <w:r w:rsidR="00933F5D" w:rsidRPr="00D91701">
        <w:t xml:space="preserve"> </w:t>
      </w:r>
      <w:r w:rsidRPr="00D91701">
        <w:t xml:space="preserve">liaise with other disciplines to confirm that </w:t>
      </w:r>
      <w:r w:rsidR="00F91879" w:rsidRPr="00D91701">
        <w:t>l</w:t>
      </w:r>
      <w:r w:rsidRPr="00D91701">
        <w:t xml:space="preserve">icensees are not using unreasonably low load factors in the analysis, on the assumption that the occurrence of a </w:t>
      </w:r>
      <w:r w:rsidR="00A057CF">
        <w:t>DBE</w:t>
      </w:r>
      <w:r w:rsidRPr="00D91701">
        <w:t xml:space="preserve"> is an exceptional event, or an accidental loading</w:t>
      </w:r>
      <w:r w:rsidRPr="00547634">
        <w:t xml:space="preserve">. </w:t>
      </w:r>
    </w:p>
    <w:p w14:paraId="381E3D22" w14:textId="1E7B1B6F" w:rsidR="00E30E5A" w:rsidRPr="00115D7E" w:rsidRDefault="005E2A40" w:rsidP="000D6BF8">
      <w:pPr>
        <w:pStyle w:val="F9-Paragraph"/>
        <w:ind w:hanging="502"/>
      </w:pPr>
      <w:bookmarkStart w:id="659" w:name="_Ref448474271"/>
      <w:r>
        <w:t>EHs</w:t>
      </w:r>
      <w:r w:rsidR="00E30E5A" w:rsidRPr="00115D7E">
        <w:t xml:space="preserve"> should also be considered potentially coincident with anticipated operational occurrences, e.g., equipment outages or minimum manning levels, and </w:t>
      </w:r>
      <w:r w:rsidR="00A057CF">
        <w:t>DB</w:t>
      </w:r>
      <w:r w:rsidR="00E30E5A" w:rsidRPr="00115D7E">
        <w:t xml:space="preserve"> accident conditions. However, as with un-correlated EHs, consideration should be given to the combined likelihood of non-causally linked occurrences to avoid undue conservatism.</w:t>
      </w:r>
      <w:bookmarkEnd w:id="659"/>
    </w:p>
    <w:p w14:paraId="10032012" w14:textId="77777777" w:rsidR="003073AD" w:rsidRPr="00EF16EB" w:rsidRDefault="003073AD" w:rsidP="003073AD">
      <w:pPr>
        <w:pStyle w:val="Heading3"/>
      </w:pPr>
      <w:bookmarkStart w:id="660" w:name="_Ref138753845"/>
      <w:r w:rsidRPr="00EF16EB">
        <w:t>Climate change</w:t>
      </w:r>
      <w:bookmarkEnd w:id="660"/>
    </w:p>
    <w:p w14:paraId="62F21F44" w14:textId="34C29A84" w:rsidR="003073AD" w:rsidRPr="001E2EE1" w:rsidRDefault="003073AD" w:rsidP="000D6BF8">
      <w:pPr>
        <w:pStyle w:val="F9-Paragraph"/>
        <w:ind w:hanging="502"/>
      </w:pPr>
      <w:r w:rsidRPr="00EF16EB">
        <w:t>It is generally accepted that climate change will affect both current and future climate and associated weather. This in turn is expected to result in a gradual rise in sea levels because of the anticipated warming associated with climate change and associated melting of global icesheets, although there is much debate about how much and when. Consequently, inspectors should be aware that climate change predictions are associated with substantial uncertainty</w:t>
      </w:r>
      <w:r w:rsidR="00ED0AB9">
        <w:t>.</w:t>
      </w:r>
      <w:r w:rsidRPr="001E2EE1">
        <w:t xml:space="preserve"> </w:t>
      </w:r>
    </w:p>
    <w:p w14:paraId="7F5F40A1" w14:textId="77777777" w:rsidR="00ED0AB9" w:rsidRDefault="003073AD" w:rsidP="000D6BF8">
      <w:pPr>
        <w:pStyle w:val="F9-Paragraph"/>
        <w:ind w:hanging="502"/>
      </w:pPr>
      <w:r w:rsidRPr="001E2EE1">
        <w:t xml:space="preserve">Due to the typical operating lifetime of a nuclear site (of the order &gt;100 years); changes to meteorological and coastal flooding hazards as a result of climate change could be significant. </w:t>
      </w:r>
    </w:p>
    <w:p w14:paraId="7DA64D8A" w14:textId="444C3A7D" w:rsidR="003073AD" w:rsidRPr="001E2EE1" w:rsidRDefault="003073AD" w:rsidP="000D6BF8">
      <w:pPr>
        <w:pStyle w:val="F9-Paragraph"/>
        <w:ind w:hanging="502"/>
      </w:pPr>
      <w:r w:rsidRPr="001E2EE1">
        <w:t xml:space="preserve">Further details </w:t>
      </w:r>
      <w:r w:rsidR="00ED0AB9">
        <w:t xml:space="preserve">on climate change </w:t>
      </w:r>
      <w:r w:rsidRPr="001E2EE1">
        <w:t xml:space="preserve">are provided in </w:t>
      </w:r>
      <w:r w:rsidR="00ED0AB9">
        <w:t>Annexes 2 &amp; 3</w:t>
      </w:r>
      <w:sdt>
        <w:sdtPr>
          <w:id w:val="-588084896"/>
          <w:citation/>
        </w:sdtPr>
        <w:sdtContent>
          <w:r w:rsidR="00ED0AB9">
            <w:fldChar w:fldCharType="begin"/>
          </w:r>
          <w:r w:rsidR="00ED0AB9">
            <w:instrText xml:space="preserve"> CITATION ONR171 \l 2057  \m ONR172</w:instrText>
          </w:r>
          <w:r w:rsidR="00ED0AB9">
            <w:fldChar w:fldCharType="separate"/>
          </w:r>
          <w:r w:rsidR="002A4EED">
            <w:t xml:space="preserve"> [4, 5]</w:t>
          </w:r>
          <w:r w:rsidR="00ED0AB9">
            <w:fldChar w:fldCharType="end"/>
          </w:r>
        </w:sdtContent>
      </w:sdt>
      <w:r w:rsidR="00ED0AB9" w:rsidRPr="001E2EE1">
        <w:t>.</w:t>
      </w:r>
    </w:p>
    <w:p w14:paraId="0CA3C870" w14:textId="49EC8702" w:rsidR="000D5598" w:rsidRDefault="003607FB" w:rsidP="00D30652">
      <w:pPr>
        <w:pStyle w:val="Heading3"/>
      </w:pPr>
      <w:r>
        <w:t xml:space="preserve">Managed </w:t>
      </w:r>
      <w:r w:rsidR="002079B5">
        <w:t>a</w:t>
      </w:r>
      <w:r>
        <w:t>daptation</w:t>
      </w:r>
    </w:p>
    <w:p w14:paraId="4EDB94D0" w14:textId="3C5A6169" w:rsidR="002B5C97" w:rsidRPr="00E93E8B" w:rsidRDefault="00F12119" w:rsidP="000D6BF8">
      <w:pPr>
        <w:pStyle w:val="F9-Paragraph"/>
        <w:ind w:hanging="502"/>
      </w:pPr>
      <w:r w:rsidRPr="009C6380">
        <w:t>A</w:t>
      </w:r>
      <w:r w:rsidR="003D7712" w:rsidRPr="009C6380">
        <w:t xml:space="preserve"> </w:t>
      </w:r>
      <w:r w:rsidR="00576219" w:rsidRPr="009C6380">
        <w:t>m</w:t>
      </w:r>
      <w:r w:rsidR="00B77F27" w:rsidRPr="009C6380">
        <w:t>ana</w:t>
      </w:r>
      <w:r w:rsidR="00450EF8" w:rsidRPr="009C6380">
        <w:t xml:space="preserve">ged </w:t>
      </w:r>
      <w:r w:rsidR="00576219" w:rsidRPr="009C6380">
        <w:t>a</w:t>
      </w:r>
      <w:r w:rsidR="00450EF8" w:rsidRPr="009C6380">
        <w:t>daptati</w:t>
      </w:r>
      <w:r w:rsidR="00576219" w:rsidRPr="009C6380">
        <w:t>ve approach</w:t>
      </w:r>
      <w:r w:rsidR="008E1C41" w:rsidRPr="009C6380">
        <w:t xml:space="preserve"> builds flexibility into options and decisions today </w:t>
      </w:r>
      <w:r w:rsidR="00FC0DFE" w:rsidRPr="009C6380">
        <w:t xml:space="preserve">to enable the </w:t>
      </w:r>
      <w:r w:rsidR="001B2BFC" w:rsidRPr="009C6380">
        <w:t xml:space="preserve">EH </w:t>
      </w:r>
      <w:r w:rsidR="00D35973" w:rsidRPr="009C6380">
        <w:t xml:space="preserve">resilience of a </w:t>
      </w:r>
      <w:r w:rsidR="0010243D" w:rsidRPr="009C6380">
        <w:t xml:space="preserve">site (and/or </w:t>
      </w:r>
      <w:r w:rsidR="00D35973" w:rsidRPr="009C6380">
        <w:t>facility</w:t>
      </w:r>
      <w:r w:rsidR="0010243D" w:rsidRPr="009C6380">
        <w:t xml:space="preserve">) </w:t>
      </w:r>
      <w:r w:rsidR="00D35973" w:rsidRPr="009C6380">
        <w:t xml:space="preserve">to </w:t>
      </w:r>
      <w:r w:rsidR="001B2BFC" w:rsidRPr="009C6380">
        <w:t xml:space="preserve">be </w:t>
      </w:r>
      <w:r w:rsidR="001F34C4" w:rsidRPr="009C6380">
        <w:t>improved upon at some future point in the facilit</w:t>
      </w:r>
      <w:r w:rsidR="00165878">
        <w:t>y’s</w:t>
      </w:r>
      <w:r w:rsidR="001F34C4" w:rsidRPr="009C6380">
        <w:t xml:space="preserve"> life.</w:t>
      </w:r>
      <w:r w:rsidR="009E53A5" w:rsidRPr="009C6380">
        <w:t xml:space="preserve"> In the context of EHs</w:t>
      </w:r>
      <w:r w:rsidR="000C455F">
        <w:t>,</w:t>
      </w:r>
      <w:r w:rsidR="009E53A5" w:rsidRPr="009C6380">
        <w:t xml:space="preserve"> it </w:t>
      </w:r>
      <w:r w:rsidR="000D62C1" w:rsidRPr="009C6380">
        <w:t>may be used in situations where the severity of a</w:t>
      </w:r>
      <w:r w:rsidR="006320C3" w:rsidRPr="009C6380">
        <w:t>n</w:t>
      </w:r>
      <w:r w:rsidR="000D62C1" w:rsidRPr="009C6380">
        <w:t xml:space="preserve"> EH </w:t>
      </w:r>
      <w:r w:rsidR="00815CBB" w:rsidRPr="009C6380">
        <w:t xml:space="preserve">might increase in the </w:t>
      </w:r>
      <w:r w:rsidR="000E3704" w:rsidRPr="009C6380">
        <w:t>future,</w:t>
      </w:r>
      <w:r w:rsidR="00815CBB" w:rsidRPr="009C6380">
        <w:t xml:space="preserve"> but the realisation is highly </w:t>
      </w:r>
      <w:r w:rsidR="000E3704" w:rsidRPr="009C6380">
        <w:t xml:space="preserve">uncertain. An example relevant to EHs </w:t>
      </w:r>
      <w:r w:rsidR="00E46D68" w:rsidRPr="009C6380">
        <w:t xml:space="preserve">could be a defensive sea wall, where provision is made so that it could readily be </w:t>
      </w:r>
      <w:r w:rsidR="008426BD" w:rsidRPr="009C6380">
        <w:t>increased in height should such a need be identified</w:t>
      </w:r>
      <w:r w:rsidR="00594DF5" w:rsidRPr="009C6380">
        <w:t xml:space="preserve">. This may be viewed as an alternative to including a contingency in </w:t>
      </w:r>
      <w:r w:rsidR="002B5C97" w:rsidRPr="009C6380">
        <w:t>the DB</w:t>
      </w:r>
      <w:r w:rsidR="002372E5" w:rsidRPr="009C6380">
        <w:t>E</w:t>
      </w:r>
      <w:r w:rsidR="002B5C97" w:rsidRPr="009C6380">
        <w:t xml:space="preserve"> for </w:t>
      </w:r>
      <w:r w:rsidR="00594DF5" w:rsidRPr="009C6380">
        <w:t xml:space="preserve">a </w:t>
      </w:r>
      <w:r w:rsidR="002B5C97" w:rsidRPr="009C6380">
        <w:t>new build or a</w:t>
      </w:r>
      <w:r w:rsidR="002B5C97">
        <w:t xml:space="preserve"> modification</w:t>
      </w:r>
      <w:r w:rsidR="00B4164F">
        <w:t xml:space="preserve"> to an existing facility</w:t>
      </w:r>
      <w:r w:rsidR="002B5C97">
        <w:t>.</w:t>
      </w:r>
      <w:r w:rsidR="004C7101">
        <w:t xml:space="preserve"> Whilst such an approach may bring benefits to </w:t>
      </w:r>
      <w:r w:rsidR="00B33C10">
        <w:t xml:space="preserve">the initial </w:t>
      </w:r>
      <w:r w:rsidR="00B33C10" w:rsidRPr="00E93E8B">
        <w:t>design</w:t>
      </w:r>
      <w:r w:rsidR="006320C3" w:rsidRPr="00E93E8B">
        <w:t>,</w:t>
      </w:r>
      <w:r w:rsidR="00B33C10" w:rsidRPr="00E93E8B">
        <w:t xml:space="preserve"> it may </w:t>
      </w:r>
      <w:r w:rsidR="00CE0B46" w:rsidRPr="00E93E8B">
        <w:t>ultimately be less beneficial if</w:t>
      </w:r>
      <w:r w:rsidR="003F14DF" w:rsidRPr="00E93E8B">
        <w:t xml:space="preserve"> implementation </w:t>
      </w:r>
      <w:r w:rsidR="007506C3" w:rsidRPr="00E93E8B">
        <w:t>is</w:t>
      </w:r>
      <w:r w:rsidR="00CE0B46" w:rsidRPr="00E93E8B">
        <w:t xml:space="preserve"> required during the lif</w:t>
      </w:r>
      <w:r w:rsidR="00B14A1A" w:rsidRPr="00E93E8B">
        <w:t>et</w:t>
      </w:r>
      <w:r w:rsidR="00CE0B46" w:rsidRPr="00E93E8B">
        <w:t xml:space="preserve">ime </w:t>
      </w:r>
      <w:r w:rsidR="00B14A1A" w:rsidRPr="00E93E8B">
        <w:t>of the facility.</w:t>
      </w:r>
      <w:r w:rsidR="00F84926" w:rsidRPr="00E93E8B">
        <w:t xml:space="preserve"> If such an approach is </w:t>
      </w:r>
      <w:r w:rsidR="00A70EE7" w:rsidRPr="00E93E8B">
        <w:t>adopted,</w:t>
      </w:r>
      <w:r w:rsidR="00F84926" w:rsidRPr="00E93E8B">
        <w:t xml:space="preserve"> then </w:t>
      </w:r>
      <w:r w:rsidR="00585A61" w:rsidRPr="00E93E8B">
        <w:t xml:space="preserve">the inspector should </w:t>
      </w:r>
      <w:r w:rsidR="00C148AF">
        <w:t>gain confidence</w:t>
      </w:r>
      <w:r w:rsidR="00C148AF" w:rsidRPr="00E93E8B">
        <w:t xml:space="preserve"> </w:t>
      </w:r>
      <w:r w:rsidR="000068F1" w:rsidRPr="00E93E8B">
        <w:t xml:space="preserve">that </w:t>
      </w:r>
      <w:r w:rsidR="00ED2EF2" w:rsidRPr="00E93E8B">
        <w:t>it is well founded</w:t>
      </w:r>
      <w:r w:rsidR="004C36F5" w:rsidRPr="00E93E8B">
        <w:t xml:space="preserve"> and deliverable</w:t>
      </w:r>
      <w:r w:rsidR="007506C3" w:rsidRPr="00E93E8B">
        <w:t xml:space="preserve"> during the </w:t>
      </w:r>
      <w:r w:rsidR="00C80622" w:rsidRPr="00E93E8B">
        <w:t>lifetime of the facility</w:t>
      </w:r>
      <w:r w:rsidR="004C36F5" w:rsidRPr="00E93E8B">
        <w:t>.</w:t>
      </w:r>
    </w:p>
    <w:p w14:paraId="2D1C87C3" w14:textId="4DCD78A7" w:rsidR="000D5598" w:rsidRPr="009C6380" w:rsidRDefault="000D5598" w:rsidP="000D5598">
      <w:pPr>
        <w:pStyle w:val="Heading3"/>
      </w:pPr>
      <w:r w:rsidRPr="009C6380">
        <w:lastRenderedPageBreak/>
        <w:t xml:space="preserve">Consideration of </w:t>
      </w:r>
      <w:r w:rsidR="002079B5" w:rsidRPr="009C6380">
        <w:t>t</w:t>
      </w:r>
      <w:r w:rsidRPr="009C6380">
        <w:t xml:space="preserve">ime-at-Risk in the context of </w:t>
      </w:r>
      <w:r w:rsidR="002079B5" w:rsidRPr="009C6380">
        <w:t>e</w:t>
      </w:r>
      <w:r w:rsidRPr="009C6380">
        <w:t>xternal</w:t>
      </w:r>
      <w:r w:rsidR="0079691E" w:rsidRPr="009C6380">
        <w:br/>
        <w:t xml:space="preserve">       </w:t>
      </w:r>
      <w:r w:rsidRPr="009C6380">
        <w:t xml:space="preserve"> </w:t>
      </w:r>
      <w:r w:rsidR="002079B5" w:rsidRPr="009C6380">
        <w:t>h</w:t>
      </w:r>
      <w:r w:rsidRPr="009C6380">
        <w:t>azards</w:t>
      </w:r>
    </w:p>
    <w:p w14:paraId="54A7A2D0" w14:textId="2D10B2E7" w:rsidR="00AD4E59" w:rsidRPr="00547634" w:rsidRDefault="00AD4E59" w:rsidP="000D6BF8">
      <w:pPr>
        <w:pStyle w:val="F9-Paragraph"/>
        <w:ind w:hanging="502"/>
      </w:pPr>
      <w:r w:rsidRPr="00E93E8B">
        <w:t>Before discussing</w:t>
      </w:r>
      <w:r w:rsidRPr="00547634">
        <w:t xml:space="preserve"> time-at-risk and </w:t>
      </w:r>
      <w:r w:rsidR="007269A8">
        <w:t>EHs</w:t>
      </w:r>
      <w:r w:rsidRPr="00547634">
        <w:t xml:space="preserve"> in detail, the key point to consider is that </w:t>
      </w:r>
      <w:r w:rsidR="007269A8">
        <w:t>EHs</w:t>
      </w:r>
      <w:r w:rsidRPr="00547634">
        <w:t xml:space="preserve"> are a form of applied load on the relevant SSCs and are set at return periods that </w:t>
      </w:r>
      <w:r w:rsidR="00DF43CC">
        <w:t>contribute to</w:t>
      </w:r>
      <w:r w:rsidR="00BF5621">
        <w:t xml:space="preserve"> </w:t>
      </w:r>
      <w:r w:rsidR="004C39B4">
        <w:t>achieving</w:t>
      </w:r>
      <w:r w:rsidR="00DF43CC">
        <w:t xml:space="preserve"> </w:t>
      </w:r>
      <w:r w:rsidR="00083E41">
        <w:t>a</w:t>
      </w:r>
      <w:r w:rsidR="00F46A18">
        <w:t>n adequate</w:t>
      </w:r>
      <w:r w:rsidR="00083E41">
        <w:t xml:space="preserve"> level of safety</w:t>
      </w:r>
      <w:r w:rsidRPr="00547634">
        <w:t xml:space="preserve">. </w:t>
      </w:r>
      <w:r w:rsidR="00127704">
        <w:t>I</w:t>
      </w:r>
      <w:r w:rsidRPr="00547634">
        <w:t xml:space="preserve">f the values for the </w:t>
      </w:r>
      <w:r w:rsidR="007269A8">
        <w:t>EHs</w:t>
      </w:r>
      <w:r w:rsidRPr="00547634">
        <w:t xml:space="preserve"> are linked to withstands of SSCs, then </w:t>
      </w:r>
      <w:r w:rsidR="005D6B6A" w:rsidRPr="00547634">
        <w:t xml:space="preserve">increases </w:t>
      </w:r>
      <w:r w:rsidRPr="00547634">
        <w:t>to those values will have the effect of reducing the withstand of the SSCs against the original design values. In such situations an ALARP justification will be required.</w:t>
      </w:r>
    </w:p>
    <w:p w14:paraId="3E1DFB20" w14:textId="68EA8FE1" w:rsidR="00AD4E59" w:rsidRPr="00547634" w:rsidRDefault="00AD4E59" w:rsidP="000D6BF8">
      <w:pPr>
        <w:pStyle w:val="F9-Paragraph"/>
        <w:ind w:hanging="502"/>
      </w:pPr>
      <w:r w:rsidRPr="00547634">
        <w:t xml:space="preserve">An argument sometimes </w:t>
      </w:r>
      <w:r w:rsidR="00AE61FB" w:rsidRPr="00547634">
        <w:t>put forward</w:t>
      </w:r>
      <w:r w:rsidRPr="00547634">
        <w:t xml:space="preserve">, is that a facility has only a short time before it is decommissioned and therefore it is appropriate to accept time-at-risk arguments. In the case of </w:t>
      </w:r>
      <w:r w:rsidR="005E2A40">
        <w:t>EHs</w:t>
      </w:r>
      <w:r w:rsidRPr="00547634">
        <w:t xml:space="preserve"> this is not straightforward. The first point to note is that although </w:t>
      </w:r>
      <w:r w:rsidR="005E2A40">
        <w:t>EHs</w:t>
      </w:r>
      <w:r w:rsidRPr="00547634">
        <w:t xml:space="preserve"> are derived in terms of </w:t>
      </w:r>
      <w:r w:rsidRPr="00E93E8B">
        <w:t>return periods</w:t>
      </w:r>
      <w:r w:rsidR="00855E87" w:rsidRPr="00E93E8B">
        <w:t>;</w:t>
      </w:r>
      <w:r w:rsidRPr="00E93E8B">
        <w:t xml:space="preserve"> when they are used for the design of the facilities they are used in terms of frequency per year. This means that the chance of the event occurring with the </w:t>
      </w:r>
      <w:r w:rsidRPr="009C6380">
        <w:t>DB</w:t>
      </w:r>
      <w:r w:rsidRPr="00E93E8B">
        <w:t xml:space="preserve"> value</w:t>
      </w:r>
      <w:r w:rsidRPr="00547634">
        <w:t xml:space="preserve"> has the same chance each year and is important when considering issues such as lifetime extensions.</w:t>
      </w:r>
    </w:p>
    <w:p w14:paraId="00FC0CDB" w14:textId="56F9E436" w:rsidR="00AD4E59" w:rsidRPr="00547634" w:rsidRDefault="00AD4E59" w:rsidP="000D6BF8">
      <w:pPr>
        <w:pStyle w:val="F9-Paragraph"/>
        <w:ind w:hanging="502"/>
      </w:pPr>
      <w:r w:rsidRPr="00547634">
        <w:t xml:space="preserve">A question that may arise is, what if the time-at-risk is less than a year, say 6 months. This again comes back to the original </w:t>
      </w:r>
      <w:r w:rsidRPr="00E93E8B">
        <w:t xml:space="preserve">definition of the </w:t>
      </w:r>
      <w:r w:rsidRPr="009C6380">
        <w:t>DB</w:t>
      </w:r>
      <w:r w:rsidRPr="00547634">
        <w:t xml:space="preserve"> values; it is to </w:t>
      </w:r>
      <w:r w:rsidR="00E260CB">
        <w:t xml:space="preserve">help </w:t>
      </w:r>
      <w:r w:rsidRPr="00547634">
        <w:t xml:space="preserve">ensure that the facility has the appropriate </w:t>
      </w:r>
      <w:r w:rsidR="00E260CB">
        <w:t>level of safety</w:t>
      </w:r>
      <w:r w:rsidRPr="00547634">
        <w:t xml:space="preserve">. As already stated, any intended reduction in the </w:t>
      </w:r>
      <w:r w:rsidR="00E260CB">
        <w:t xml:space="preserve">level of safety </w:t>
      </w:r>
      <w:r w:rsidRPr="00547634">
        <w:t>requires an ALARP justification. It is within that ALARP justification that the time-at-risk arguments should be set out.</w:t>
      </w:r>
    </w:p>
    <w:p w14:paraId="6CA77CD1" w14:textId="48968E73" w:rsidR="00A92D45" w:rsidRPr="00C3076D" w:rsidRDefault="000D5598" w:rsidP="000D6BF8">
      <w:pPr>
        <w:pStyle w:val="F9-Paragraph"/>
        <w:ind w:hanging="502"/>
      </w:pPr>
      <w:r w:rsidRPr="00547634">
        <w:t>Sometimes a time at risk (SAP paragraph 759 et seq</w:t>
      </w:r>
      <w:r w:rsidR="002A56F6" w:rsidRPr="00547634">
        <w:t>.</w:t>
      </w:r>
      <w:r w:rsidRPr="00547634">
        <w:t xml:space="preserve"> including </w:t>
      </w:r>
      <w:r w:rsidR="00A2661B">
        <w:t xml:space="preserve">SAP </w:t>
      </w:r>
      <w:r w:rsidRPr="00547634">
        <w:t>NT</w:t>
      </w:r>
      <w:r w:rsidR="00A2661B">
        <w:t>.</w:t>
      </w:r>
      <w:r w:rsidRPr="00547634">
        <w:t>2) argument is proposed to limit the scope of combined load cases</w:t>
      </w:r>
      <w:r w:rsidR="00985477" w:rsidRPr="00C3076D">
        <w:t>.</w:t>
      </w:r>
      <w:r w:rsidRPr="00547634">
        <w:t xml:space="preserve"> Care should be taken</w:t>
      </w:r>
      <w:r w:rsidR="000C7214">
        <w:t>,</w:t>
      </w:r>
      <w:r w:rsidRPr="00547634">
        <w:t xml:space="preserve"> for example</w:t>
      </w:r>
      <w:r w:rsidR="000C7214">
        <w:t>,</w:t>
      </w:r>
      <w:r w:rsidRPr="00547634">
        <w:t xml:space="preserve"> to ensure that short duration, but high risk operations are not automatically accepted on a time at risk basis, without a thorough investigation into the options for reducing the risk</w:t>
      </w:r>
      <w:r w:rsidR="00B73DD2" w:rsidRPr="00C3076D">
        <w:t xml:space="preserve">, see </w:t>
      </w:r>
      <w:sdt>
        <w:sdtPr>
          <w:id w:val="-1343239989"/>
          <w:citation/>
        </w:sdtPr>
        <w:sdtContent>
          <w:r w:rsidR="00B73DD2" w:rsidRPr="00C3076D">
            <w:fldChar w:fldCharType="begin"/>
          </w:r>
          <w:r w:rsidR="002A4EED">
            <w:instrText xml:space="preserve">CITATION ONRtm \l 2057 </w:instrText>
          </w:r>
          <w:r w:rsidR="00B73DD2" w:rsidRPr="00C3076D">
            <w:fldChar w:fldCharType="separate"/>
          </w:r>
          <w:r w:rsidR="002A4EED">
            <w:t>[2]</w:t>
          </w:r>
          <w:r w:rsidR="00B73DD2" w:rsidRPr="00C3076D">
            <w:fldChar w:fldCharType="end"/>
          </w:r>
        </w:sdtContent>
      </w:sdt>
      <w:r w:rsidR="006B4F8A" w:rsidRPr="00C3076D">
        <w:t xml:space="preserve"> for</w:t>
      </w:r>
      <w:r w:rsidRPr="00547634">
        <w:t xml:space="preserve"> further guidance.</w:t>
      </w:r>
    </w:p>
    <w:p w14:paraId="706C5DD3" w14:textId="52D99BD2" w:rsidR="00A92D45" w:rsidRDefault="00837640" w:rsidP="00547634">
      <w:pPr>
        <w:pStyle w:val="Heading2"/>
        <w:spacing w:after="120"/>
      </w:pPr>
      <w:bookmarkStart w:id="661" w:name="_Toc140137248"/>
      <w:bookmarkStart w:id="662" w:name="_Toc473126347"/>
      <w:bookmarkStart w:id="663" w:name="_Toc473127967"/>
      <w:bookmarkStart w:id="664" w:name="_Ref473992973"/>
      <w:bookmarkStart w:id="665" w:name="_Ref473998035"/>
      <w:bookmarkStart w:id="666" w:name="_Ref475373107"/>
      <w:r>
        <w:t>Application</w:t>
      </w:r>
      <w:r w:rsidR="00A92D45" w:rsidRPr="00130134">
        <w:t xml:space="preserve"> of External Hazards</w:t>
      </w:r>
      <w:r>
        <w:t xml:space="preserve"> to Facilities</w:t>
      </w:r>
      <w:bookmarkEnd w:id="661"/>
    </w:p>
    <w:p w14:paraId="32BCAC9B" w14:textId="5C8931CC" w:rsidR="00126785" w:rsidRPr="00C37EB4" w:rsidRDefault="00ED76A8" w:rsidP="000D6BF8">
      <w:pPr>
        <w:pStyle w:val="F9-Paragraph"/>
        <w:ind w:hanging="502"/>
      </w:pPr>
      <w:r w:rsidRPr="00C37EB4">
        <w:t>For all facilities</w:t>
      </w:r>
      <w:r w:rsidR="00C079B7" w:rsidRPr="00C37EB4">
        <w:t>,</w:t>
      </w:r>
      <w:r w:rsidR="00865A63" w:rsidRPr="00C37EB4">
        <w:t xml:space="preserve"> the </w:t>
      </w:r>
      <w:r w:rsidR="008752D7">
        <w:t>l</w:t>
      </w:r>
      <w:r w:rsidR="00865A63" w:rsidRPr="00C37EB4">
        <w:t>icensee</w:t>
      </w:r>
      <w:r w:rsidR="007F7C7E">
        <w:t xml:space="preserve"> or</w:t>
      </w:r>
      <w:r w:rsidR="00B300EC">
        <w:t>,</w:t>
      </w:r>
      <w:r w:rsidR="007F7C7E">
        <w:t xml:space="preserve"> in the case of Generic Design Assessment (GDA)</w:t>
      </w:r>
      <w:r w:rsidR="00B300EC">
        <w:t>,</w:t>
      </w:r>
      <w:r w:rsidR="007F7C7E">
        <w:t xml:space="preserve"> the</w:t>
      </w:r>
      <w:r w:rsidR="00B300EC">
        <w:t xml:space="preserve"> </w:t>
      </w:r>
      <w:r w:rsidR="00865A63" w:rsidRPr="00C37EB4">
        <w:t>RP</w:t>
      </w:r>
      <w:r w:rsidR="00AA2210" w:rsidRPr="00C37EB4">
        <w:t xml:space="preserve"> should </w:t>
      </w:r>
      <w:r w:rsidR="00C079B7" w:rsidRPr="00C37EB4">
        <w:t>provide</w:t>
      </w:r>
      <w:r w:rsidR="00691824" w:rsidRPr="00C37EB4">
        <w:t xml:space="preserve"> a strategy for </w:t>
      </w:r>
      <w:r w:rsidR="005910D2" w:rsidRPr="00C37EB4">
        <w:t xml:space="preserve">the </w:t>
      </w:r>
      <w:r w:rsidR="00691824" w:rsidRPr="00C37EB4">
        <w:t>produc</w:t>
      </w:r>
      <w:r w:rsidR="005910D2" w:rsidRPr="00C37EB4">
        <w:t xml:space="preserve">tion of </w:t>
      </w:r>
      <w:r w:rsidR="00691824" w:rsidRPr="00C37EB4">
        <w:t xml:space="preserve">adequate </w:t>
      </w:r>
      <w:r w:rsidR="00187FC7" w:rsidRPr="00C37EB4">
        <w:t>EH</w:t>
      </w:r>
      <w:r w:rsidR="00691824" w:rsidRPr="00C37EB4">
        <w:t xml:space="preserve"> safety submissions.</w:t>
      </w:r>
    </w:p>
    <w:p w14:paraId="08586A42" w14:textId="77777777" w:rsidR="00A92D45" w:rsidRPr="00B97E96" w:rsidRDefault="00A92D45" w:rsidP="00A92D45">
      <w:pPr>
        <w:pStyle w:val="ListParagraph"/>
        <w:numPr>
          <w:ilvl w:val="0"/>
          <w:numId w:val="41"/>
        </w:numPr>
        <w:spacing w:after="220" w:line="240" w:lineRule="auto"/>
        <w:contextualSpacing w:val="0"/>
        <w:outlineLvl w:val="0"/>
        <w:rPr>
          <w:rFonts w:ascii="Arial Bold" w:eastAsia="Times New Roman" w:hAnsi="Arial Bold" w:cs="Times New Roman"/>
          <w:b/>
          <w:caps/>
          <w:vanish/>
          <w:szCs w:val="24"/>
        </w:rPr>
      </w:pPr>
      <w:bookmarkStart w:id="667" w:name="_Toc133246132"/>
      <w:bookmarkStart w:id="668" w:name="_Toc138924386"/>
      <w:bookmarkStart w:id="669" w:name="_Toc138924569"/>
      <w:bookmarkStart w:id="670" w:name="_Toc138924725"/>
      <w:bookmarkStart w:id="671" w:name="_Toc138924815"/>
      <w:bookmarkStart w:id="672" w:name="_Toc138924955"/>
      <w:bookmarkStart w:id="673" w:name="_Toc138925044"/>
      <w:bookmarkStart w:id="674" w:name="_Toc138925133"/>
      <w:bookmarkStart w:id="675" w:name="_Toc138925561"/>
      <w:bookmarkStart w:id="676" w:name="_Toc138931842"/>
      <w:bookmarkStart w:id="677" w:name="_Toc138943900"/>
      <w:bookmarkStart w:id="678" w:name="_Toc140137249"/>
      <w:bookmarkEnd w:id="667"/>
      <w:bookmarkEnd w:id="668"/>
      <w:bookmarkEnd w:id="669"/>
      <w:bookmarkEnd w:id="670"/>
      <w:bookmarkEnd w:id="671"/>
      <w:bookmarkEnd w:id="672"/>
      <w:bookmarkEnd w:id="673"/>
      <w:bookmarkEnd w:id="674"/>
      <w:bookmarkEnd w:id="675"/>
      <w:bookmarkEnd w:id="676"/>
      <w:bookmarkEnd w:id="677"/>
      <w:bookmarkEnd w:id="678"/>
    </w:p>
    <w:p w14:paraId="42F10A2B" w14:textId="77777777" w:rsidR="00A92D45" w:rsidRPr="00B97E96" w:rsidRDefault="00A92D45" w:rsidP="00A92D45">
      <w:pPr>
        <w:pStyle w:val="ListParagraph"/>
        <w:numPr>
          <w:ilvl w:val="0"/>
          <w:numId w:val="41"/>
        </w:numPr>
        <w:spacing w:after="220" w:line="240" w:lineRule="auto"/>
        <w:contextualSpacing w:val="0"/>
        <w:outlineLvl w:val="0"/>
        <w:rPr>
          <w:rFonts w:ascii="Arial Bold" w:eastAsia="Times New Roman" w:hAnsi="Arial Bold" w:cs="Times New Roman"/>
          <w:b/>
          <w:caps/>
          <w:vanish/>
          <w:szCs w:val="24"/>
        </w:rPr>
      </w:pPr>
      <w:bookmarkStart w:id="679" w:name="_Toc133246133"/>
      <w:bookmarkStart w:id="680" w:name="_Toc138924387"/>
      <w:bookmarkStart w:id="681" w:name="_Toc138924570"/>
      <w:bookmarkStart w:id="682" w:name="_Toc138924726"/>
      <w:bookmarkStart w:id="683" w:name="_Toc138924816"/>
      <w:bookmarkStart w:id="684" w:name="_Toc138924956"/>
      <w:bookmarkStart w:id="685" w:name="_Toc138925045"/>
      <w:bookmarkStart w:id="686" w:name="_Toc138925134"/>
      <w:bookmarkStart w:id="687" w:name="_Toc138925562"/>
      <w:bookmarkStart w:id="688" w:name="_Toc138931843"/>
      <w:bookmarkStart w:id="689" w:name="_Toc138943901"/>
      <w:bookmarkStart w:id="690" w:name="_Toc140137250"/>
      <w:bookmarkEnd w:id="679"/>
      <w:bookmarkEnd w:id="680"/>
      <w:bookmarkEnd w:id="681"/>
      <w:bookmarkEnd w:id="682"/>
      <w:bookmarkEnd w:id="683"/>
      <w:bookmarkEnd w:id="684"/>
      <w:bookmarkEnd w:id="685"/>
      <w:bookmarkEnd w:id="686"/>
      <w:bookmarkEnd w:id="687"/>
      <w:bookmarkEnd w:id="688"/>
      <w:bookmarkEnd w:id="689"/>
      <w:bookmarkEnd w:id="690"/>
    </w:p>
    <w:p w14:paraId="341FE332" w14:textId="77777777" w:rsidR="00A92D45" w:rsidRPr="00B97E96" w:rsidRDefault="00A92D45" w:rsidP="00A92D45">
      <w:pPr>
        <w:pStyle w:val="ListParagraph"/>
        <w:numPr>
          <w:ilvl w:val="0"/>
          <w:numId w:val="41"/>
        </w:numPr>
        <w:spacing w:after="220" w:line="240" w:lineRule="auto"/>
        <w:contextualSpacing w:val="0"/>
        <w:outlineLvl w:val="0"/>
        <w:rPr>
          <w:rFonts w:ascii="Arial Bold" w:eastAsia="Times New Roman" w:hAnsi="Arial Bold" w:cs="Times New Roman"/>
          <w:b/>
          <w:caps/>
          <w:vanish/>
          <w:szCs w:val="24"/>
        </w:rPr>
      </w:pPr>
      <w:bookmarkStart w:id="691" w:name="_Toc133246134"/>
      <w:bookmarkStart w:id="692" w:name="_Toc138924388"/>
      <w:bookmarkStart w:id="693" w:name="_Toc138924571"/>
      <w:bookmarkStart w:id="694" w:name="_Toc138924727"/>
      <w:bookmarkStart w:id="695" w:name="_Toc138924817"/>
      <w:bookmarkStart w:id="696" w:name="_Toc138924957"/>
      <w:bookmarkStart w:id="697" w:name="_Toc138925046"/>
      <w:bookmarkStart w:id="698" w:name="_Toc138925135"/>
      <w:bookmarkStart w:id="699" w:name="_Toc138925563"/>
      <w:bookmarkStart w:id="700" w:name="_Toc138931844"/>
      <w:bookmarkStart w:id="701" w:name="_Toc138943902"/>
      <w:bookmarkStart w:id="702" w:name="_Toc140137251"/>
      <w:bookmarkEnd w:id="691"/>
      <w:bookmarkEnd w:id="692"/>
      <w:bookmarkEnd w:id="693"/>
      <w:bookmarkEnd w:id="694"/>
      <w:bookmarkEnd w:id="695"/>
      <w:bookmarkEnd w:id="696"/>
      <w:bookmarkEnd w:id="697"/>
      <w:bookmarkEnd w:id="698"/>
      <w:bookmarkEnd w:id="699"/>
      <w:bookmarkEnd w:id="700"/>
      <w:bookmarkEnd w:id="701"/>
      <w:bookmarkEnd w:id="702"/>
    </w:p>
    <w:p w14:paraId="465BCB42" w14:textId="77777777" w:rsidR="00A92D45" w:rsidRPr="00B97E96" w:rsidRDefault="00A92D45" w:rsidP="00A92D45">
      <w:pPr>
        <w:pStyle w:val="ListParagraph"/>
        <w:numPr>
          <w:ilvl w:val="0"/>
          <w:numId w:val="41"/>
        </w:numPr>
        <w:spacing w:after="220" w:line="240" w:lineRule="auto"/>
        <w:contextualSpacing w:val="0"/>
        <w:outlineLvl w:val="0"/>
        <w:rPr>
          <w:rFonts w:ascii="Arial Bold" w:eastAsia="Times New Roman" w:hAnsi="Arial Bold" w:cs="Times New Roman"/>
          <w:b/>
          <w:caps/>
          <w:vanish/>
          <w:szCs w:val="24"/>
        </w:rPr>
      </w:pPr>
      <w:bookmarkStart w:id="703" w:name="_Toc133246135"/>
      <w:bookmarkStart w:id="704" w:name="_Toc138924389"/>
      <w:bookmarkStart w:id="705" w:name="_Toc138924572"/>
      <w:bookmarkStart w:id="706" w:name="_Toc138924728"/>
      <w:bookmarkStart w:id="707" w:name="_Toc138924818"/>
      <w:bookmarkStart w:id="708" w:name="_Toc138924958"/>
      <w:bookmarkStart w:id="709" w:name="_Toc138925047"/>
      <w:bookmarkStart w:id="710" w:name="_Toc138925136"/>
      <w:bookmarkStart w:id="711" w:name="_Toc138925564"/>
      <w:bookmarkStart w:id="712" w:name="_Toc138931845"/>
      <w:bookmarkStart w:id="713" w:name="_Toc138943903"/>
      <w:bookmarkStart w:id="714" w:name="_Toc140137252"/>
      <w:bookmarkEnd w:id="703"/>
      <w:bookmarkEnd w:id="704"/>
      <w:bookmarkEnd w:id="705"/>
      <w:bookmarkEnd w:id="706"/>
      <w:bookmarkEnd w:id="707"/>
      <w:bookmarkEnd w:id="708"/>
      <w:bookmarkEnd w:id="709"/>
      <w:bookmarkEnd w:id="710"/>
      <w:bookmarkEnd w:id="711"/>
      <w:bookmarkEnd w:id="712"/>
      <w:bookmarkEnd w:id="713"/>
      <w:bookmarkEnd w:id="714"/>
    </w:p>
    <w:p w14:paraId="4A917180" w14:textId="77777777" w:rsidR="00A92D45" w:rsidRPr="00B97E96" w:rsidRDefault="00A92D45" w:rsidP="00A92D45">
      <w:pPr>
        <w:pStyle w:val="ListParagraph"/>
        <w:numPr>
          <w:ilvl w:val="1"/>
          <w:numId w:val="41"/>
        </w:numPr>
        <w:spacing w:after="220" w:line="240" w:lineRule="auto"/>
        <w:contextualSpacing w:val="0"/>
        <w:outlineLvl w:val="0"/>
        <w:rPr>
          <w:rFonts w:ascii="Arial Bold" w:eastAsia="Times New Roman" w:hAnsi="Arial Bold" w:cs="Times New Roman"/>
          <w:b/>
          <w:vanish/>
          <w:szCs w:val="24"/>
        </w:rPr>
      </w:pPr>
      <w:bookmarkStart w:id="715" w:name="_Toc133246136"/>
      <w:bookmarkStart w:id="716" w:name="_Toc138924390"/>
      <w:bookmarkStart w:id="717" w:name="_Toc138924573"/>
      <w:bookmarkStart w:id="718" w:name="_Toc138924729"/>
      <w:bookmarkStart w:id="719" w:name="_Toc138924819"/>
      <w:bookmarkStart w:id="720" w:name="_Toc138924959"/>
      <w:bookmarkStart w:id="721" w:name="_Toc138925048"/>
      <w:bookmarkStart w:id="722" w:name="_Toc138925137"/>
      <w:bookmarkStart w:id="723" w:name="_Toc138925565"/>
      <w:bookmarkStart w:id="724" w:name="_Toc138931846"/>
      <w:bookmarkStart w:id="725" w:name="_Toc138943904"/>
      <w:bookmarkStart w:id="726" w:name="_Toc140137253"/>
      <w:bookmarkEnd w:id="715"/>
      <w:bookmarkEnd w:id="716"/>
      <w:bookmarkEnd w:id="717"/>
      <w:bookmarkEnd w:id="718"/>
      <w:bookmarkEnd w:id="719"/>
      <w:bookmarkEnd w:id="720"/>
      <w:bookmarkEnd w:id="721"/>
      <w:bookmarkEnd w:id="722"/>
      <w:bookmarkEnd w:id="723"/>
      <w:bookmarkEnd w:id="724"/>
      <w:bookmarkEnd w:id="725"/>
      <w:bookmarkEnd w:id="726"/>
    </w:p>
    <w:p w14:paraId="48BC2320" w14:textId="77777777" w:rsidR="00A92D45" w:rsidRPr="00B97E96" w:rsidRDefault="00A92D45" w:rsidP="00A92D45">
      <w:pPr>
        <w:pStyle w:val="ListParagraph"/>
        <w:numPr>
          <w:ilvl w:val="1"/>
          <w:numId w:val="41"/>
        </w:numPr>
        <w:spacing w:after="220" w:line="240" w:lineRule="auto"/>
        <w:contextualSpacing w:val="0"/>
        <w:outlineLvl w:val="0"/>
        <w:rPr>
          <w:rFonts w:ascii="Arial Bold" w:eastAsia="Times New Roman" w:hAnsi="Arial Bold" w:cs="Times New Roman"/>
          <w:b/>
          <w:vanish/>
          <w:szCs w:val="24"/>
        </w:rPr>
      </w:pPr>
      <w:bookmarkStart w:id="727" w:name="_Toc133246137"/>
      <w:bookmarkStart w:id="728" w:name="_Toc138924391"/>
      <w:bookmarkStart w:id="729" w:name="_Toc138924574"/>
      <w:bookmarkStart w:id="730" w:name="_Toc138924730"/>
      <w:bookmarkStart w:id="731" w:name="_Toc138924820"/>
      <w:bookmarkStart w:id="732" w:name="_Toc138924960"/>
      <w:bookmarkStart w:id="733" w:name="_Toc138925049"/>
      <w:bookmarkStart w:id="734" w:name="_Toc138925138"/>
      <w:bookmarkStart w:id="735" w:name="_Toc138925566"/>
      <w:bookmarkStart w:id="736" w:name="_Toc138931847"/>
      <w:bookmarkStart w:id="737" w:name="_Toc138943905"/>
      <w:bookmarkStart w:id="738" w:name="_Toc140137254"/>
      <w:bookmarkEnd w:id="727"/>
      <w:bookmarkEnd w:id="728"/>
      <w:bookmarkEnd w:id="729"/>
      <w:bookmarkEnd w:id="730"/>
      <w:bookmarkEnd w:id="731"/>
      <w:bookmarkEnd w:id="732"/>
      <w:bookmarkEnd w:id="733"/>
      <w:bookmarkEnd w:id="734"/>
      <w:bookmarkEnd w:id="735"/>
      <w:bookmarkEnd w:id="736"/>
      <w:bookmarkEnd w:id="737"/>
      <w:bookmarkEnd w:id="738"/>
    </w:p>
    <w:p w14:paraId="749C647A" w14:textId="77777777" w:rsidR="00A92D45" w:rsidRPr="00B97E96" w:rsidRDefault="00A92D45" w:rsidP="00A92D45">
      <w:pPr>
        <w:pStyle w:val="ListParagraph"/>
        <w:numPr>
          <w:ilvl w:val="1"/>
          <w:numId w:val="41"/>
        </w:numPr>
        <w:spacing w:after="220" w:line="240" w:lineRule="auto"/>
        <w:contextualSpacing w:val="0"/>
        <w:outlineLvl w:val="0"/>
        <w:rPr>
          <w:rFonts w:ascii="Arial Bold" w:eastAsia="Times New Roman" w:hAnsi="Arial Bold" w:cs="Times New Roman"/>
          <w:b/>
          <w:vanish/>
          <w:szCs w:val="24"/>
        </w:rPr>
      </w:pPr>
      <w:bookmarkStart w:id="739" w:name="_Toc133246138"/>
      <w:bookmarkStart w:id="740" w:name="_Toc138924392"/>
      <w:bookmarkStart w:id="741" w:name="_Toc138924575"/>
      <w:bookmarkStart w:id="742" w:name="_Toc138924731"/>
      <w:bookmarkStart w:id="743" w:name="_Toc138924821"/>
      <w:bookmarkStart w:id="744" w:name="_Toc138924961"/>
      <w:bookmarkStart w:id="745" w:name="_Toc138925050"/>
      <w:bookmarkStart w:id="746" w:name="_Toc138925139"/>
      <w:bookmarkStart w:id="747" w:name="_Toc138925567"/>
      <w:bookmarkStart w:id="748" w:name="_Toc138931848"/>
      <w:bookmarkStart w:id="749" w:name="_Toc138943906"/>
      <w:bookmarkStart w:id="750" w:name="_Toc140137255"/>
      <w:bookmarkEnd w:id="739"/>
      <w:bookmarkEnd w:id="740"/>
      <w:bookmarkEnd w:id="741"/>
      <w:bookmarkEnd w:id="742"/>
      <w:bookmarkEnd w:id="743"/>
      <w:bookmarkEnd w:id="744"/>
      <w:bookmarkEnd w:id="745"/>
      <w:bookmarkEnd w:id="746"/>
      <w:bookmarkEnd w:id="747"/>
      <w:bookmarkEnd w:id="748"/>
      <w:bookmarkEnd w:id="749"/>
      <w:bookmarkEnd w:id="750"/>
    </w:p>
    <w:p w14:paraId="2EC7A511" w14:textId="77777777" w:rsidR="00A92D45" w:rsidRPr="00B97E96" w:rsidRDefault="00A92D45" w:rsidP="00A92D45">
      <w:pPr>
        <w:pStyle w:val="ListParagraph"/>
        <w:numPr>
          <w:ilvl w:val="1"/>
          <w:numId w:val="41"/>
        </w:numPr>
        <w:spacing w:after="220" w:line="240" w:lineRule="auto"/>
        <w:contextualSpacing w:val="0"/>
        <w:outlineLvl w:val="0"/>
        <w:rPr>
          <w:rFonts w:ascii="Arial Bold" w:eastAsia="Times New Roman" w:hAnsi="Arial Bold" w:cs="Times New Roman"/>
          <w:b/>
          <w:vanish/>
          <w:szCs w:val="24"/>
        </w:rPr>
      </w:pPr>
      <w:bookmarkStart w:id="751" w:name="_Toc133246139"/>
      <w:bookmarkStart w:id="752" w:name="_Toc138924393"/>
      <w:bookmarkStart w:id="753" w:name="_Toc138924576"/>
      <w:bookmarkStart w:id="754" w:name="_Toc138924732"/>
      <w:bookmarkStart w:id="755" w:name="_Toc138924822"/>
      <w:bookmarkStart w:id="756" w:name="_Toc138924962"/>
      <w:bookmarkStart w:id="757" w:name="_Toc138925051"/>
      <w:bookmarkStart w:id="758" w:name="_Toc138925140"/>
      <w:bookmarkStart w:id="759" w:name="_Toc138925568"/>
      <w:bookmarkStart w:id="760" w:name="_Toc138931849"/>
      <w:bookmarkStart w:id="761" w:name="_Toc138943907"/>
      <w:bookmarkStart w:id="762" w:name="_Toc140137256"/>
      <w:bookmarkEnd w:id="751"/>
      <w:bookmarkEnd w:id="752"/>
      <w:bookmarkEnd w:id="753"/>
      <w:bookmarkEnd w:id="754"/>
      <w:bookmarkEnd w:id="755"/>
      <w:bookmarkEnd w:id="756"/>
      <w:bookmarkEnd w:id="757"/>
      <w:bookmarkEnd w:id="758"/>
      <w:bookmarkEnd w:id="759"/>
      <w:bookmarkEnd w:id="760"/>
      <w:bookmarkEnd w:id="761"/>
      <w:bookmarkEnd w:id="762"/>
    </w:p>
    <w:p w14:paraId="3C1443AF" w14:textId="77777777" w:rsidR="00A92D45" w:rsidRPr="00B97E96" w:rsidRDefault="00A92D45" w:rsidP="00A92D45">
      <w:pPr>
        <w:pStyle w:val="ListParagraph"/>
        <w:numPr>
          <w:ilvl w:val="1"/>
          <w:numId w:val="41"/>
        </w:numPr>
        <w:spacing w:after="220" w:line="240" w:lineRule="auto"/>
        <w:contextualSpacing w:val="0"/>
        <w:outlineLvl w:val="0"/>
        <w:rPr>
          <w:rFonts w:ascii="Arial Bold" w:eastAsia="Times New Roman" w:hAnsi="Arial Bold" w:cs="Times New Roman"/>
          <w:b/>
          <w:vanish/>
          <w:szCs w:val="24"/>
        </w:rPr>
      </w:pPr>
      <w:bookmarkStart w:id="763" w:name="_Toc133246140"/>
      <w:bookmarkStart w:id="764" w:name="_Toc138924394"/>
      <w:bookmarkStart w:id="765" w:name="_Toc138924577"/>
      <w:bookmarkStart w:id="766" w:name="_Toc138924733"/>
      <w:bookmarkStart w:id="767" w:name="_Toc138924823"/>
      <w:bookmarkStart w:id="768" w:name="_Toc138924963"/>
      <w:bookmarkStart w:id="769" w:name="_Toc138925052"/>
      <w:bookmarkStart w:id="770" w:name="_Toc138925141"/>
      <w:bookmarkStart w:id="771" w:name="_Toc138925569"/>
      <w:bookmarkStart w:id="772" w:name="_Toc138931850"/>
      <w:bookmarkStart w:id="773" w:name="_Toc138943908"/>
      <w:bookmarkStart w:id="774" w:name="_Toc140137257"/>
      <w:bookmarkEnd w:id="763"/>
      <w:bookmarkEnd w:id="764"/>
      <w:bookmarkEnd w:id="765"/>
      <w:bookmarkEnd w:id="766"/>
      <w:bookmarkEnd w:id="767"/>
      <w:bookmarkEnd w:id="768"/>
      <w:bookmarkEnd w:id="769"/>
      <w:bookmarkEnd w:id="770"/>
      <w:bookmarkEnd w:id="771"/>
      <w:bookmarkEnd w:id="772"/>
      <w:bookmarkEnd w:id="773"/>
      <w:bookmarkEnd w:id="774"/>
    </w:p>
    <w:p w14:paraId="7075677D" w14:textId="77777777" w:rsidR="00A92D45" w:rsidRPr="00B97E96" w:rsidRDefault="00A92D45" w:rsidP="00A92D45">
      <w:pPr>
        <w:pStyle w:val="ListParagraph"/>
        <w:numPr>
          <w:ilvl w:val="2"/>
          <w:numId w:val="41"/>
        </w:numPr>
        <w:spacing w:after="220" w:line="240" w:lineRule="auto"/>
        <w:contextualSpacing w:val="0"/>
        <w:outlineLvl w:val="0"/>
        <w:rPr>
          <w:rFonts w:ascii="Arial Bold" w:eastAsia="Times New Roman" w:hAnsi="Arial Bold" w:cs="Times New Roman"/>
          <w:b/>
          <w:vanish/>
          <w:szCs w:val="24"/>
        </w:rPr>
      </w:pPr>
      <w:bookmarkStart w:id="775" w:name="_Toc133246141"/>
      <w:bookmarkStart w:id="776" w:name="_Toc138924395"/>
      <w:bookmarkStart w:id="777" w:name="_Toc138924578"/>
      <w:bookmarkStart w:id="778" w:name="_Toc138924734"/>
      <w:bookmarkStart w:id="779" w:name="_Toc138924824"/>
      <w:bookmarkStart w:id="780" w:name="_Toc138924964"/>
      <w:bookmarkStart w:id="781" w:name="_Toc138925053"/>
      <w:bookmarkStart w:id="782" w:name="_Toc138925142"/>
      <w:bookmarkStart w:id="783" w:name="_Toc138925570"/>
      <w:bookmarkStart w:id="784" w:name="_Toc138931851"/>
      <w:bookmarkStart w:id="785" w:name="_Toc138943909"/>
      <w:bookmarkStart w:id="786" w:name="_Toc140137258"/>
      <w:bookmarkEnd w:id="775"/>
      <w:bookmarkEnd w:id="776"/>
      <w:bookmarkEnd w:id="777"/>
      <w:bookmarkEnd w:id="778"/>
      <w:bookmarkEnd w:id="779"/>
      <w:bookmarkEnd w:id="780"/>
      <w:bookmarkEnd w:id="781"/>
      <w:bookmarkEnd w:id="782"/>
      <w:bookmarkEnd w:id="783"/>
      <w:bookmarkEnd w:id="784"/>
      <w:bookmarkEnd w:id="785"/>
      <w:bookmarkEnd w:id="786"/>
    </w:p>
    <w:p w14:paraId="63101B39" w14:textId="77777777" w:rsidR="00A92D45" w:rsidRPr="00B97E96" w:rsidRDefault="00A92D45" w:rsidP="00A92D45">
      <w:pPr>
        <w:pStyle w:val="ListParagraph"/>
        <w:numPr>
          <w:ilvl w:val="2"/>
          <w:numId w:val="41"/>
        </w:numPr>
        <w:spacing w:after="220" w:line="240" w:lineRule="auto"/>
        <w:contextualSpacing w:val="0"/>
        <w:outlineLvl w:val="0"/>
        <w:rPr>
          <w:rFonts w:ascii="Arial Bold" w:eastAsia="Times New Roman" w:hAnsi="Arial Bold" w:cs="Times New Roman"/>
          <w:b/>
          <w:vanish/>
          <w:szCs w:val="24"/>
        </w:rPr>
      </w:pPr>
      <w:bookmarkStart w:id="787" w:name="_Toc133246142"/>
      <w:bookmarkStart w:id="788" w:name="_Toc138924396"/>
      <w:bookmarkStart w:id="789" w:name="_Toc138924579"/>
      <w:bookmarkStart w:id="790" w:name="_Toc138924735"/>
      <w:bookmarkStart w:id="791" w:name="_Toc138924825"/>
      <w:bookmarkStart w:id="792" w:name="_Toc138924965"/>
      <w:bookmarkStart w:id="793" w:name="_Toc138925054"/>
      <w:bookmarkStart w:id="794" w:name="_Toc138925143"/>
      <w:bookmarkStart w:id="795" w:name="_Toc138925571"/>
      <w:bookmarkStart w:id="796" w:name="_Toc138931852"/>
      <w:bookmarkStart w:id="797" w:name="_Toc138943910"/>
      <w:bookmarkStart w:id="798" w:name="_Toc140137259"/>
      <w:bookmarkEnd w:id="787"/>
      <w:bookmarkEnd w:id="788"/>
      <w:bookmarkEnd w:id="789"/>
      <w:bookmarkEnd w:id="790"/>
      <w:bookmarkEnd w:id="791"/>
      <w:bookmarkEnd w:id="792"/>
      <w:bookmarkEnd w:id="793"/>
      <w:bookmarkEnd w:id="794"/>
      <w:bookmarkEnd w:id="795"/>
      <w:bookmarkEnd w:id="796"/>
      <w:bookmarkEnd w:id="797"/>
      <w:bookmarkEnd w:id="798"/>
    </w:p>
    <w:p w14:paraId="7BF13A70" w14:textId="77777777" w:rsidR="00A92D45" w:rsidRPr="00B97E96" w:rsidRDefault="00A92D45" w:rsidP="00A92D45">
      <w:pPr>
        <w:pStyle w:val="ListParagraph"/>
        <w:numPr>
          <w:ilvl w:val="2"/>
          <w:numId w:val="41"/>
        </w:numPr>
        <w:spacing w:after="220" w:line="240" w:lineRule="auto"/>
        <w:contextualSpacing w:val="0"/>
        <w:outlineLvl w:val="0"/>
        <w:rPr>
          <w:rFonts w:ascii="Arial Bold" w:eastAsia="Times New Roman" w:hAnsi="Arial Bold" w:cs="Times New Roman"/>
          <w:b/>
          <w:vanish/>
          <w:szCs w:val="24"/>
        </w:rPr>
      </w:pPr>
      <w:bookmarkStart w:id="799" w:name="_Toc133246143"/>
      <w:bookmarkStart w:id="800" w:name="_Toc138924397"/>
      <w:bookmarkStart w:id="801" w:name="_Toc138924580"/>
      <w:bookmarkStart w:id="802" w:name="_Toc138924736"/>
      <w:bookmarkStart w:id="803" w:name="_Toc138924826"/>
      <w:bookmarkStart w:id="804" w:name="_Toc138924966"/>
      <w:bookmarkStart w:id="805" w:name="_Toc138925055"/>
      <w:bookmarkStart w:id="806" w:name="_Toc138925144"/>
      <w:bookmarkStart w:id="807" w:name="_Toc138925572"/>
      <w:bookmarkStart w:id="808" w:name="_Toc138931853"/>
      <w:bookmarkStart w:id="809" w:name="_Toc138943911"/>
      <w:bookmarkStart w:id="810" w:name="_Toc140137260"/>
      <w:bookmarkEnd w:id="799"/>
      <w:bookmarkEnd w:id="800"/>
      <w:bookmarkEnd w:id="801"/>
      <w:bookmarkEnd w:id="802"/>
      <w:bookmarkEnd w:id="803"/>
      <w:bookmarkEnd w:id="804"/>
      <w:bookmarkEnd w:id="805"/>
      <w:bookmarkEnd w:id="806"/>
      <w:bookmarkEnd w:id="807"/>
      <w:bookmarkEnd w:id="808"/>
      <w:bookmarkEnd w:id="809"/>
      <w:bookmarkEnd w:id="810"/>
    </w:p>
    <w:p w14:paraId="705BC7A1" w14:textId="77777777" w:rsidR="00A92D45" w:rsidRPr="00B97E96" w:rsidRDefault="00A92D45" w:rsidP="00A92D45">
      <w:pPr>
        <w:pStyle w:val="ListParagraph"/>
        <w:numPr>
          <w:ilvl w:val="2"/>
          <w:numId w:val="41"/>
        </w:numPr>
        <w:spacing w:after="220" w:line="240" w:lineRule="auto"/>
        <w:contextualSpacing w:val="0"/>
        <w:outlineLvl w:val="0"/>
        <w:rPr>
          <w:rFonts w:ascii="Arial Bold" w:eastAsia="Times New Roman" w:hAnsi="Arial Bold" w:cs="Times New Roman"/>
          <w:b/>
          <w:vanish/>
          <w:szCs w:val="24"/>
        </w:rPr>
      </w:pPr>
      <w:bookmarkStart w:id="811" w:name="_Toc133246144"/>
      <w:bookmarkStart w:id="812" w:name="_Toc138924398"/>
      <w:bookmarkStart w:id="813" w:name="_Toc138924581"/>
      <w:bookmarkStart w:id="814" w:name="_Toc138924737"/>
      <w:bookmarkStart w:id="815" w:name="_Toc138924827"/>
      <w:bookmarkStart w:id="816" w:name="_Toc138924967"/>
      <w:bookmarkStart w:id="817" w:name="_Toc138925056"/>
      <w:bookmarkStart w:id="818" w:name="_Toc138925145"/>
      <w:bookmarkStart w:id="819" w:name="_Toc138925573"/>
      <w:bookmarkStart w:id="820" w:name="_Toc138931854"/>
      <w:bookmarkStart w:id="821" w:name="_Toc138943912"/>
      <w:bookmarkStart w:id="822" w:name="_Toc140137261"/>
      <w:bookmarkEnd w:id="811"/>
      <w:bookmarkEnd w:id="812"/>
      <w:bookmarkEnd w:id="813"/>
      <w:bookmarkEnd w:id="814"/>
      <w:bookmarkEnd w:id="815"/>
      <w:bookmarkEnd w:id="816"/>
      <w:bookmarkEnd w:id="817"/>
      <w:bookmarkEnd w:id="818"/>
      <w:bookmarkEnd w:id="819"/>
      <w:bookmarkEnd w:id="820"/>
      <w:bookmarkEnd w:id="821"/>
      <w:bookmarkEnd w:id="822"/>
    </w:p>
    <w:p w14:paraId="0C066FE4" w14:textId="77777777" w:rsidR="00A92D45" w:rsidRPr="00B97E96" w:rsidRDefault="00A92D45" w:rsidP="00A92D45">
      <w:pPr>
        <w:pStyle w:val="ListParagraph"/>
        <w:numPr>
          <w:ilvl w:val="2"/>
          <w:numId w:val="41"/>
        </w:numPr>
        <w:spacing w:after="220" w:line="240" w:lineRule="auto"/>
        <w:contextualSpacing w:val="0"/>
        <w:outlineLvl w:val="0"/>
        <w:rPr>
          <w:rFonts w:ascii="Arial Bold" w:eastAsia="Times New Roman" w:hAnsi="Arial Bold" w:cs="Times New Roman"/>
          <w:b/>
          <w:vanish/>
          <w:szCs w:val="24"/>
        </w:rPr>
      </w:pPr>
      <w:bookmarkStart w:id="823" w:name="_Toc133246145"/>
      <w:bookmarkStart w:id="824" w:name="_Toc138924399"/>
      <w:bookmarkStart w:id="825" w:name="_Toc138924582"/>
      <w:bookmarkStart w:id="826" w:name="_Toc138924738"/>
      <w:bookmarkStart w:id="827" w:name="_Toc138924828"/>
      <w:bookmarkStart w:id="828" w:name="_Toc138924968"/>
      <w:bookmarkStart w:id="829" w:name="_Toc138925057"/>
      <w:bookmarkStart w:id="830" w:name="_Toc138925146"/>
      <w:bookmarkStart w:id="831" w:name="_Toc138925574"/>
      <w:bookmarkStart w:id="832" w:name="_Toc138931855"/>
      <w:bookmarkStart w:id="833" w:name="_Toc138943913"/>
      <w:bookmarkStart w:id="834" w:name="_Toc140137262"/>
      <w:bookmarkEnd w:id="823"/>
      <w:bookmarkEnd w:id="824"/>
      <w:bookmarkEnd w:id="825"/>
      <w:bookmarkEnd w:id="826"/>
      <w:bookmarkEnd w:id="827"/>
      <w:bookmarkEnd w:id="828"/>
      <w:bookmarkEnd w:id="829"/>
      <w:bookmarkEnd w:id="830"/>
      <w:bookmarkEnd w:id="831"/>
      <w:bookmarkEnd w:id="832"/>
      <w:bookmarkEnd w:id="833"/>
      <w:bookmarkEnd w:id="834"/>
    </w:p>
    <w:p w14:paraId="6DFF2FCE" w14:textId="77777777" w:rsidR="00A92D45" w:rsidRPr="00B97E96" w:rsidRDefault="00A92D45" w:rsidP="00A92D45">
      <w:pPr>
        <w:pStyle w:val="ListParagraph"/>
        <w:numPr>
          <w:ilvl w:val="2"/>
          <w:numId w:val="41"/>
        </w:numPr>
        <w:spacing w:after="220" w:line="240" w:lineRule="auto"/>
        <w:contextualSpacing w:val="0"/>
        <w:outlineLvl w:val="0"/>
        <w:rPr>
          <w:rFonts w:ascii="Arial Bold" w:eastAsia="Times New Roman" w:hAnsi="Arial Bold" w:cs="Times New Roman"/>
          <w:b/>
          <w:vanish/>
          <w:szCs w:val="24"/>
        </w:rPr>
      </w:pPr>
      <w:bookmarkStart w:id="835" w:name="_Toc133246146"/>
      <w:bookmarkStart w:id="836" w:name="_Toc138924400"/>
      <w:bookmarkStart w:id="837" w:name="_Toc138924583"/>
      <w:bookmarkStart w:id="838" w:name="_Toc138924739"/>
      <w:bookmarkStart w:id="839" w:name="_Toc138924829"/>
      <w:bookmarkStart w:id="840" w:name="_Toc138924969"/>
      <w:bookmarkStart w:id="841" w:name="_Toc138925058"/>
      <w:bookmarkStart w:id="842" w:name="_Toc138925147"/>
      <w:bookmarkStart w:id="843" w:name="_Toc138925575"/>
      <w:bookmarkStart w:id="844" w:name="_Toc138931856"/>
      <w:bookmarkStart w:id="845" w:name="_Toc138943914"/>
      <w:bookmarkStart w:id="846" w:name="_Toc140137263"/>
      <w:bookmarkEnd w:id="835"/>
      <w:bookmarkEnd w:id="836"/>
      <w:bookmarkEnd w:id="837"/>
      <w:bookmarkEnd w:id="838"/>
      <w:bookmarkEnd w:id="839"/>
      <w:bookmarkEnd w:id="840"/>
      <w:bookmarkEnd w:id="841"/>
      <w:bookmarkEnd w:id="842"/>
      <w:bookmarkEnd w:id="843"/>
      <w:bookmarkEnd w:id="844"/>
      <w:bookmarkEnd w:id="845"/>
      <w:bookmarkEnd w:id="846"/>
    </w:p>
    <w:p w14:paraId="71D9D197" w14:textId="77777777" w:rsidR="00A92D45" w:rsidRPr="00B97E96" w:rsidRDefault="00A92D45" w:rsidP="00A92D45">
      <w:pPr>
        <w:pStyle w:val="ListParagraph"/>
        <w:numPr>
          <w:ilvl w:val="2"/>
          <w:numId w:val="41"/>
        </w:numPr>
        <w:spacing w:after="220" w:line="240" w:lineRule="auto"/>
        <w:contextualSpacing w:val="0"/>
        <w:outlineLvl w:val="0"/>
        <w:rPr>
          <w:rFonts w:ascii="Arial Bold" w:eastAsia="Times New Roman" w:hAnsi="Arial Bold" w:cs="Times New Roman"/>
          <w:b/>
          <w:vanish/>
          <w:szCs w:val="24"/>
        </w:rPr>
      </w:pPr>
      <w:bookmarkStart w:id="847" w:name="_Toc133246147"/>
      <w:bookmarkStart w:id="848" w:name="_Toc138924401"/>
      <w:bookmarkStart w:id="849" w:name="_Toc138924584"/>
      <w:bookmarkStart w:id="850" w:name="_Toc138924740"/>
      <w:bookmarkStart w:id="851" w:name="_Toc138924830"/>
      <w:bookmarkStart w:id="852" w:name="_Toc138924970"/>
      <w:bookmarkStart w:id="853" w:name="_Toc138925059"/>
      <w:bookmarkStart w:id="854" w:name="_Toc138925148"/>
      <w:bookmarkStart w:id="855" w:name="_Toc138925576"/>
      <w:bookmarkStart w:id="856" w:name="_Toc138931857"/>
      <w:bookmarkStart w:id="857" w:name="_Toc138943915"/>
      <w:bookmarkStart w:id="858" w:name="_Toc140137264"/>
      <w:bookmarkEnd w:id="847"/>
      <w:bookmarkEnd w:id="848"/>
      <w:bookmarkEnd w:id="849"/>
      <w:bookmarkEnd w:id="850"/>
      <w:bookmarkEnd w:id="851"/>
      <w:bookmarkEnd w:id="852"/>
      <w:bookmarkEnd w:id="853"/>
      <w:bookmarkEnd w:id="854"/>
      <w:bookmarkEnd w:id="855"/>
      <w:bookmarkEnd w:id="856"/>
      <w:bookmarkEnd w:id="857"/>
      <w:bookmarkEnd w:id="858"/>
    </w:p>
    <w:p w14:paraId="4C4A9374" w14:textId="77777777" w:rsidR="00A92D45" w:rsidRPr="00B97E96" w:rsidRDefault="00A92D45" w:rsidP="00A92D45">
      <w:pPr>
        <w:pStyle w:val="ListParagraph"/>
        <w:numPr>
          <w:ilvl w:val="2"/>
          <w:numId w:val="41"/>
        </w:numPr>
        <w:spacing w:after="220" w:line="240" w:lineRule="auto"/>
        <w:contextualSpacing w:val="0"/>
        <w:outlineLvl w:val="0"/>
        <w:rPr>
          <w:rFonts w:ascii="Arial Bold" w:eastAsia="Times New Roman" w:hAnsi="Arial Bold" w:cs="Times New Roman"/>
          <w:b/>
          <w:vanish/>
          <w:szCs w:val="24"/>
        </w:rPr>
      </w:pPr>
      <w:bookmarkStart w:id="859" w:name="_Toc133246148"/>
      <w:bookmarkStart w:id="860" w:name="_Toc138924402"/>
      <w:bookmarkStart w:id="861" w:name="_Toc138924585"/>
      <w:bookmarkStart w:id="862" w:name="_Toc138924741"/>
      <w:bookmarkStart w:id="863" w:name="_Toc138924831"/>
      <w:bookmarkStart w:id="864" w:name="_Toc138924971"/>
      <w:bookmarkStart w:id="865" w:name="_Toc138925060"/>
      <w:bookmarkStart w:id="866" w:name="_Toc138925149"/>
      <w:bookmarkStart w:id="867" w:name="_Toc138925577"/>
      <w:bookmarkStart w:id="868" w:name="_Toc138931858"/>
      <w:bookmarkStart w:id="869" w:name="_Toc138943916"/>
      <w:bookmarkStart w:id="870" w:name="_Toc140137265"/>
      <w:bookmarkEnd w:id="859"/>
      <w:bookmarkEnd w:id="860"/>
      <w:bookmarkEnd w:id="861"/>
      <w:bookmarkEnd w:id="862"/>
      <w:bookmarkEnd w:id="863"/>
      <w:bookmarkEnd w:id="864"/>
      <w:bookmarkEnd w:id="865"/>
      <w:bookmarkEnd w:id="866"/>
      <w:bookmarkEnd w:id="867"/>
      <w:bookmarkEnd w:id="868"/>
      <w:bookmarkEnd w:id="869"/>
      <w:bookmarkEnd w:id="870"/>
    </w:p>
    <w:p w14:paraId="64079DE2" w14:textId="77777777" w:rsidR="00A92D45" w:rsidRPr="00B97E96" w:rsidRDefault="00A92D45" w:rsidP="00A92D45">
      <w:pPr>
        <w:pStyle w:val="ListParagraph"/>
        <w:numPr>
          <w:ilvl w:val="2"/>
          <w:numId w:val="41"/>
        </w:numPr>
        <w:spacing w:after="220" w:line="240" w:lineRule="auto"/>
        <w:contextualSpacing w:val="0"/>
        <w:outlineLvl w:val="0"/>
        <w:rPr>
          <w:rFonts w:ascii="Arial Bold" w:eastAsia="Times New Roman" w:hAnsi="Arial Bold" w:cs="Times New Roman"/>
          <w:b/>
          <w:vanish/>
          <w:szCs w:val="24"/>
        </w:rPr>
      </w:pPr>
      <w:bookmarkStart w:id="871" w:name="_Toc133246149"/>
      <w:bookmarkStart w:id="872" w:name="_Toc138924403"/>
      <w:bookmarkStart w:id="873" w:name="_Toc138924586"/>
      <w:bookmarkStart w:id="874" w:name="_Toc138924742"/>
      <w:bookmarkStart w:id="875" w:name="_Toc138924832"/>
      <w:bookmarkStart w:id="876" w:name="_Toc138924972"/>
      <w:bookmarkStart w:id="877" w:name="_Toc138925061"/>
      <w:bookmarkStart w:id="878" w:name="_Toc138925150"/>
      <w:bookmarkStart w:id="879" w:name="_Toc138925578"/>
      <w:bookmarkStart w:id="880" w:name="_Toc138931859"/>
      <w:bookmarkStart w:id="881" w:name="_Toc138943917"/>
      <w:bookmarkStart w:id="882" w:name="_Toc140137266"/>
      <w:bookmarkEnd w:id="871"/>
      <w:bookmarkEnd w:id="872"/>
      <w:bookmarkEnd w:id="873"/>
      <w:bookmarkEnd w:id="874"/>
      <w:bookmarkEnd w:id="875"/>
      <w:bookmarkEnd w:id="876"/>
      <w:bookmarkEnd w:id="877"/>
      <w:bookmarkEnd w:id="878"/>
      <w:bookmarkEnd w:id="879"/>
      <w:bookmarkEnd w:id="880"/>
      <w:bookmarkEnd w:id="881"/>
      <w:bookmarkEnd w:id="882"/>
    </w:p>
    <w:p w14:paraId="1340D1A7" w14:textId="77777777" w:rsidR="00A92D45" w:rsidRPr="00B97E96" w:rsidRDefault="00A92D45" w:rsidP="00A92D45">
      <w:pPr>
        <w:pStyle w:val="ListParagraph"/>
        <w:numPr>
          <w:ilvl w:val="2"/>
          <w:numId w:val="41"/>
        </w:numPr>
        <w:spacing w:after="220" w:line="240" w:lineRule="auto"/>
        <w:contextualSpacing w:val="0"/>
        <w:outlineLvl w:val="0"/>
        <w:rPr>
          <w:rFonts w:ascii="Arial Bold" w:eastAsia="Times New Roman" w:hAnsi="Arial Bold" w:cs="Times New Roman"/>
          <w:b/>
          <w:vanish/>
          <w:szCs w:val="24"/>
        </w:rPr>
      </w:pPr>
      <w:bookmarkStart w:id="883" w:name="_Toc133246150"/>
      <w:bookmarkStart w:id="884" w:name="_Toc138924404"/>
      <w:bookmarkStart w:id="885" w:name="_Toc138924587"/>
      <w:bookmarkStart w:id="886" w:name="_Toc138924743"/>
      <w:bookmarkStart w:id="887" w:name="_Toc138924833"/>
      <w:bookmarkStart w:id="888" w:name="_Toc138924973"/>
      <w:bookmarkStart w:id="889" w:name="_Toc138925062"/>
      <w:bookmarkStart w:id="890" w:name="_Toc138925151"/>
      <w:bookmarkStart w:id="891" w:name="_Toc138925579"/>
      <w:bookmarkStart w:id="892" w:name="_Toc138931860"/>
      <w:bookmarkStart w:id="893" w:name="_Toc138943918"/>
      <w:bookmarkStart w:id="894" w:name="_Toc140137267"/>
      <w:bookmarkEnd w:id="883"/>
      <w:bookmarkEnd w:id="884"/>
      <w:bookmarkEnd w:id="885"/>
      <w:bookmarkEnd w:id="886"/>
      <w:bookmarkEnd w:id="887"/>
      <w:bookmarkEnd w:id="888"/>
      <w:bookmarkEnd w:id="889"/>
      <w:bookmarkEnd w:id="890"/>
      <w:bookmarkEnd w:id="891"/>
      <w:bookmarkEnd w:id="892"/>
      <w:bookmarkEnd w:id="893"/>
      <w:bookmarkEnd w:id="894"/>
    </w:p>
    <w:p w14:paraId="61E94CAD" w14:textId="56CBC06D" w:rsidR="002569E1" w:rsidRPr="00967718" w:rsidRDefault="002569E1" w:rsidP="00547634">
      <w:pPr>
        <w:pStyle w:val="Heading3"/>
      </w:pPr>
      <w:bookmarkStart w:id="895" w:name="_Ref138858840"/>
      <w:bookmarkEnd w:id="662"/>
      <w:bookmarkEnd w:id="663"/>
      <w:bookmarkEnd w:id="664"/>
      <w:bookmarkEnd w:id="665"/>
      <w:bookmarkEnd w:id="666"/>
      <w:r w:rsidRPr="00967718">
        <w:t>Application of this guide to existing sites and facilities</w:t>
      </w:r>
      <w:bookmarkEnd w:id="895"/>
    </w:p>
    <w:p w14:paraId="4E2F63E3" w14:textId="57910349" w:rsidR="002569E1" w:rsidRPr="00967718" w:rsidRDefault="002569E1" w:rsidP="000D6BF8">
      <w:pPr>
        <w:pStyle w:val="F9-Paragraph"/>
        <w:ind w:hanging="502"/>
      </w:pPr>
      <w:r w:rsidRPr="00967718">
        <w:t xml:space="preserve">It is recognised that for some older facilities, as they stand, it may be difficult to accommodate the effects of some </w:t>
      </w:r>
      <w:r w:rsidR="005E2A40">
        <w:t>EHs</w:t>
      </w:r>
      <w:r w:rsidRPr="00967718">
        <w:t xml:space="preserve"> associated with a conservative 10</w:t>
      </w:r>
      <w:r w:rsidRPr="008874B0">
        <w:rPr>
          <w:vertAlign w:val="superscript"/>
        </w:rPr>
        <w:t>-4</w:t>
      </w:r>
      <w:r w:rsidRPr="00967718">
        <w:t>/y event. SAP paragraph 33 provides the following guidance: “For facilities designed and constructed to earlier standards, the issue of whether suitable and sufficient measures are available to satisfy the ALARP principle will need to be judged case by case.”</w:t>
      </w:r>
    </w:p>
    <w:p w14:paraId="0B17C98B" w14:textId="691C9855" w:rsidR="002569E1" w:rsidRDefault="002569E1" w:rsidP="000D6BF8">
      <w:pPr>
        <w:pStyle w:val="F9-Paragraph"/>
        <w:ind w:hanging="502"/>
      </w:pPr>
      <w:r w:rsidRPr="00967718">
        <w:t xml:space="preserve">The approach for such cases is to evaluate the facility in accordance with the SAPs, noting any shortfalls. In conjunction with other disciplines, the withstand of the affected SSCs should be determined and the gap identified. A process </w:t>
      </w:r>
      <w:r w:rsidRPr="00967718">
        <w:lastRenderedPageBreak/>
        <w:t xml:space="preserve">based on the ALARP principle should then be followed that demonstrates that all practicable improvements have been made to </w:t>
      </w:r>
      <w:r>
        <w:t>minimise</w:t>
      </w:r>
      <w:r w:rsidRPr="00967718">
        <w:t xml:space="preserve"> the gap</w:t>
      </w:r>
      <w:r>
        <w:t>s</w:t>
      </w:r>
      <w:r w:rsidR="00853CCF">
        <w:t>, see paragraph</w:t>
      </w:r>
      <w:r w:rsidR="005652B2">
        <w:t>s</w:t>
      </w:r>
      <w:r w:rsidR="00853CCF">
        <w:t xml:space="preserve"> </w:t>
      </w:r>
      <w:r w:rsidR="005652B2">
        <w:fldChar w:fldCharType="begin"/>
      </w:r>
      <w:r w:rsidR="005652B2">
        <w:instrText xml:space="preserve"> REF _Ref138760794 \r \h </w:instrText>
      </w:r>
      <w:r w:rsidR="00221C99">
        <w:instrText xml:space="preserve"> \* MERGEFORMAT </w:instrText>
      </w:r>
      <w:r w:rsidR="005652B2">
        <w:fldChar w:fldCharType="separate"/>
      </w:r>
      <w:r w:rsidR="008B51F7">
        <w:t>49</w:t>
      </w:r>
      <w:r w:rsidR="005652B2">
        <w:fldChar w:fldCharType="end"/>
      </w:r>
      <w:r w:rsidR="00184480">
        <w:t>,</w:t>
      </w:r>
      <w:r w:rsidR="005652B2">
        <w:t xml:space="preserve"> </w:t>
      </w:r>
      <w:r w:rsidR="005652B2">
        <w:fldChar w:fldCharType="begin"/>
      </w:r>
      <w:r w:rsidR="005652B2">
        <w:instrText xml:space="preserve"> REF _Ref138858491 \r \h </w:instrText>
      </w:r>
      <w:r w:rsidR="00221C99">
        <w:instrText xml:space="preserve"> \* MERGEFORMAT </w:instrText>
      </w:r>
      <w:r w:rsidR="005652B2">
        <w:fldChar w:fldCharType="separate"/>
      </w:r>
      <w:r w:rsidR="008B51F7">
        <w:t>170</w:t>
      </w:r>
      <w:r w:rsidR="005652B2">
        <w:fldChar w:fldCharType="end"/>
      </w:r>
      <w:r w:rsidR="00B40FB3">
        <w:t xml:space="preserve"> and guidance at </w:t>
      </w:r>
      <w:sdt>
        <w:sdtPr>
          <w:id w:val="-310715160"/>
          <w:citation/>
        </w:sdtPr>
        <w:sdtContent>
          <w:r w:rsidR="00325E0E">
            <w:fldChar w:fldCharType="begin"/>
          </w:r>
          <w:r w:rsidR="002A4EED">
            <w:instrText xml:space="preserve">CITATION ONRtm \l 2057 </w:instrText>
          </w:r>
          <w:r w:rsidR="00325E0E">
            <w:fldChar w:fldCharType="separate"/>
          </w:r>
          <w:r w:rsidR="002A4EED">
            <w:t>[2]</w:t>
          </w:r>
          <w:r w:rsidR="00325E0E">
            <w:fldChar w:fldCharType="end"/>
          </w:r>
        </w:sdtContent>
      </w:sdt>
      <w:r w:rsidR="00245E58">
        <w:t>.</w:t>
      </w:r>
    </w:p>
    <w:p w14:paraId="2A9B9750" w14:textId="509F2C7B" w:rsidR="002569E1" w:rsidRPr="00967718" w:rsidRDefault="002569E1" w:rsidP="000D6BF8">
      <w:pPr>
        <w:pStyle w:val="F9-Paragraph"/>
        <w:ind w:hanging="502"/>
      </w:pPr>
      <w:r>
        <w:t>The same approach also applies to findings from a PS</w:t>
      </w:r>
      <w:r w:rsidR="008779D7">
        <w:t>R</w:t>
      </w:r>
      <w:r>
        <w:t>, lifetime extensions and to modifications to facilities that have an impact on nuclear safety.</w:t>
      </w:r>
      <w:r w:rsidRPr="00967718">
        <w:t xml:space="preserve"> </w:t>
      </w:r>
    </w:p>
    <w:p w14:paraId="2E08AC49" w14:textId="348651B3" w:rsidR="002569E1" w:rsidRPr="00547634" w:rsidRDefault="002569E1" w:rsidP="00547634">
      <w:pPr>
        <w:pStyle w:val="Heading3"/>
      </w:pPr>
      <w:bookmarkStart w:id="896" w:name="_Ref504480521"/>
      <w:r w:rsidRPr="00547634">
        <w:t>Application of this guide to new sites</w:t>
      </w:r>
      <w:bookmarkEnd w:id="896"/>
      <w:r w:rsidR="00C15F2D">
        <w:t xml:space="preserve"> </w:t>
      </w:r>
      <w:r w:rsidR="00C15F2D" w:rsidRPr="00DE4904">
        <w:t xml:space="preserve">or </w:t>
      </w:r>
      <w:r w:rsidR="00F914D1" w:rsidRPr="00DE4904">
        <w:t>new build on existing sites</w:t>
      </w:r>
    </w:p>
    <w:p w14:paraId="7062093A" w14:textId="3979F8D0" w:rsidR="00F47E97" w:rsidRPr="00547634" w:rsidRDefault="003C2C0D" w:rsidP="00547634">
      <w:pPr>
        <w:pStyle w:val="Heading4"/>
      </w:pPr>
      <w:r>
        <w:t>One-</w:t>
      </w:r>
      <w:r w:rsidR="004B24ED">
        <w:t>off</w:t>
      </w:r>
      <w:r w:rsidR="00325A68" w:rsidRPr="00547634">
        <w:t xml:space="preserve"> new designs</w:t>
      </w:r>
    </w:p>
    <w:p w14:paraId="71D18888" w14:textId="459F989C" w:rsidR="00AC03BD" w:rsidRPr="00547634" w:rsidRDefault="00104305" w:rsidP="000D6BF8">
      <w:pPr>
        <w:pStyle w:val="F9-Paragraph"/>
        <w:ind w:hanging="502"/>
      </w:pPr>
      <w:r w:rsidRPr="0047425A">
        <w:t xml:space="preserve">Whilst </w:t>
      </w:r>
      <w:r w:rsidR="00A14CE5" w:rsidRPr="0047425A">
        <w:t xml:space="preserve">the design and construction of </w:t>
      </w:r>
      <w:r w:rsidR="002E58FD" w:rsidRPr="0047425A">
        <w:t xml:space="preserve">new nuclear power facilities </w:t>
      </w:r>
      <w:r w:rsidR="003A3D8B" w:rsidRPr="0047425A">
        <w:t xml:space="preserve">in the UK </w:t>
      </w:r>
      <w:r w:rsidR="008E444D">
        <w:t xml:space="preserve">is expected to </w:t>
      </w:r>
      <w:r w:rsidR="003A3D8B" w:rsidRPr="0047425A">
        <w:t xml:space="preserve">follow </w:t>
      </w:r>
      <w:r w:rsidR="00AE2A51" w:rsidRPr="0047425A">
        <w:t>what is termed a GDA process</w:t>
      </w:r>
      <w:r w:rsidR="00384C10" w:rsidRPr="00547634">
        <w:t>,</w:t>
      </w:r>
      <w:r w:rsidR="00AE2A51" w:rsidRPr="0047425A">
        <w:t xml:space="preserve"> that is described below</w:t>
      </w:r>
      <w:r w:rsidR="00992C71" w:rsidRPr="0047425A">
        <w:t xml:space="preserve">, some other nuclear facilities are </w:t>
      </w:r>
      <w:r w:rsidR="00D5113A" w:rsidRPr="0047425A">
        <w:t>built on a</w:t>
      </w:r>
      <w:r w:rsidR="00AC5B33">
        <w:t xml:space="preserve"> one-off</w:t>
      </w:r>
      <w:r w:rsidR="00D5113A" w:rsidRPr="0047425A">
        <w:t xml:space="preserve"> basis</w:t>
      </w:r>
      <w:r w:rsidR="00C40ACE">
        <w:t xml:space="preserve">, without </w:t>
      </w:r>
      <w:r w:rsidR="007C66ED">
        <w:t>any prior GDA</w:t>
      </w:r>
      <w:r w:rsidR="00D5113A" w:rsidRPr="0047425A">
        <w:t xml:space="preserve">. This tends to be </w:t>
      </w:r>
      <w:r w:rsidR="00582811" w:rsidRPr="0047425A">
        <w:t>the case for nuclear related defence facilities.</w:t>
      </w:r>
      <w:r w:rsidR="00582811" w:rsidRPr="00547634">
        <w:t xml:space="preserve"> </w:t>
      </w:r>
      <w:r w:rsidR="00587BD2" w:rsidRPr="00547634">
        <w:t>T</w:t>
      </w:r>
      <w:r w:rsidR="00DE1C8F" w:rsidRPr="00547634">
        <w:t xml:space="preserve">hese </w:t>
      </w:r>
      <w:r w:rsidR="00D31D5B" w:rsidRPr="00547634">
        <w:t xml:space="preserve">new designs </w:t>
      </w:r>
      <w:r w:rsidR="00D92B80" w:rsidRPr="00547634">
        <w:t>are in most cases located on existing sites</w:t>
      </w:r>
      <w:r w:rsidR="00F5746D" w:rsidRPr="00547634">
        <w:t xml:space="preserve">, which are discussed in </w:t>
      </w:r>
      <w:r w:rsidR="007A7381" w:rsidRPr="00547634">
        <w:t>S</w:t>
      </w:r>
      <w:r w:rsidR="00F5746D" w:rsidRPr="00547634">
        <w:t xml:space="preserve">ection </w:t>
      </w:r>
      <w:r w:rsidR="007A7381" w:rsidRPr="00547634">
        <w:fldChar w:fldCharType="begin"/>
      </w:r>
      <w:r w:rsidR="007A7381" w:rsidRPr="00547634">
        <w:instrText xml:space="preserve"> REF _Ref138858840 \r \h  \* MERGEFORMAT </w:instrText>
      </w:r>
      <w:r w:rsidR="007A7381" w:rsidRPr="00547634">
        <w:fldChar w:fldCharType="separate"/>
      </w:r>
      <w:r w:rsidR="008B51F7">
        <w:t>5.7.1</w:t>
      </w:r>
      <w:r w:rsidR="007A7381" w:rsidRPr="00547634">
        <w:fldChar w:fldCharType="end"/>
      </w:r>
      <w:r w:rsidR="008E79FE" w:rsidRPr="00547634">
        <w:t xml:space="preserve">. </w:t>
      </w:r>
    </w:p>
    <w:p w14:paraId="3532A8AA" w14:textId="006AB829" w:rsidR="00BC5FB8" w:rsidRPr="00547634" w:rsidRDefault="00466CFA" w:rsidP="000D6BF8">
      <w:pPr>
        <w:pStyle w:val="F9-Paragraph"/>
        <w:ind w:hanging="502"/>
      </w:pPr>
      <w:r w:rsidRPr="00547634">
        <w:t xml:space="preserve">Where the new design is </w:t>
      </w:r>
      <w:r w:rsidR="0083059E" w:rsidRPr="00547634">
        <w:t>located on a new site</w:t>
      </w:r>
      <w:r w:rsidR="00B11404" w:rsidRPr="00547634">
        <w:t>,</w:t>
      </w:r>
      <w:r w:rsidR="0083059E" w:rsidRPr="00547634">
        <w:t xml:space="preserve"> then the EHs are expected to be </w:t>
      </w:r>
      <w:r w:rsidR="00F07B0F" w:rsidRPr="00547634">
        <w:t xml:space="preserve">derived </w:t>
      </w:r>
      <w:r w:rsidR="0042718C" w:rsidRPr="00547634">
        <w:t xml:space="preserve">in accordance with the </w:t>
      </w:r>
      <w:r w:rsidR="00305C14" w:rsidRPr="00547634">
        <w:t>approach in section 5.6</w:t>
      </w:r>
      <w:r w:rsidR="00E91F8B" w:rsidRPr="00547634">
        <w:t xml:space="preserve">, with an emphasis on </w:t>
      </w:r>
      <w:r w:rsidR="006B2CC1" w:rsidRPr="00547634">
        <w:t>uncertaint</w:t>
      </w:r>
      <w:r w:rsidR="00AB202F" w:rsidRPr="00547634">
        <w:t>ies</w:t>
      </w:r>
      <w:r w:rsidR="006B2CC1" w:rsidRPr="00547634">
        <w:t>, contingenc</w:t>
      </w:r>
      <w:r w:rsidR="00AB202F" w:rsidRPr="00547634">
        <w:t>ies,</w:t>
      </w:r>
      <w:r w:rsidR="006B2CC1" w:rsidRPr="00547634">
        <w:t xml:space="preserve"> and conservatism </w:t>
      </w:r>
      <w:r w:rsidR="00FD4941" w:rsidRPr="00547634">
        <w:t>if the DBEs are based on a return period of 1 in 10</w:t>
      </w:r>
      <w:r w:rsidR="00213690">
        <w:t>,</w:t>
      </w:r>
      <w:r w:rsidR="00FD4941" w:rsidRPr="00547634">
        <w:t>000 years</w:t>
      </w:r>
      <w:r w:rsidR="00FF6D80" w:rsidRPr="00547634">
        <w:t xml:space="preserve">. </w:t>
      </w:r>
    </w:p>
    <w:p w14:paraId="7A2DF32E" w14:textId="02247D9F" w:rsidR="00B66188" w:rsidRPr="00547634" w:rsidRDefault="00B11404" w:rsidP="000D6BF8">
      <w:pPr>
        <w:pStyle w:val="F9-Paragraph"/>
        <w:ind w:hanging="502"/>
      </w:pPr>
      <w:r w:rsidRPr="00547634">
        <w:t>For new designs located on existing sites</w:t>
      </w:r>
      <w:r w:rsidR="00A9207E" w:rsidRPr="00547634">
        <w:t xml:space="preserve">, the situation may be more complex. All existing sites will have </w:t>
      </w:r>
      <w:r w:rsidR="00DB7D8B" w:rsidRPr="00547634">
        <w:t xml:space="preserve">EH definitions that the existing facilities are </w:t>
      </w:r>
      <w:r w:rsidR="003733B0" w:rsidRPr="00547634">
        <w:t xml:space="preserve">qualified against. The status of those EHs </w:t>
      </w:r>
      <w:r w:rsidR="00E47285">
        <w:t>covers a range that is</w:t>
      </w:r>
      <w:r w:rsidR="003733B0" w:rsidRPr="00547634">
        <w:t xml:space="preserve"> described in </w:t>
      </w:r>
      <w:r w:rsidR="009413CA" w:rsidRPr="00547634">
        <w:t>S</w:t>
      </w:r>
      <w:r w:rsidR="003733B0" w:rsidRPr="00547634">
        <w:t xml:space="preserve">ection </w:t>
      </w:r>
      <w:r w:rsidR="00060A88" w:rsidRPr="00547634">
        <w:fldChar w:fldCharType="begin"/>
      </w:r>
      <w:r w:rsidR="00060A88" w:rsidRPr="00547634">
        <w:instrText xml:space="preserve"> REF _Ref138862775 \r \h </w:instrText>
      </w:r>
      <w:r w:rsidR="00060A88">
        <w:instrText xml:space="preserve"> \* MERGEFORMAT </w:instrText>
      </w:r>
      <w:r w:rsidR="00060A88" w:rsidRPr="00547634">
        <w:fldChar w:fldCharType="separate"/>
      </w:r>
      <w:r w:rsidR="008B51F7">
        <w:t>5.8</w:t>
      </w:r>
      <w:r w:rsidR="00060A88" w:rsidRPr="00547634">
        <w:fldChar w:fldCharType="end"/>
      </w:r>
      <w:r w:rsidR="00534BDE" w:rsidRPr="00547634">
        <w:t>.</w:t>
      </w:r>
      <w:r w:rsidR="00F75061" w:rsidRPr="00547634">
        <w:t xml:space="preserve"> </w:t>
      </w:r>
      <w:r w:rsidR="002C627C" w:rsidRPr="00547634">
        <w:t>New design</w:t>
      </w:r>
      <w:r w:rsidR="00921719" w:rsidRPr="00547634">
        <w:t>s</w:t>
      </w:r>
      <w:r w:rsidR="002C627C" w:rsidRPr="00547634">
        <w:t xml:space="preserve"> are expected to meet modern standards. This </w:t>
      </w:r>
      <w:r w:rsidR="007149FA">
        <w:t>may</w:t>
      </w:r>
      <w:r w:rsidR="002C627C" w:rsidRPr="00547634">
        <w:t xml:space="preserve"> be achieved </w:t>
      </w:r>
      <w:r w:rsidR="004E6AC8">
        <w:t>by</w:t>
      </w:r>
      <w:r w:rsidR="00C00380" w:rsidRPr="00547634">
        <w:t xml:space="preserve"> a</w:t>
      </w:r>
      <w:r w:rsidR="00CB5A2B">
        <w:t>n existing</w:t>
      </w:r>
      <w:r w:rsidR="00C00380" w:rsidRPr="00547634">
        <w:t xml:space="preserve"> recent PSR update of the EHs</w:t>
      </w:r>
      <w:r w:rsidR="004C7276" w:rsidRPr="00547634">
        <w:t xml:space="preserve">, </w:t>
      </w:r>
      <w:r w:rsidR="0065712E" w:rsidRPr="00547634">
        <w:t>o</w:t>
      </w:r>
      <w:r w:rsidR="00CB5A2B">
        <w:t>r else</w:t>
      </w:r>
      <w:r w:rsidR="004C7276" w:rsidRPr="00547634">
        <w:t xml:space="preserve"> a fresh determination of the EHs</w:t>
      </w:r>
      <w:r w:rsidR="00646650" w:rsidRPr="00547634">
        <w:t>.</w:t>
      </w:r>
      <w:r w:rsidR="004F24C9" w:rsidRPr="00547634">
        <w:t xml:space="preserve"> </w:t>
      </w:r>
      <w:r w:rsidR="001E21F9" w:rsidRPr="00547634">
        <w:t>In the latter case, t</w:t>
      </w:r>
      <w:r w:rsidR="004F24C9" w:rsidRPr="00547634">
        <w:t>he consequences</w:t>
      </w:r>
      <w:r w:rsidR="001E21F9" w:rsidRPr="00547634">
        <w:t xml:space="preserve"> and expectations </w:t>
      </w:r>
      <w:r w:rsidR="00E249C6" w:rsidRPr="00547634">
        <w:t>for existing facilities located on the same site</w:t>
      </w:r>
      <w:r w:rsidR="004F24C9" w:rsidRPr="00547634">
        <w:t xml:space="preserve"> </w:t>
      </w:r>
      <w:r w:rsidR="008B621A">
        <w:t>are</w:t>
      </w:r>
      <w:r w:rsidR="004F24C9" w:rsidRPr="00547634">
        <w:t xml:space="preserve"> described in </w:t>
      </w:r>
      <w:r w:rsidR="00A91343">
        <w:t>S</w:t>
      </w:r>
      <w:r w:rsidR="004F24C9" w:rsidRPr="00547634">
        <w:t>ection</w:t>
      </w:r>
      <w:r w:rsidR="00E249C6" w:rsidRPr="00547634">
        <w:t xml:space="preserve"> </w:t>
      </w:r>
      <w:r w:rsidR="00A91343" w:rsidRPr="00AA58B0">
        <w:fldChar w:fldCharType="begin"/>
      </w:r>
      <w:r w:rsidR="00A91343" w:rsidRPr="00AA58B0">
        <w:instrText xml:space="preserve"> REF _Ref138862775 \r \h </w:instrText>
      </w:r>
      <w:r w:rsidR="00A91343">
        <w:instrText xml:space="preserve"> \* MERGEFORMAT </w:instrText>
      </w:r>
      <w:r w:rsidR="00A91343" w:rsidRPr="00AA58B0">
        <w:fldChar w:fldCharType="separate"/>
      </w:r>
      <w:r w:rsidR="008B51F7">
        <w:t>5.8</w:t>
      </w:r>
      <w:r w:rsidR="00A91343" w:rsidRPr="00AA58B0">
        <w:fldChar w:fldCharType="end"/>
      </w:r>
      <w:r w:rsidR="002C5E21" w:rsidRPr="00547634">
        <w:t>.</w:t>
      </w:r>
    </w:p>
    <w:p w14:paraId="1DC6264B" w14:textId="23E520B8" w:rsidR="002569E1" w:rsidRPr="00547634" w:rsidRDefault="002569E1" w:rsidP="00547634">
      <w:pPr>
        <w:pStyle w:val="Heading4"/>
      </w:pPr>
      <w:bookmarkStart w:id="897" w:name="_Ref139549482"/>
      <w:r w:rsidRPr="00547634">
        <w:t xml:space="preserve">Generic </w:t>
      </w:r>
      <w:r w:rsidR="002079B5">
        <w:t>d</w:t>
      </w:r>
      <w:r w:rsidRPr="00547634">
        <w:t xml:space="preserve">esign </w:t>
      </w:r>
      <w:r w:rsidR="002079B5">
        <w:t>a</w:t>
      </w:r>
      <w:r w:rsidRPr="00547634">
        <w:t>ssessment</w:t>
      </w:r>
      <w:bookmarkEnd w:id="897"/>
    </w:p>
    <w:p w14:paraId="55B7C072" w14:textId="4BDDFE69" w:rsidR="002569E1" w:rsidRPr="00547634" w:rsidRDefault="002569E1" w:rsidP="000D6BF8">
      <w:pPr>
        <w:pStyle w:val="F9-Paragraph"/>
        <w:ind w:hanging="502"/>
      </w:pPr>
      <w:r w:rsidRPr="00547634">
        <w:t xml:space="preserve">New reactors intended for construction in the UK undergo GDA, which is a pre-licensing process that provides </w:t>
      </w:r>
      <w:r w:rsidR="007C6B82">
        <w:t>r</w:t>
      </w:r>
      <w:r w:rsidR="00361761" w:rsidRPr="00361761">
        <w:t xml:space="preserve">equesting </w:t>
      </w:r>
      <w:r w:rsidR="007C6B82">
        <w:t>p</w:t>
      </w:r>
      <w:r w:rsidR="00361761" w:rsidRPr="00361761">
        <w:t>art</w:t>
      </w:r>
      <w:r w:rsidR="00361761">
        <w:t>ies</w:t>
      </w:r>
      <w:r w:rsidR="00AC7AA0" w:rsidRPr="000D6BF8">
        <w:footnoteReference w:id="14"/>
      </w:r>
      <w:r w:rsidR="00361761" w:rsidRPr="00361761">
        <w:t xml:space="preserve"> </w:t>
      </w:r>
      <w:r w:rsidR="00D4468C">
        <w:t>(</w:t>
      </w:r>
      <w:r w:rsidRPr="00547634">
        <w:t>RPs</w:t>
      </w:r>
      <w:r w:rsidR="00D4468C">
        <w:t>)</w:t>
      </w:r>
      <w:r w:rsidRPr="00547634">
        <w:t xml:space="preserve"> with the opportunity to demonstrate at an early stage that the design is capable of meeting the legal requirements of the UK. It also facilitates a robust ONR assessment of the proposed design. During GDA, the intended site for the new reactor development may not yet be known, or there may be several candidate new build sites. Therefore, RPs usually define a “Generic Site” with characteristics typical of the UK. These characteristics should, as far as possible, envelop or bound the characteristics of known potential sites in the UK</w:t>
      </w:r>
      <w:r w:rsidR="000C69AD">
        <w:t>,</w:t>
      </w:r>
      <w:r w:rsidRPr="00547634">
        <w:t xml:space="preserve"> so that reactors of </w:t>
      </w:r>
      <w:r w:rsidRPr="00547634">
        <w:lastRenderedPageBreak/>
        <w:t xml:space="preserve">the proposed type could potentially be built at a number of suitable locations. Further information on GDA is available </w:t>
      </w:r>
      <w:r w:rsidR="00225E1B">
        <w:t>at refs.</w:t>
      </w:r>
      <w:sdt>
        <w:sdtPr>
          <w:id w:val="-1229074906"/>
          <w:citation/>
        </w:sdtPr>
        <w:sdtContent>
          <w:r w:rsidR="00810AC3">
            <w:fldChar w:fldCharType="begin"/>
          </w:r>
          <w:r w:rsidR="00F12D69">
            <w:instrText xml:space="preserve">CITATION ONRdf \m ONRdf1 \l 2057 </w:instrText>
          </w:r>
          <w:r w:rsidR="00810AC3">
            <w:fldChar w:fldCharType="separate"/>
          </w:r>
          <w:r w:rsidR="002A4EED">
            <w:t xml:space="preserve"> [29, 30]</w:t>
          </w:r>
          <w:r w:rsidR="00810AC3">
            <w:fldChar w:fldCharType="end"/>
          </w:r>
        </w:sdtContent>
      </w:sdt>
      <w:r w:rsidRPr="00547634">
        <w:t xml:space="preserve">. For GDA, the EHs inspector should: </w:t>
      </w:r>
    </w:p>
    <w:p w14:paraId="055EADE9" w14:textId="6D1DA87A" w:rsidR="002569E1" w:rsidRPr="00547634" w:rsidRDefault="002569E1" w:rsidP="00547634">
      <w:pPr>
        <w:pStyle w:val="Bulletlist1"/>
      </w:pPr>
      <w:bookmarkStart w:id="898" w:name="_Hlk138259537"/>
      <w:r w:rsidRPr="00547634">
        <w:t xml:space="preserve">Assess the scope of the </w:t>
      </w:r>
      <w:r w:rsidR="00445A0C">
        <w:t>Generic Site Envelope (</w:t>
      </w:r>
      <w:r w:rsidRPr="00547634">
        <w:t>GSE</w:t>
      </w:r>
      <w:r w:rsidR="00445A0C">
        <w:t>)</w:t>
      </w:r>
      <w:r w:rsidRPr="00547634">
        <w:t xml:space="preserve"> and its applicability to the UK context. </w:t>
      </w:r>
    </w:p>
    <w:p w14:paraId="1C42649E" w14:textId="1E53730F" w:rsidR="002569E1" w:rsidRPr="00547634" w:rsidRDefault="007533CA" w:rsidP="00547634">
      <w:pPr>
        <w:pStyle w:val="Bulletlist1"/>
        <w:spacing w:before="120"/>
        <w:ind w:left="1417"/>
      </w:pPr>
      <w:r w:rsidRPr="00547634">
        <w:t>Confirm</w:t>
      </w:r>
      <w:r w:rsidR="002569E1" w:rsidRPr="00547634">
        <w:t xml:space="preserve"> that the RP has applied a robust process </w:t>
      </w:r>
      <w:r w:rsidR="00DA0E82" w:rsidRPr="00E61FB8">
        <w:t xml:space="preserve">that meets </w:t>
      </w:r>
      <w:r w:rsidR="002569E1" w:rsidRPr="00547634">
        <w:t>RGP for EHs</w:t>
      </w:r>
      <w:r w:rsidR="00DA0E82" w:rsidRPr="00E61FB8">
        <w:t xml:space="preserve"> in the context of the GDA process</w:t>
      </w:r>
      <w:r w:rsidR="002569E1" w:rsidRPr="00547634">
        <w:t xml:space="preserve">. </w:t>
      </w:r>
    </w:p>
    <w:p w14:paraId="3A1AB1E1" w14:textId="38263D30" w:rsidR="002569E1" w:rsidRPr="00547634" w:rsidRDefault="000D4AEB" w:rsidP="00547634">
      <w:pPr>
        <w:pStyle w:val="Bulletlist1"/>
        <w:spacing w:before="120"/>
        <w:ind w:left="1417"/>
      </w:pPr>
      <w:r w:rsidRPr="00547634">
        <w:t>C</w:t>
      </w:r>
      <w:r w:rsidR="005B1028" w:rsidRPr="00547634">
        <w:t xml:space="preserve">onfirm that </w:t>
      </w:r>
      <w:r w:rsidRPr="00547634">
        <w:t xml:space="preserve">the RP has accounted for </w:t>
      </w:r>
      <w:r w:rsidR="005B1028" w:rsidRPr="00547634">
        <w:t>BDB</w:t>
      </w:r>
      <w:r w:rsidR="003D35F2" w:rsidRPr="00547634">
        <w:t xml:space="preserve"> scenarios </w:t>
      </w:r>
      <w:r w:rsidRPr="00547634">
        <w:t xml:space="preserve">for </w:t>
      </w:r>
      <w:r w:rsidR="004722C1">
        <w:t>the considered</w:t>
      </w:r>
      <w:r w:rsidR="004722C1" w:rsidRPr="00547634">
        <w:t xml:space="preserve"> </w:t>
      </w:r>
      <w:r w:rsidR="0050312C" w:rsidRPr="00547634">
        <w:t>EH</w:t>
      </w:r>
      <w:r w:rsidR="008267C6">
        <w:t>s</w:t>
      </w:r>
      <w:r w:rsidR="0050312C" w:rsidRPr="00547634">
        <w:t xml:space="preserve"> and their combinations</w:t>
      </w:r>
      <w:r w:rsidR="003D35F2" w:rsidRPr="00547634">
        <w:t>.</w:t>
      </w:r>
    </w:p>
    <w:bookmarkEnd w:id="898"/>
    <w:p w14:paraId="2D26CC39" w14:textId="77777777" w:rsidR="002569E1" w:rsidRPr="00547634" w:rsidRDefault="002569E1" w:rsidP="00547634">
      <w:pPr>
        <w:pStyle w:val="Bulletlist1"/>
        <w:spacing w:before="120"/>
        <w:ind w:left="1417"/>
      </w:pPr>
      <w:r w:rsidRPr="00547634">
        <w:t>Assess the generic Pre-Construction Safety Report (PCSR) chapters relevant to EHs.</w:t>
      </w:r>
    </w:p>
    <w:p w14:paraId="4475651F" w14:textId="728A5ECC" w:rsidR="002569E1" w:rsidRPr="00547634" w:rsidRDefault="002569E1" w:rsidP="000D6BF8">
      <w:pPr>
        <w:pStyle w:val="F9-Paragraph"/>
        <w:ind w:hanging="502"/>
      </w:pPr>
      <w:r w:rsidRPr="00547634">
        <w:t xml:space="preserve">The expectation is that RPs will define a generic design for GDA, including a GSE complete with a range of EH </w:t>
      </w:r>
      <w:r w:rsidR="00A057CF">
        <w:t>DB</w:t>
      </w:r>
      <w:r w:rsidRPr="00547634">
        <w:t xml:space="preserve"> definitions. However</w:t>
      </w:r>
      <w:r w:rsidR="004842D1" w:rsidRPr="00547634">
        <w:t>,</w:t>
      </w:r>
      <w:r w:rsidRPr="00547634">
        <w:t xml:space="preserve"> a RP may pursue the development of a site-specific design, or the subsequent </w:t>
      </w:r>
      <w:r w:rsidR="006A74BF">
        <w:t>l</w:t>
      </w:r>
      <w:r w:rsidRPr="00547634">
        <w:t xml:space="preserve">icensee may modify an existing generic design to take advantage of, say, a particular site-specific hazard challenge that is substantially lower than initial generic assumptions, </w:t>
      </w:r>
      <w:r w:rsidR="004842D1" w:rsidRPr="00547634">
        <w:t>where it is commercially advantageous</w:t>
      </w:r>
      <w:r w:rsidR="00E61FB8">
        <w:t>.</w:t>
      </w:r>
      <w:r w:rsidRPr="00547634">
        <w:t xml:space="preserve"> Under these situations, the inspector should be confident that site-specific </w:t>
      </w:r>
      <w:r w:rsidR="00A057CF">
        <w:t>DB</w:t>
      </w:r>
      <w:r w:rsidRPr="00547634">
        <w:t xml:space="preserve"> hazard definitions remain consistent with the expectations of SAP EHA.4. </w:t>
      </w:r>
    </w:p>
    <w:p w14:paraId="0EC35D49" w14:textId="1BC7E189" w:rsidR="0059566C" w:rsidRPr="00547634" w:rsidRDefault="0059566C" w:rsidP="00547634">
      <w:pPr>
        <w:pStyle w:val="Heading4"/>
      </w:pPr>
      <w:r w:rsidRPr="00547634">
        <w:t xml:space="preserve">New </w:t>
      </w:r>
      <w:r w:rsidR="002079B5">
        <w:t>r</w:t>
      </w:r>
      <w:r w:rsidRPr="00547634">
        <w:t xml:space="preserve">eactor </w:t>
      </w:r>
      <w:r w:rsidR="002079B5">
        <w:t>l</w:t>
      </w:r>
      <w:r w:rsidRPr="00547634">
        <w:t xml:space="preserve">icensing and </w:t>
      </w:r>
      <w:r w:rsidR="002079B5">
        <w:t>c</w:t>
      </w:r>
      <w:r w:rsidRPr="00547634">
        <w:t>onstruction</w:t>
      </w:r>
    </w:p>
    <w:p w14:paraId="77DE60A1" w14:textId="536C5E43" w:rsidR="0059566C" w:rsidRPr="00547634" w:rsidRDefault="0059566C" w:rsidP="000D6BF8">
      <w:pPr>
        <w:pStyle w:val="F9-Paragraph"/>
        <w:ind w:hanging="502"/>
      </w:pPr>
      <w:r w:rsidRPr="00547634">
        <w:t xml:space="preserve">Assessment of EHs for </w:t>
      </w:r>
      <w:r w:rsidR="002079B5">
        <w:t>n</w:t>
      </w:r>
      <w:r w:rsidRPr="00547634">
        <w:t xml:space="preserve">ew </w:t>
      </w:r>
      <w:r w:rsidR="002079B5">
        <w:t>r</w:t>
      </w:r>
      <w:r w:rsidRPr="00547634">
        <w:t xml:space="preserve">eactor </w:t>
      </w:r>
      <w:r w:rsidR="002079B5">
        <w:t>l</w:t>
      </w:r>
      <w:r w:rsidRPr="00547634">
        <w:t xml:space="preserve">icensing and </w:t>
      </w:r>
      <w:r w:rsidR="002079B5">
        <w:t>c</w:t>
      </w:r>
      <w:r w:rsidRPr="00547634">
        <w:t>onstruction is an iterative process. One of the major milestones in the process is the assessment to support granting</w:t>
      </w:r>
      <w:r w:rsidR="00B86A68">
        <w:t xml:space="preserve"> of a nuclear site</w:t>
      </w:r>
      <w:r w:rsidR="00B86A68" w:rsidRPr="00B86A68">
        <w:t xml:space="preserve"> </w:t>
      </w:r>
      <w:r w:rsidR="00B86A68" w:rsidRPr="00547634">
        <w:t>licence</w:t>
      </w:r>
      <w:r w:rsidRPr="00547634">
        <w:t xml:space="preserve">. Other milestones and hold points will be decided as part of the project. </w:t>
      </w:r>
    </w:p>
    <w:p w14:paraId="292DF9A6" w14:textId="24606B78" w:rsidR="0059566C" w:rsidRPr="00547634" w:rsidRDefault="0059566C" w:rsidP="000D6BF8">
      <w:pPr>
        <w:pStyle w:val="F9-Paragraph"/>
        <w:ind w:hanging="502"/>
      </w:pPr>
      <w:r w:rsidRPr="000D6BF8">
        <w:t>New Reactor Site Licensing</w:t>
      </w:r>
      <w:r w:rsidRPr="00547634">
        <w:t xml:space="preserve">: During site licensing, the focus is on-site suitability and future </w:t>
      </w:r>
      <w:r w:rsidR="00A53652">
        <w:t>l</w:t>
      </w:r>
      <w:r w:rsidRPr="00547634">
        <w:t xml:space="preserve">icensees’ capability. Before granting a site licence, a </w:t>
      </w:r>
      <w:r w:rsidR="004A0D3D">
        <w:t>s</w:t>
      </w:r>
      <w:r w:rsidRPr="00547634">
        <w:t xml:space="preserve">ite </w:t>
      </w:r>
      <w:r w:rsidR="004A0D3D">
        <w:t>l</w:t>
      </w:r>
      <w:r w:rsidRPr="00547634">
        <w:t xml:space="preserve">icence </w:t>
      </w:r>
      <w:r w:rsidR="004A0D3D">
        <w:t>a</w:t>
      </w:r>
      <w:r w:rsidRPr="00547634">
        <w:t xml:space="preserve">pplicant (SLA) needs to demonstrate to ONR’s satisfaction that a particular site is suitable to support safe nuclear operations. One of the main site suitability aspects that needs to be demonstrated is that the nuclear facility will have robust defences against a range of EHs. This is underpinned by SAP ST.4 and paragraph 131, which state: </w:t>
      </w:r>
    </w:p>
    <w:p w14:paraId="63CF2434" w14:textId="77777777" w:rsidR="0059566C" w:rsidRPr="00547634" w:rsidRDefault="0059566C" w:rsidP="002752BA">
      <w:pPr>
        <w:pStyle w:val="F9-Paragraph"/>
        <w:numPr>
          <w:ilvl w:val="0"/>
          <w:numId w:val="0"/>
        </w:numPr>
        <w:ind w:left="644"/>
      </w:pPr>
      <w:r w:rsidRPr="00547634">
        <w:t xml:space="preserve">"The suitability of the site to support safe nuclear operations should be assessed prior to granting a new site licence. Such attention will normally focus on external hazards and civil engineering issues. These should consider the potential vulnerability of the site to external hazards and the extent to which construction of new facilities can be safely accomplished." </w:t>
      </w:r>
    </w:p>
    <w:p w14:paraId="2560DE09" w14:textId="5E28D810" w:rsidR="004E244D" w:rsidRPr="00547634" w:rsidRDefault="0059566C" w:rsidP="000D6BF8">
      <w:pPr>
        <w:pStyle w:val="F9-Paragraph"/>
        <w:ind w:hanging="502"/>
      </w:pPr>
      <w:r w:rsidRPr="00547634">
        <w:t xml:space="preserve">The SLA should show that the </w:t>
      </w:r>
      <w:r w:rsidR="002752BA">
        <w:t>DBE</w:t>
      </w:r>
      <w:r w:rsidRPr="00547634">
        <w:t xml:space="preserve"> is bounded by the </w:t>
      </w:r>
      <w:r w:rsidR="00F7736F">
        <w:t>GSE</w:t>
      </w:r>
      <w:r w:rsidRPr="00547634">
        <w:t xml:space="preserve">. </w:t>
      </w:r>
      <w:r w:rsidR="003D5D75" w:rsidRPr="00547634">
        <w:t xml:space="preserve">For </w:t>
      </w:r>
      <w:r w:rsidR="00C51E8E" w:rsidRPr="00547634">
        <w:t>h</w:t>
      </w:r>
      <w:r w:rsidRPr="00547634">
        <w:t xml:space="preserve">azards </w:t>
      </w:r>
      <w:r w:rsidR="00E24336">
        <w:t>where there is</w:t>
      </w:r>
      <w:r w:rsidRPr="00547634">
        <w:t xml:space="preserve"> little or no margin between the GSE and the </w:t>
      </w:r>
      <w:r w:rsidR="00553294" w:rsidRPr="00464D21">
        <w:t>DBE</w:t>
      </w:r>
      <w:r w:rsidR="00F0181E">
        <w:t>,</w:t>
      </w:r>
      <w:r w:rsidRPr="00547634">
        <w:t xml:space="preserve"> </w:t>
      </w:r>
      <w:r w:rsidR="00175C57" w:rsidRPr="00547634">
        <w:t>the design</w:t>
      </w:r>
      <w:r w:rsidR="00125E73">
        <w:t xml:space="preserve"> will need</w:t>
      </w:r>
      <w:r w:rsidRPr="00547634">
        <w:t xml:space="preserve"> to be justified. </w:t>
      </w:r>
    </w:p>
    <w:p w14:paraId="5A2AE40F" w14:textId="6E494FE7" w:rsidR="006903EC" w:rsidRDefault="006903EC" w:rsidP="000D6BF8">
      <w:pPr>
        <w:pStyle w:val="F9-Paragraph"/>
        <w:ind w:hanging="502"/>
      </w:pPr>
      <w:r w:rsidRPr="00570C91">
        <w:t xml:space="preserve">A </w:t>
      </w:r>
      <w:r>
        <w:t>nuclear site license application</w:t>
      </w:r>
      <w:r w:rsidRPr="00570C91">
        <w:t xml:space="preserve"> may follow on from a GDA of a specific reactor technology,</w:t>
      </w:r>
      <w:r w:rsidR="006E0B0D">
        <w:t xml:space="preserve"> it</w:t>
      </w:r>
      <w:r w:rsidRPr="00570C91">
        <w:t xml:space="preserve"> may be for a 2</w:t>
      </w:r>
      <w:r w:rsidRPr="000D6BF8">
        <w:t>nd</w:t>
      </w:r>
      <w:r>
        <w:t xml:space="preserve"> or </w:t>
      </w:r>
      <w:r w:rsidRPr="00570C91">
        <w:t>n</w:t>
      </w:r>
      <w:r w:rsidRPr="000D6BF8">
        <w:t>th</w:t>
      </w:r>
      <w:r w:rsidRPr="00570C91">
        <w:t xml:space="preserve"> of a kind NPP, or </w:t>
      </w:r>
      <w:r>
        <w:t xml:space="preserve">it </w:t>
      </w:r>
      <w:r w:rsidRPr="00570C91">
        <w:t xml:space="preserve">may be for a reactor design that has gone straight to licensing, without completing a GDA. </w:t>
      </w:r>
      <w:r w:rsidRPr="00570C91">
        <w:lastRenderedPageBreak/>
        <w:t xml:space="preserve">The </w:t>
      </w:r>
      <w:r w:rsidR="006E0B0D">
        <w:t xml:space="preserve">assessment </w:t>
      </w:r>
      <w:r w:rsidRPr="00570C91">
        <w:t>approach taken by the inspector for licensing will need to reflect the level of ONR assessment previously undertaken</w:t>
      </w:r>
      <w:r>
        <w:t>.</w:t>
      </w:r>
    </w:p>
    <w:p w14:paraId="3A7BEC8A" w14:textId="2B1F3290" w:rsidR="006903EC" w:rsidRPr="00C3794F" w:rsidRDefault="006903EC" w:rsidP="000D6BF8">
      <w:pPr>
        <w:pStyle w:val="F9-Paragraph"/>
        <w:ind w:hanging="502"/>
      </w:pPr>
      <w:r w:rsidRPr="00B80C7D">
        <w:t xml:space="preserve">If the </w:t>
      </w:r>
      <w:r>
        <w:t>reactor design</w:t>
      </w:r>
      <w:r w:rsidRPr="00B80C7D">
        <w:t xml:space="preserve"> has not been through GDA and does not have a GSE (or equivalent</w:t>
      </w:r>
      <w:r>
        <w:t>, such as a site envelope from an existing NPP</w:t>
      </w:r>
      <w:r w:rsidRPr="00B80C7D">
        <w:t xml:space="preserve">) then an ONR assessment akin to an external hazards GDA would </w:t>
      </w:r>
      <w:r w:rsidR="006E0B0D">
        <w:t xml:space="preserve">likely </w:t>
      </w:r>
      <w:r w:rsidRPr="00B80C7D">
        <w:t>be required, albeit on a site-specific rather than generic basis</w:t>
      </w:r>
      <w:r>
        <w:t>.</w:t>
      </w:r>
    </w:p>
    <w:p w14:paraId="1CACC2FF" w14:textId="0653C32D" w:rsidR="0059566C" w:rsidRDefault="006903EC" w:rsidP="000D6BF8">
      <w:pPr>
        <w:pStyle w:val="F9-Paragraph"/>
        <w:ind w:hanging="502"/>
      </w:pPr>
      <w:r>
        <w:t>The inspector should note that h</w:t>
      </w:r>
      <w:r w:rsidR="0059566C" w:rsidRPr="00547634">
        <w:t xml:space="preserve">azards not included within the GDA assessment will need to be listed, quantified and </w:t>
      </w:r>
      <w:r w:rsidR="0059566C" w:rsidRPr="00C3794F">
        <w:t xml:space="preserve">their effects on nuclear safety analysed. A statement on how these will be protected against will need to be made. </w:t>
      </w:r>
    </w:p>
    <w:p w14:paraId="69573260" w14:textId="4A99685A" w:rsidR="0059566C" w:rsidRPr="000D6BF8" w:rsidRDefault="0059566C" w:rsidP="000D6BF8">
      <w:pPr>
        <w:pStyle w:val="F9-Paragraph"/>
        <w:ind w:hanging="502"/>
      </w:pPr>
      <w:r w:rsidRPr="000D6BF8">
        <w:t>New Reactor Construction</w:t>
      </w:r>
      <w:r w:rsidRPr="00C3794F">
        <w:t>: As part of the assessment process</w:t>
      </w:r>
      <w:r w:rsidR="00C522FC">
        <w:t>,</w:t>
      </w:r>
      <w:r w:rsidRPr="00C3794F">
        <w:t xml:space="preserve"> leading up to new reactor construction, the EHs inspector should assess</w:t>
      </w:r>
      <w:r w:rsidR="00952C62">
        <w:t>, through a sampling approach,</w:t>
      </w:r>
      <w:r w:rsidRPr="00C3794F">
        <w:t xml:space="preserve"> the</w:t>
      </w:r>
      <w:r w:rsidR="00952C62">
        <w:t xml:space="preserve"> EH</w:t>
      </w:r>
      <w:r w:rsidR="00C522FC">
        <w:t xml:space="preserve"> </w:t>
      </w:r>
      <w:r w:rsidRPr="00C3794F">
        <w:t xml:space="preserve">aspects of the </w:t>
      </w:r>
      <w:r w:rsidR="00EB5092">
        <w:t>l</w:t>
      </w:r>
      <w:r w:rsidRPr="00C3794F">
        <w:t>icensee’s safety case. This will</w:t>
      </w:r>
      <w:r w:rsidR="00026A71">
        <w:t xml:space="preserve"> include</w:t>
      </w:r>
      <w:r w:rsidRPr="00C3794F">
        <w:t xml:space="preserve"> the site-specific safety submission, normally a PCSR, and underpinning technical reports on a sampling basis. The production</w:t>
      </w:r>
      <w:r w:rsidRPr="00547634">
        <w:t xml:space="preserve"> of site-specific safety submissions takes place in stages in accordance with arrangements made against the LCs; see Section 3 for aspects relevant to EHs</w:t>
      </w:r>
      <w:r w:rsidR="00464D21" w:rsidRPr="00464D21">
        <w:t>.</w:t>
      </w:r>
    </w:p>
    <w:p w14:paraId="51347BD8" w14:textId="0812D786" w:rsidR="0059566C" w:rsidRPr="000D6BF8" w:rsidRDefault="0059566C" w:rsidP="000D6BF8">
      <w:pPr>
        <w:pStyle w:val="F9-Paragraph"/>
        <w:ind w:hanging="502"/>
      </w:pPr>
      <w:r w:rsidRPr="00547634">
        <w:t xml:space="preserve">Inspectors should be aware that experience has indicated the time between the GDA project for a new reactor design and subsequent </w:t>
      </w:r>
      <w:r w:rsidR="00AB4C88" w:rsidRPr="00464D21">
        <w:t>start of operation</w:t>
      </w:r>
      <w:r w:rsidR="00543BA7" w:rsidRPr="00464D21">
        <w:t xml:space="preserve"> can be of</w:t>
      </w:r>
      <w:r w:rsidRPr="00547634">
        <w:t xml:space="preserve"> the order of 1</w:t>
      </w:r>
      <w:r w:rsidR="00543BA7" w:rsidRPr="00464D21">
        <w:t>5</w:t>
      </w:r>
      <w:r w:rsidRPr="00547634">
        <w:t xml:space="preserve"> years or more – longer than the normal period between </w:t>
      </w:r>
      <w:r w:rsidR="007F7ED2">
        <w:t>PSRs</w:t>
      </w:r>
      <w:r w:rsidRPr="00547634">
        <w:t xml:space="preserve"> required of operating sites under LC</w:t>
      </w:r>
      <w:r w:rsidR="00174C97">
        <w:t xml:space="preserve"> </w:t>
      </w:r>
      <w:r w:rsidRPr="00547634">
        <w:t xml:space="preserve">15. The definition of RGP adopted during the GDA project may have changed in this time, potentially leading to the site-specific safety case(s) being out-of-date by the </w:t>
      </w:r>
      <w:r w:rsidR="00EC244B" w:rsidRPr="00547634">
        <w:t>start of operation</w:t>
      </w:r>
      <w:r w:rsidRPr="00547634">
        <w:t>.</w:t>
      </w:r>
      <w:r w:rsidR="00654BAB" w:rsidRPr="00547634">
        <w:t xml:space="preserve"> In such cases</w:t>
      </w:r>
      <w:r w:rsidR="00BB78E4">
        <w:t>,</w:t>
      </w:r>
      <w:r w:rsidR="00654BAB" w:rsidRPr="00547634">
        <w:t xml:space="preserve"> </w:t>
      </w:r>
      <w:r w:rsidR="00D92731" w:rsidRPr="00547634">
        <w:t>the approach should follow those used for PSRs</w:t>
      </w:r>
      <w:r w:rsidR="00113818" w:rsidRPr="00547634">
        <w:t>, see section</w:t>
      </w:r>
      <w:r w:rsidR="00CF75DB" w:rsidRPr="00547634">
        <w:t xml:space="preserve"> 5.8.</w:t>
      </w:r>
    </w:p>
    <w:p w14:paraId="1B6E5855" w14:textId="20E76798" w:rsidR="00DC24A8" w:rsidRPr="00897947" w:rsidRDefault="00DC24A8" w:rsidP="00DC24A8">
      <w:pPr>
        <w:pStyle w:val="Heading3"/>
      </w:pPr>
      <w:bookmarkStart w:id="899" w:name="_Ref515892997"/>
      <w:r w:rsidRPr="00897947">
        <w:t>Application of this guide to multi-facility sites</w:t>
      </w:r>
      <w:bookmarkEnd w:id="899"/>
      <w:r w:rsidRPr="00897947">
        <w:t xml:space="preserve"> </w:t>
      </w:r>
    </w:p>
    <w:p w14:paraId="733F84AD" w14:textId="733513AA" w:rsidR="00DC24A8" w:rsidRPr="00897947" w:rsidRDefault="00DC24A8" w:rsidP="000D6BF8">
      <w:pPr>
        <w:pStyle w:val="F9-Paragraph"/>
        <w:ind w:hanging="502"/>
      </w:pPr>
      <w:r w:rsidRPr="00897947">
        <w:t xml:space="preserve">Many EHs such as wind, temperature, </w:t>
      </w:r>
      <w:r w:rsidR="00457F43" w:rsidRPr="00897947">
        <w:t>flooding,</w:t>
      </w:r>
      <w:r w:rsidRPr="00897947">
        <w:t xml:space="preserve"> and earthquake, have the potential to challenge all facilities on a single site simultaneously. Furthermore, EHs may threaten neighbouring installations that in turn threaten the plant under consideration. For chemical plants and some Ministry of Defence related facilities the total risk targets from SAP Target 3 are often divided among the facilities on the site in an approximate way. Licensees may operate in such a way that the hazards presented to one facility by others, especially if their purpose and processes are completely separate, may be treated as EHs, yet simultaneously treated as internal hazards or internal plant faults in the “other” facilities. For example, explosion from gaseous release from one plant may be treated as an internal hazard in this plant, but an EH in a separate adjacent plant on the same site. </w:t>
      </w:r>
    </w:p>
    <w:p w14:paraId="66D1CBD8" w14:textId="13F3FEE9" w:rsidR="00DC24A8" w:rsidRPr="00F06117" w:rsidRDefault="00DC24A8" w:rsidP="000D6BF8">
      <w:pPr>
        <w:pStyle w:val="F9-Paragraph"/>
        <w:ind w:hanging="502"/>
      </w:pPr>
      <w:r w:rsidRPr="002321E7">
        <w:t>The IAEA offers guidance on the safety analysis applied to multi-unit reactor sites. Inspectors should consider IAEA SSR 2/1</w:t>
      </w:r>
      <w:sdt>
        <w:sdtPr>
          <w:id w:val="2064752203"/>
          <w:citation/>
        </w:sdtPr>
        <w:sdtContent>
          <w:r w:rsidR="00220D7E">
            <w:fldChar w:fldCharType="begin"/>
          </w:r>
          <w:r w:rsidR="003D45B2">
            <w:instrText xml:space="preserve">CITATION IAEdf \l 2057 </w:instrText>
          </w:r>
          <w:r w:rsidR="00220D7E">
            <w:fldChar w:fldCharType="separate"/>
          </w:r>
          <w:r w:rsidR="002A4EED">
            <w:t xml:space="preserve"> [31]</w:t>
          </w:r>
          <w:r w:rsidR="00220D7E">
            <w:fldChar w:fldCharType="end"/>
          </w:r>
        </w:sdtContent>
      </w:sdt>
      <w:r w:rsidRPr="002321E7">
        <w:t xml:space="preserve"> and especially Requirement 17 paragraph 5.15B reference to common cause effects, and Requirement 33 reference to DECs, covered here as BDBA</w:t>
      </w:r>
      <w:r w:rsidRPr="00F06117">
        <w:t>.</w:t>
      </w:r>
    </w:p>
    <w:p w14:paraId="40D6BD3B" w14:textId="0179D08E" w:rsidR="00444D75" w:rsidRPr="00F06117" w:rsidRDefault="00DC24A8" w:rsidP="000D6BF8">
      <w:pPr>
        <w:pStyle w:val="F9-Paragraph"/>
        <w:ind w:hanging="502"/>
      </w:pPr>
      <w:r w:rsidRPr="00F06117">
        <w:lastRenderedPageBreak/>
        <w:t>It should be noted that the GDA process is based on the assessment of a single reactor unit. During the site licensing and subsequent construction permissioning assessments, due account should be taken of the deployment of multiple units.</w:t>
      </w:r>
      <w:r w:rsidR="00764F21">
        <w:br/>
      </w:r>
    </w:p>
    <w:p w14:paraId="3A466158" w14:textId="697193E4" w:rsidR="00DC24A8" w:rsidRDefault="00A60005" w:rsidP="00547634">
      <w:pPr>
        <w:pStyle w:val="Heading2"/>
        <w:spacing w:before="120" w:after="120"/>
      </w:pPr>
      <w:bookmarkStart w:id="900" w:name="_Ref138862775"/>
      <w:bookmarkStart w:id="901" w:name="_Toc140137268"/>
      <w:r w:rsidRPr="00A60005">
        <w:t>Modification</w:t>
      </w:r>
      <w:r w:rsidR="009E4251">
        <w:t>s</w:t>
      </w:r>
      <w:r w:rsidRPr="00A60005">
        <w:t xml:space="preserve"> of External Hazards Design Basis </w:t>
      </w:r>
      <w:r w:rsidR="00336D88">
        <w:t xml:space="preserve">Event </w:t>
      </w:r>
      <w:r w:rsidRPr="00A60005">
        <w:t>Definitions</w:t>
      </w:r>
      <w:bookmarkEnd w:id="900"/>
      <w:bookmarkEnd w:id="901"/>
    </w:p>
    <w:p w14:paraId="05F88427" w14:textId="70491958" w:rsidR="002E5D63" w:rsidRDefault="002E5D63" w:rsidP="000D6BF8">
      <w:pPr>
        <w:pStyle w:val="F9-Paragraph"/>
        <w:ind w:hanging="502"/>
      </w:pPr>
      <w:r w:rsidRPr="00980598">
        <w:t xml:space="preserve">All nuclear facilities are under regular review, and as a result it is occasionally found that the site hazard characterisation changes as a result of new or revised hazard studies. Moreover, it may also be found that some SSCs no longer meet expectations. In such situations the </w:t>
      </w:r>
      <w:r w:rsidR="00547DD1">
        <w:t>l</w:t>
      </w:r>
      <w:r w:rsidRPr="006E0B0D">
        <w:t>icensee/</w:t>
      </w:r>
      <w:r w:rsidR="00F32D99" w:rsidRPr="006E0B0D">
        <w:t>SLA</w:t>
      </w:r>
      <w:r w:rsidRPr="00980598">
        <w:t xml:space="preserve"> may seek to modify and formally redefine their original DBE definition as a reviewed</w:t>
      </w:r>
      <w:r>
        <w:t xml:space="preserve"> DBE. For clarity in this section, it is helpful to discuss the DBE using these two terms; original DBE (</w:t>
      </w:r>
      <w:proofErr w:type="spellStart"/>
      <w:r>
        <w:t>oDBE</w:t>
      </w:r>
      <w:proofErr w:type="spellEnd"/>
      <w:r>
        <w:t>), and reviewed DBE (</w:t>
      </w:r>
      <w:proofErr w:type="spellStart"/>
      <w:r>
        <w:t>rDBE</w:t>
      </w:r>
      <w:proofErr w:type="spellEnd"/>
      <w:r>
        <w:t>), noting that in practice DBE is likely the terminology that will be used</w:t>
      </w:r>
      <w:r w:rsidRPr="000D6BF8">
        <w:footnoteReference w:id="15"/>
      </w:r>
      <w:r>
        <w:t xml:space="preserve">. </w:t>
      </w:r>
    </w:p>
    <w:p w14:paraId="29F27A1A" w14:textId="7F420BFF" w:rsidR="002E5D63" w:rsidRPr="00044ED9" w:rsidRDefault="002E5D63" w:rsidP="000D6BF8">
      <w:pPr>
        <w:pStyle w:val="F9-Paragraph"/>
        <w:ind w:hanging="502"/>
      </w:pPr>
      <w:r w:rsidRPr="00044ED9">
        <w:t xml:space="preserve">Although the general approach </w:t>
      </w:r>
      <w:r>
        <w:t xml:space="preserve">for modifying the </w:t>
      </w:r>
      <w:proofErr w:type="spellStart"/>
      <w:r>
        <w:t>oDBE</w:t>
      </w:r>
      <w:proofErr w:type="spellEnd"/>
      <w:r>
        <w:t xml:space="preserve"> </w:t>
      </w:r>
      <w:r w:rsidRPr="00044ED9">
        <w:t xml:space="preserve">is similar for both existing and new facilities, the </w:t>
      </w:r>
      <w:r>
        <w:t xml:space="preserve">context and </w:t>
      </w:r>
      <w:r w:rsidRPr="00044ED9">
        <w:t>details are likely to differ.</w:t>
      </w:r>
      <w:r>
        <w:t xml:space="preserve"> N</w:t>
      </w:r>
      <w:r w:rsidRPr="000D3623">
        <w:t xml:space="preserve">ew build facilities are expected to have </w:t>
      </w:r>
      <w:proofErr w:type="spellStart"/>
      <w:r>
        <w:t>oDBE’s</w:t>
      </w:r>
      <w:proofErr w:type="spellEnd"/>
      <w:r>
        <w:t xml:space="preserve"> </w:t>
      </w:r>
      <w:r w:rsidRPr="000D3623">
        <w:t xml:space="preserve">that meet the expectations outlined in Section </w:t>
      </w:r>
      <w:r w:rsidR="00EC421E" w:rsidRPr="000D6BF8">
        <w:fldChar w:fldCharType="begin"/>
      </w:r>
      <w:r w:rsidR="00EC421E">
        <w:instrText xml:space="preserve"> REF _Ref138674429 \r \h </w:instrText>
      </w:r>
      <w:r w:rsidR="00221C99">
        <w:instrText xml:space="preserve"> \* MERGEFORMAT </w:instrText>
      </w:r>
      <w:r w:rsidR="00EC421E" w:rsidRPr="000D6BF8">
        <w:fldChar w:fldCharType="separate"/>
      </w:r>
      <w:r w:rsidR="008B51F7">
        <w:t>5.6</w:t>
      </w:r>
      <w:r w:rsidR="00EC421E" w:rsidRPr="000D6BF8">
        <w:fldChar w:fldCharType="end"/>
      </w:r>
      <w:r w:rsidRPr="000D3623">
        <w:t xml:space="preserve"> above</w:t>
      </w:r>
      <w:r>
        <w:t>,</w:t>
      </w:r>
      <w:r w:rsidRPr="000D3623">
        <w:t xml:space="preserve"> and associated substantiations for SSCs that </w:t>
      </w:r>
      <w:r>
        <w:t xml:space="preserve">use a </w:t>
      </w:r>
      <w:proofErr w:type="spellStart"/>
      <w:r>
        <w:t>BoD</w:t>
      </w:r>
      <w:proofErr w:type="spellEnd"/>
      <w:r>
        <w:t xml:space="preserve"> that adequately </w:t>
      </w:r>
      <w:r w:rsidRPr="000D3623">
        <w:t>meet</w:t>
      </w:r>
      <w:r>
        <w:t xml:space="preserve">s the </w:t>
      </w:r>
      <w:proofErr w:type="spellStart"/>
      <w:r>
        <w:t>oDBE</w:t>
      </w:r>
      <w:proofErr w:type="spellEnd"/>
      <w:r>
        <w:t>.</w:t>
      </w:r>
      <w:r w:rsidRPr="000D3623">
        <w:t xml:space="preserve"> </w:t>
      </w:r>
      <w:r>
        <w:t xml:space="preserve">Usually there is, in addition, a </w:t>
      </w:r>
      <w:r w:rsidRPr="00044ED9">
        <w:t xml:space="preserve">degree of contingency incorporated to allow for </w:t>
      </w:r>
      <w:r>
        <w:t xml:space="preserve">potential </w:t>
      </w:r>
      <w:r w:rsidRPr="00044ED9">
        <w:t>changes to the site hazard cha</w:t>
      </w:r>
      <w:r>
        <w:t>racterisation / SSC condition</w:t>
      </w:r>
      <w:r w:rsidRPr="00044ED9">
        <w:t xml:space="preserve"> during the lifetime of the facility.</w:t>
      </w:r>
      <w:r>
        <w:t xml:space="preserve"> </w:t>
      </w:r>
    </w:p>
    <w:p w14:paraId="6237FA84" w14:textId="2D1BAF0E" w:rsidR="002E5D63" w:rsidRPr="00044ED9" w:rsidRDefault="002E5D63" w:rsidP="000D6BF8">
      <w:pPr>
        <w:pStyle w:val="F9-Paragraph"/>
        <w:ind w:hanging="502"/>
      </w:pPr>
      <w:r w:rsidRPr="000D3623">
        <w:t xml:space="preserve">Some of the UK’s existing nuclear facilities were designed without accounting for all the </w:t>
      </w:r>
      <w:r w:rsidR="005E2A40">
        <w:t>EHs</w:t>
      </w:r>
      <w:r w:rsidRPr="000D3623">
        <w:t xml:space="preserve"> that are now expected to be addressed. For these facilities the consideration of those </w:t>
      </w:r>
      <w:r w:rsidR="005E2A40">
        <w:t>EHs</w:t>
      </w:r>
      <w:r w:rsidRPr="000D3623">
        <w:t xml:space="preserve"> </w:t>
      </w:r>
      <w:r w:rsidRPr="00044ED9">
        <w:t>has</w:t>
      </w:r>
      <w:r w:rsidRPr="000D3623">
        <w:t xml:space="preserve"> been backfitted into the safety case. This involved de</w:t>
      </w:r>
      <w:r>
        <w:t>fining</w:t>
      </w:r>
      <w:r w:rsidRPr="000D3623">
        <w:t xml:space="preserve"> an </w:t>
      </w:r>
      <w:proofErr w:type="spellStart"/>
      <w:r>
        <w:t>oDBE</w:t>
      </w:r>
      <w:proofErr w:type="spellEnd"/>
      <w:r w:rsidRPr="000D3623">
        <w:t xml:space="preserve"> </w:t>
      </w:r>
      <w:r>
        <w:t xml:space="preserve">and </w:t>
      </w:r>
      <w:proofErr w:type="spellStart"/>
      <w:r>
        <w:t>BoD</w:t>
      </w:r>
      <w:proofErr w:type="spellEnd"/>
      <w:r>
        <w:t xml:space="preserve"> </w:t>
      </w:r>
      <w:r w:rsidRPr="000D3623">
        <w:t xml:space="preserve">(see Section </w:t>
      </w:r>
      <w:r w:rsidR="00EC421E" w:rsidRPr="000D6BF8">
        <w:fldChar w:fldCharType="begin"/>
      </w:r>
      <w:r w:rsidR="00EC421E">
        <w:instrText xml:space="preserve"> REF _Ref138674429 \r \h </w:instrText>
      </w:r>
      <w:r w:rsidR="00221C99">
        <w:instrText xml:space="preserve"> \* MERGEFORMAT </w:instrText>
      </w:r>
      <w:r w:rsidR="00EC421E" w:rsidRPr="000D6BF8">
        <w:fldChar w:fldCharType="separate"/>
      </w:r>
      <w:r w:rsidR="00C668F9">
        <w:rPr>
          <w:cs/>
        </w:rPr>
        <w:t>‎</w:t>
      </w:r>
      <w:r w:rsidR="00C668F9">
        <w:t>5.6</w:t>
      </w:r>
      <w:r w:rsidR="00EC421E" w:rsidRPr="000D6BF8">
        <w:fldChar w:fldCharType="end"/>
      </w:r>
      <w:r w:rsidRPr="000D3623">
        <w:t xml:space="preserve"> above) and then </w:t>
      </w:r>
      <w:r>
        <w:t>evaluating</w:t>
      </w:r>
      <w:r w:rsidRPr="000D3623">
        <w:t xml:space="preserve"> the SSCs to determine whether they meet the </w:t>
      </w:r>
      <w:proofErr w:type="spellStart"/>
      <w:r>
        <w:t>BoD</w:t>
      </w:r>
      <w:proofErr w:type="spellEnd"/>
      <w:r w:rsidRPr="000D3623">
        <w:t xml:space="preserve"> demands. If not, improvements were made in conjunction with ALARP justifications where necessary.</w:t>
      </w:r>
      <w:r w:rsidRPr="00044ED9">
        <w:t xml:space="preserve"> </w:t>
      </w:r>
      <w:r>
        <w:t>With the above in mind t</w:t>
      </w:r>
      <w:r w:rsidRPr="000D3623">
        <w:t xml:space="preserve">he foreseeable scenarios </w:t>
      </w:r>
      <w:r>
        <w:t xml:space="preserve">for modifying the </w:t>
      </w:r>
      <w:proofErr w:type="spellStart"/>
      <w:r>
        <w:t>oDBE</w:t>
      </w:r>
      <w:proofErr w:type="spellEnd"/>
      <w:r>
        <w:t xml:space="preserve"> are </w:t>
      </w:r>
      <w:r w:rsidRPr="000D3623">
        <w:t>discussed below:</w:t>
      </w:r>
    </w:p>
    <w:p w14:paraId="14C302CA" w14:textId="5E38190C" w:rsidR="008F318A" w:rsidRPr="00547634" w:rsidRDefault="00CA28EA" w:rsidP="00AE4DE3">
      <w:pPr>
        <w:pStyle w:val="F9-Paragraph"/>
        <w:numPr>
          <w:ilvl w:val="0"/>
          <w:numId w:val="0"/>
        </w:numPr>
        <w:ind w:left="383"/>
      </w:pPr>
      <w:r>
        <w:t xml:space="preserve">1) </w:t>
      </w:r>
      <w:r w:rsidR="002E5D63">
        <w:t>T</w:t>
      </w:r>
      <w:r w:rsidR="002E5D63" w:rsidRPr="000D3623">
        <w:t xml:space="preserve">he </w:t>
      </w:r>
      <w:proofErr w:type="spellStart"/>
      <w:r w:rsidR="002E5D63">
        <w:t>oDBE</w:t>
      </w:r>
      <w:proofErr w:type="spellEnd"/>
      <w:r w:rsidR="002E5D63" w:rsidRPr="000D3623">
        <w:t xml:space="preserve"> </w:t>
      </w:r>
      <w:r w:rsidR="002E5D63">
        <w:t xml:space="preserve">definition </w:t>
      </w:r>
      <w:r w:rsidR="002E5D63" w:rsidRPr="000D3623">
        <w:t xml:space="preserve">is shown to </w:t>
      </w:r>
      <w:r w:rsidR="002E5D63">
        <w:t>exceed the expectations of SAP EHA.4</w:t>
      </w:r>
    </w:p>
    <w:p w14:paraId="454BA619" w14:textId="578B56C8" w:rsidR="002E5D63" w:rsidRDefault="002E5D63" w:rsidP="00547634">
      <w:pPr>
        <w:pStyle w:val="Bulletlist1"/>
      </w:pPr>
      <w:r w:rsidRPr="000D3623">
        <w:t xml:space="preserve">In this case the </w:t>
      </w:r>
      <w:r w:rsidR="00C45386">
        <w:t>l</w:t>
      </w:r>
      <w:r w:rsidRPr="000D3623">
        <w:t xml:space="preserve">icensee may choose to either maintain the </w:t>
      </w:r>
      <w:r>
        <w:t>oDBE</w:t>
      </w:r>
      <w:r w:rsidRPr="000D3623">
        <w:t xml:space="preserve">, or to </w:t>
      </w:r>
      <w:r>
        <w:t xml:space="preserve">remove excessive conservatism by </w:t>
      </w:r>
      <w:r w:rsidRPr="000D3623">
        <w:t>redefin</w:t>
      </w:r>
      <w:r>
        <w:t>ing</w:t>
      </w:r>
      <w:r w:rsidRPr="000D3623">
        <w:t xml:space="preserve"> </w:t>
      </w:r>
      <w:r>
        <w:t>a rDBE i</w:t>
      </w:r>
      <w:r w:rsidRPr="000D3623">
        <w:t xml:space="preserve">n accordance with Section </w:t>
      </w:r>
      <w:r w:rsidR="00A57D8E">
        <w:rPr>
          <w:highlight w:val="red"/>
        </w:rPr>
        <w:fldChar w:fldCharType="begin"/>
      </w:r>
      <w:r w:rsidR="00A57D8E">
        <w:instrText xml:space="preserve"> REF _Ref138674429 \r \h </w:instrText>
      </w:r>
      <w:r w:rsidR="00A57D8E">
        <w:rPr>
          <w:highlight w:val="red"/>
        </w:rPr>
      </w:r>
      <w:r w:rsidR="00A57D8E">
        <w:rPr>
          <w:highlight w:val="red"/>
        </w:rPr>
        <w:fldChar w:fldCharType="separate"/>
      </w:r>
      <w:r w:rsidR="008B51F7">
        <w:t>5.6</w:t>
      </w:r>
      <w:r w:rsidR="00A57D8E">
        <w:rPr>
          <w:highlight w:val="red"/>
        </w:rPr>
        <w:fldChar w:fldCharType="end"/>
      </w:r>
      <w:r w:rsidRPr="000D3623">
        <w:t xml:space="preserve"> above. The </w:t>
      </w:r>
      <w:r w:rsidR="008F1065">
        <w:t>l</w:t>
      </w:r>
      <w:r w:rsidRPr="000D3623">
        <w:t xml:space="preserve">icensee </w:t>
      </w:r>
      <w:r>
        <w:t xml:space="preserve">will need to decide, with a clear justification, whether to change the BoD and revise the </w:t>
      </w:r>
      <w:r w:rsidRPr="000D3623">
        <w:t>substantiation of SSCs.</w:t>
      </w:r>
      <w:r w:rsidR="00C635A5">
        <w:t xml:space="preserve"> </w:t>
      </w:r>
      <w:r w:rsidRPr="000D3623">
        <w:t xml:space="preserve">This scenario often occurs in new build where, either for GDA, or other one-off facility development, a </w:t>
      </w:r>
      <w:r>
        <w:t>GSE</w:t>
      </w:r>
      <w:r w:rsidRPr="000D3623">
        <w:t>,</w:t>
      </w:r>
      <w:r>
        <w:t xml:space="preserve"> or standardised reference design level</w:t>
      </w:r>
      <w:r w:rsidRPr="000D3623">
        <w:t xml:space="preserve"> </w:t>
      </w:r>
      <w:r>
        <w:t xml:space="preserve">has resulted in a BoD for SSCs that is very conservative. </w:t>
      </w:r>
    </w:p>
    <w:p w14:paraId="37FE7052" w14:textId="11A55DE9" w:rsidR="009C29F5" w:rsidRDefault="00CA28EA" w:rsidP="00AE4DE3">
      <w:pPr>
        <w:pStyle w:val="F9-Paragraph"/>
        <w:numPr>
          <w:ilvl w:val="0"/>
          <w:numId w:val="0"/>
        </w:numPr>
        <w:ind w:left="383"/>
      </w:pPr>
      <w:r>
        <w:lastRenderedPageBreak/>
        <w:t xml:space="preserve">2) </w:t>
      </w:r>
      <w:r w:rsidR="002E5D63">
        <w:t>T</w:t>
      </w:r>
      <w:r w:rsidR="002E5D63" w:rsidRPr="000D3623">
        <w:t xml:space="preserve">he </w:t>
      </w:r>
      <w:proofErr w:type="spellStart"/>
      <w:r w:rsidR="002E5D63">
        <w:t>oDBE</w:t>
      </w:r>
      <w:proofErr w:type="spellEnd"/>
      <w:r w:rsidR="002E5D63" w:rsidRPr="000D3623">
        <w:t xml:space="preserve"> </w:t>
      </w:r>
      <w:r w:rsidR="002E5D63">
        <w:t xml:space="preserve">definition </w:t>
      </w:r>
      <w:r w:rsidR="002E5D63" w:rsidRPr="000D3623">
        <w:t xml:space="preserve">is shown </w:t>
      </w:r>
      <w:r w:rsidR="002E5D63">
        <w:t>not to meet the expectations of SAP EHA.4</w:t>
      </w:r>
    </w:p>
    <w:p w14:paraId="04F103EF" w14:textId="211C3DF6" w:rsidR="002E5D63" w:rsidRPr="000D3623" w:rsidRDefault="002E5D63" w:rsidP="00547634">
      <w:pPr>
        <w:pStyle w:val="Bulletlist1"/>
      </w:pPr>
      <w:r w:rsidRPr="000D3623">
        <w:t xml:space="preserve">In this case the </w:t>
      </w:r>
      <w:r w:rsidR="008F1065">
        <w:t>l</w:t>
      </w:r>
      <w:r w:rsidRPr="000D3623">
        <w:t xml:space="preserve">icensee is expected to </w:t>
      </w:r>
      <w:r>
        <w:t>re</w:t>
      </w:r>
      <w:r w:rsidRPr="000D3623">
        <w:t xml:space="preserve">define </w:t>
      </w:r>
      <w:r>
        <w:t xml:space="preserve">a rDBE </w:t>
      </w:r>
      <w:r w:rsidRPr="000D3623">
        <w:t xml:space="preserve">in accordance with Section </w:t>
      </w:r>
      <w:r w:rsidR="00A57D8E">
        <w:rPr>
          <w:highlight w:val="red"/>
        </w:rPr>
        <w:fldChar w:fldCharType="begin"/>
      </w:r>
      <w:r w:rsidR="00A57D8E">
        <w:instrText xml:space="preserve"> REF _Ref138674429 \r \h </w:instrText>
      </w:r>
      <w:r w:rsidR="00A57D8E">
        <w:rPr>
          <w:highlight w:val="red"/>
        </w:rPr>
      </w:r>
      <w:r w:rsidR="00A57D8E">
        <w:rPr>
          <w:highlight w:val="red"/>
        </w:rPr>
        <w:fldChar w:fldCharType="separate"/>
      </w:r>
      <w:r w:rsidR="008B51F7">
        <w:t>5.6</w:t>
      </w:r>
      <w:r w:rsidR="00A57D8E">
        <w:rPr>
          <w:highlight w:val="red"/>
        </w:rPr>
        <w:fldChar w:fldCharType="end"/>
      </w:r>
      <w:r w:rsidRPr="000D3623">
        <w:t xml:space="preserve">. </w:t>
      </w:r>
      <w:r>
        <w:t xml:space="preserve">The extant BoD will also need to be reviewed to determine whether it represents the rDBE appropriately, or whether the BoD needs to be revised along with the associated SSC </w:t>
      </w:r>
      <w:r w:rsidRPr="000D3623">
        <w:t>substantiations</w:t>
      </w:r>
      <w:r>
        <w:t xml:space="preserve">. </w:t>
      </w:r>
      <w:r w:rsidRPr="000D3623">
        <w:t xml:space="preserve"> </w:t>
      </w:r>
    </w:p>
    <w:p w14:paraId="2D3094A3" w14:textId="6410C1B3" w:rsidR="002E5D63" w:rsidRPr="000D3623" w:rsidRDefault="00CA28EA" w:rsidP="00AE4DE3">
      <w:pPr>
        <w:pStyle w:val="F9-Paragraph"/>
        <w:numPr>
          <w:ilvl w:val="0"/>
          <w:numId w:val="0"/>
        </w:numPr>
        <w:ind w:left="383"/>
      </w:pPr>
      <w:r>
        <w:t xml:space="preserve">3) </w:t>
      </w:r>
      <w:r w:rsidR="002E5D63" w:rsidRPr="000D3623">
        <w:t xml:space="preserve">The </w:t>
      </w:r>
      <w:proofErr w:type="spellStart"/>
      <w:r w:rsidR="002E5D63">
        <w:t>oDBE</w:t>
      </w:r>
      <w:proofErr w:type="spellEnd"/>
      <w:r w:rsidR="002E5D63" w:rsidRPr="000D3623">
        <w:t xml:space="preserve"> is shown </w:t>
      </w:r>
      <w:r w:rsidR="002E5D63">
        <w:t xml:space="preserve">not to </w:t>
      </w:r>
      <w:r w:rsidR="002E5D63" w:rsidRPr="000D6BF8">
        <w:t>fully</w:t>
      </w:r>
      <w:r w:rsidR="002E5D63">
        <w:t xml:space="preserve"> meet the expectations of SAP EHA.4.</w:t>
      </w:r>
    </w:p>
    <w:p w14:paraId="4010A162" w14:textId="20EACFB0" w:rsidR="002E5D63" w:rsidRPr="000D3623" w:rsidRDefault="002E5D63" w:rsidP="00547634">
      <w:pPr>
        <w:pStyle w:val="Bulletlist1"/>
      </w:pPr>
      <w:r>
        <w:t xml:space="preserve">Depending on the significance, </w:t>
      </w:r>
      <w:r w:rsidRPr="000D3623">
        <w:t xml:space="preserve">the </w:t>
      </w:r>
      <w:r w:rsidR="00603C66">
        <w:t>l</w:t>
      </w:r>
      <w:r w:rsidRPr="000D3623">
        <w:t xml:space="preserve">icensee </w:t>
      </w:r>
      <w:r>
        <w:t>may need to define a rDBE</w:t>
      </w:r>
      <w:r w:rsidRPr="000D3623">
        <w:t xml:space="preserve"> in accordance with Section </w:t>
      </w:r>
      <w:r w:rsidR="00A57D8E">
        <w:rPr>
          <w:highlight w:val="red"/>
        </w:rPr>
        <w:fldChar w:fldCharType="begin"/>
      </w:r>
      <w:r w:rsidR="00A57D8E">
        <w:instrText xml:space="preserve"> REF _Ref138674429 \r \h </w:instrText>
      </w:r>
      <w:r w:rsidR="00A57D8E">
        <w:rPr>
          <w:highlight w:val="red"/>
        </w:rPr>
      </w:r>
      <w:r w:rsidR="00A57D8E">
        <w:rPr>
          <w:highlight w:val="red"/>
        </w:rPr>
        <w:fldChar w:fldCharType="separate"/>
      </w:r>
      <w:r w:rsidR="008B51F7">
        <w:t>5.6</w:t>
      </w:r>
      <w:r w:rsidR="00A57D8E">
        <w:rPr>
          <w:highlight w:val="red"/>
        </w:rPr>
        <w:fldChar w:fldCharType="end"/>
      </w:r>
      <w:r w:rsidRPr="000D3623">
        <w:t xml:space="preserve">. </w:t>
      </w:r>
      <w:r>
        <w:t xml:space="preserve">The extant BoD will also need to be reviewed carefully to determine whether it represents the rDBE appropriately, or whether the BoD needs to be revised along with the associated SSC </w:t>
      </w:r>
      <w:r w:rsidRPr="000D3623">
        <w:t>substantiations</w:t>
      </w:r>
      <w:r>
        <w:t>.</w:t>
      </w:r>
      <w:r w:rsidR="009F66CF">
        <w:t xml:space="preserve"> </w:t>
      </w:r>
      <w:r>
        <w:t>An example of t</w:t>
      </w:r>
      <w:r w:rsidRPr="00044ED9">
        <w:t xml:space="preserve">his situation </w:t>
      </w:r>
      <w:r>
        <w:t xml:space="preserve">could be </w:t>
      </w:r>
      <w:r w:rsidRPr="00044ED9">
        <w:t xml:space="preserve">seismic hazard where the </w:t>
      </w:r>
      <w:r>
        <w:t>oDBE may be conservative at some response frequencies but not others. An alternative example could be where the oDBE is shown to be exceeded by a minimal amount. Careful judgement is needed by the inspector to determine the significance of small exceedances and the appropriate approach.</w:t>
      </w:r>
    </w:p>
    <w:p w14:paraId="590C1533" w14:textId="1A17646F" w:rsidR="002E5D63" w:rsidRPr="00FC14E5" w:rsidRDefault="002E5D63" w:rsidP="000D6BF8">
      <w:pPr>
        <w:pStyle w:val="F9-Paragraph"/>
        <w:ind w:hanging="502"/>
      </w:pPr>
      <w:bookmarkStart w:id="902" w:name="_Ref138858491"/>
      <w:r w:rsidRPr="00FC14E5">
        <w:t xml:space="preserve">In situations 2) or 3) above, it may be that SSCs cannot be </w:t>
      </w:r>
      <w:r>
        <w:t xml:space="preserve">adequately </w:t>
      </w:r>
      <w:r w:rsidRPr="00FC14E5">
        <w:t xml:space="preserve">re-substantiated </w:t>
      </w:r>
      <w:r>
        <w:t xml:space="preserve">against a </w:t>
      </w:r>
      <w:proofErr w:type="spellStart"/>
      <w:r>
        <w:t>BoD</w:t>
      </w:r>
      <w:proofErr w:type="spellEnd"/>
      <w:r>
        <w:t xml:space="preserve"> that meets the </w:t>
      </w:r>
      <w:proofErr w:type="spellStart"/>
      <w:r>
        <w:t>r</w:t>
      </w:r>
      <w:r w:rsidRPr="00FC14E5">
        <w:t>DB</w:t>
      </w:r>
      <w:r>
        <w:t>E</w:t>
      </w:r>
      <w:proofErr w:type="spellEnd"/>
      <w:r w:rsidRPr="00FC14E5">
        <w:t xml:space="preserve">. In this scenario, the </w:t>
      </w:r>
      <w:r w:rsidR="00515E53">
        <w:t>l</w:t>
      </w:r>
      <w:r>
        <w:t>icensee</w:t>
      </w:r>
      <w:r w:rsidRPr="00FC14E5">
        <w:t xml:space="preserve"> is expected to identify the </w:t>
      </w:r>
      <w:r>
        <w:t xml:space="preserve">reduced </w:t>
      </w:r>
      <w:proofErr w:type="spellStart"/>
      <w:r>
        <w:t>BoD</w:t>
      </w:r>
      <w:proofErr w:type="spellEnd"/>
      <w:r>
        <w:t xml:space="preserve"> level and associated </w:t>
      </w:r>
      <w:r w:rsidR="005E2A40">
        <w:t>EH</w:t>
      </w:r>
      <w:r>
        <w:t xml:space="preserve"> event definition (in terms of event return period) </w:t>
      </w:r>
      <w:r w:rsidRPr="00FC14E5">
        <w:t>for which the plant can be brought and maintained in a safe state.</w:t>
      </w:r>
      <w:r>
        <w:t xml:space="preserve"> This withstand level will not meet the intent of EHA.4, therefore, to distinguish from a </w:t>
      </w:r>
      <w:proofErr w:type="spellStart"/>
      <w:r>
        <w:t>rDBE</w:t>
      </w:r>
      <w:proofErr w:type="spellEnd"/>
      <w:r>
        <w:t xml:space="preserve"> this can be referred to as a </w:t>
      </w:r>
      <w:r w:rsidRPr="00FC14E5">
        <w:t>SSE</w:t>
      </w:r>
      <w:r w:rsidR="00A430EB">
        <w:t xml:space="preserve"> as introduced in paragraph</w:t>
      </w:r>
      <w:r w:rsidR="001A2DB6">
        <w:t xml:space="preserve"> </w:t>
      </w:r>
      <w:r w:rsidR="001A2DB6">
        <w:fldChar w:fldCharType="begin"/>
      </w:r>
      <w:r w:rsidR="001A2DB6">
        <w:instrText xml:space="preserve"> REF _Ref140064623 \r \h </w:instrText>
      </w:r>
      <w:r w:rsidR="00221C99">
        <w:instrText xml:space="preserve"> \* MERGEFORMAT </w:instrText>
      </w:r>
      <w:r w:rsidR="001A2DB6">
        <w:fldChar w:fldCharType="separate"/>
      </w:r>
      <w:r w:rsidR="001A304B">
        <w:rPr>
          <w:cs/>
        </w:rPr>
        <w:t>‎</w:t>
      </w:r>
      <w:r w:rsidR="001A304B">
        <w:t>49</w:t>
      </w:r>
      <w:r w:rsidR="001A2DB6">
        <w:fldChar w:fldCharType="end"/>
      </w:r>
      <w:r w:rsidRPr="00FC14E5">
        <w:t xml:space="preserve">. </w:t>
      </w:r>
      <w:r>
        <w:t>The inspector should note that t</w:t>
      </w:r>
      <w:r w:rsidRPr="00FC14E5">
        <w:t xml:space="preserve">he gap between the SSE and a </w:t>
      </w:r>
      <w:proofErr w:type="spellStart"/>
      <w:r>
        <w:t>rDBE</w:t>
      </w:r>
      <w:proofErr w:type="spellEnd"/>
      <w:r w:rsidRPr="00FC14E5">
        <w:t xml:space="preserve"> is expected to be justified via an ALARP justification.</w:t>
      </w:r>
      <w:r>
        <w:t xml:space="preserve"> The assessment of which will likely need collaboration with other disciplines.</w:t>
      </w:r>
      <w:bookmarkEnd w:id="902"/>
    </w:p>
    <w:p w14:paraId="3F96353F" w14:textId="6B0BCC22" w:rsidR="002E5D63" w:rsidRPr="00980598" w:rsidRDefault="002E5D63" w:rsidP="000D6BF8">
      <w:pPr>
        <w:pStyle w:val="F9-Paragraph"/>
        <w:ind w:hanging="502"/>
      </w:pPr>
      <w:r>
        <w:t xml:space="preserve">As a </w:t>
      </w:r>
      <w:r w:rsidRPr="00980598">
        <w:t xml:space="preserve">related note, for all such cases, the </w:t>
      </w:r>
      <w:r w:rsidR="00BD5962">
        <w:t>l</w:t>
      </w:r>
      <w:r w:rsidRPr="006E0B0D">
        <w:t>icensee/</w:t>
      </w:r>
      <w:r w:rsidR="00F32D99" w:rsidRPr="006E0B0D">
        <w:t>SLA</w:t>
      </w:r>
      <w:r w:rsidRPr="00980598">
        <w:t xml:space="preserve"> </w:t>
      </w:r>
      <w:r w:rsidR="004B2124">
        <w:t xml:space="preserve">is expected </w:t>
      </w:r>
      <w:r w:rsidRPr="00980598">
        <w:t xml:space="preserve">to provide documentation to clearly define the </w:t>
      </w:r>
      <w:proofErr w:type="spellStart"/>
      <w:r w:rsidRPr="00980598">
        <w:t>oDBE</w:t>
      </w:r>
      <w:proofErr w:type="spellEnd"/>
      <w:r w:rsidRPr="00980598">
        <w:t xml:space="preserve">, </w:t>
      </w:r>
      <w:proofErr w:type="spellStart"/>
      <w:r w:rsidRPr="00980598">
        <w:t>rDBE</w:t>
      </w:r>
      <w:proofErr w:type="spellEnd"/>
      <w:r w:rsidRPr="00980598">
        <w:t xml:space="preserve"> or SSE definitions and to provide a clear link between these and the </w:t>
      </w:r>
      <w:proofErr w:type="spellStart"/>
      <w:r w:rsidRPr="00980598">
        <w:t>BoD</w:t>
      </w:r>
      <w:proofErr w:type="spellEnd"/>
      <w:r w:rsidRPr="00980598">
        <w:t xml:space="preserve"> for SSCs</w:t>
      </w:r>
      <w:r w:rsidRPr="006E0B0D">
        <w:t>.</w:t>
      </w:r>
      <w:r w:rsidR="00F32D99" w:rsidRPr="006E0B0D">
        <w:t xml:space="preserve"> In the case of </w:t>
      </w:r>
      <w:r w:rsidR="009B443A" w:rsidRPr="006E0B0D">
        <w:t>a SLA</w:t>
      </w:r>
      <w:r w:rsidR="00F32D99" w:rsidRPr="006E0B0D">
        <w:t>, ONR’s expectations would be for SAP EHA.4 to be met, therefore,</w:t>
      </w:r>
      <w:r w:rsidR="00CA28EA" w:rsidRPr="006E0B0D">
        <w:t xml:space="preserve"> only situation 1) is anticipated to be relevant.</w:t>
      </w:r>
    </w:p>
    <w:p w14:paraId="3B2993D5" w14:textId="1DF6364B" w:rsidR="003033F4" w:rsidRPr="003033F4" w:rsidRDefault="00E55FF9" w:rsidP="00547634">
      <w:pPr>
        <w:pStyle w:val="Heading2"/>
      </w:pPr>
      <w:bookmarkStart w:id="903" w:name="_Toc138943920"/>
      <w:bookmarkStart w:id="904" w:name="_Toc138943921"/>
      <w:bookmarkStart w:id="905" w:name="_Toc140137269"/>
      <w:bookmarkEnd w:id="903"/>
      <w:bookmarkEnd w:id="904"/>
      <w:r>
        <w:t>Periodic Safety Review</w:t>
      </w:r>
      <w:bookmarkEnd w:id="905"/>
    </w:p>
    <w:p w14:paraId="6310B928" w14:textId="2B313839" w:rsidR="005D1789" w:rsidRPr="006C2B94" w:rsidRDefault="00783232" w:rsidP="000D6BF8">
      <w:pPr>
        <w:pStyle w:val="F9-Paragraph"/>
        <w:ind w:hanging="502"/>
      </w:pPr>
      <w:r>
        <w:t>A common reason for a modification to a safety case</w:t>
      </w:r>
      <w:r w:rsidR="000F1829">
        <w:t>, see section 5.8,</w:t>
      </w:r>
      <w:r>
        <w:t xml:space="preserve"> </w:t>
      </w:r>
      <w:r w:rsidR="00C573F7">
        <w:t xml:space="preserve">is the result of a shortfall identified </w:t>
      </w:r>
      <w:r w:rsidR="003C7B55">
        <w:t xml:space="preserve">during </w:t>
      </w:r>
      <w:r w:rsidR="003C7B55" w:rsidRPr="003C7B55">
        <w:t xml:space="preserve">a </w:t>
      </w:r>
      <w:r w:rsidR="00E10FC0">
        <w:t>PSR</w:t>
      </w:r>
      <w:r w:rsidR="00E47E97">
        <w:t>.</w:t>
      </w:r>
      <w:r w:rsidR="00E10FC0">
        <w:t xml:space="preserve"> </w:t>
      </w:r>
      <w:r w:rsidR="005D1789">
        <w:t xml:space="preserve">When assessing a </w:t>
      </w:r>
      <w:r w:rsidR="00C7470E">
        <w:t>l</w:t>
      </w:r>
      <w:r w:rsidR="005D1789">
        <w:t>icensee’s PSR, the EH inspector</w:t>
      </w:r>
      <w:r w:rsidR="005D1789" w:rsidRPr="00171779">
        <w:t xml:space="preserve"> </w:t>
      </w:r>
      <w:r w:rsidR="005D1789">
        <w:t>will need to consider the depth and breadth of the PSR and the outputs and forward commitments</w:t>
      </w:r>
      <w:r w:rsidR="002C2D0F">
        <w:t>,</w:t>
      </w:r>
      <w:r w:rsidR="005D1789">
        <w:t xml:space="preserve"> to establish whether it is adequate. The scope of the ONR EH assessment should be cognisant of the overall risk posed by the hazard under consideration, the nature of the site and the need for proportionality. TAG 50</w:t>
      </w:r>
      <w:sdt>
        <w:sdtPr>
          <w:id w:val="-2073960009"/>
          <w:citation/>
        </w:sdtPr>
        <w:sdtContent>
          <w:r w:rsidR="005D1789">
            <w:fldChar w:fldCharType="begin"/>
          </w:r>
          <w:r w:rsidR="00CD103E">
            <w:instrText xml:space="preserve">CITATION ONR_TAG50 \l 2057 </w:instrText>
          </w:r>
          <w:r w:rsidR="005D1789">
            <w:fldChar w:fldCharType="separate"/>
          </w:r>
          <w:r w:rsidR="002A4EED">
            <w:t xml:space="preserve"> [32]</w:t>
          </w:r>
          <w:r w:rsidR="005D1789">
            <w:fldChar w:fldCharType="end"/>
          </w:r>
        </w:sdtContent>
      </w:sdt>
      <w:r w:rsidR="005D1789">
        <w:t xml:space="preserve"> should be referred to for further </w:t>
      </w:r>
      <w:r w:rsidR="005D1789" w:rsidRPr="006C2B94">
        <w:t xml:space="preserve">details. </w:t>
      </w:r>
    </w:p>
    <w:p w14:paraId="139C189D" w14:textId="753080DA" w:rsidR="005D1789" w:rsidRPr="006C2B94" w:rsidRDefault="005D1789" w:rsidP="000D6BF8">
      <w:pPr>
        <w:pStyle w:val="F9-Paragraph"/>
        <w:ind w:hanging="502"/>
      </w:pPr>
      <w:r w:rsidRPr="006C2B94">
        <w:t xml:space="preserve">The PSR review of the </w:t>
      </w:r>
      <w:r w:rsidR="007B56DE" w:rsidRPr="006C2B94">
        <w:t>DBE</w:t>
      </w:r>
      <w:r w:rsidRPr="006C2B94">
        <w:t xml:space="preserve"> is expected to be systematic and to cover source data, assumptions and parameterisation, methods, modelling and analysis, </w:t>
      </w:r>
      <w:r w:rsidR="00C20FC3">
        <w:lastRenderedPageBreak/>
        <w:t>v</w:t>
      </w:r>
      <w:r w:rsidR="00C20FC3" w:rsidRPr="00C20FC3">
        <w:t xml:space="preserve">erification </w:t>
      </w:r>
      <w:r w:rsidR="00C20FC3">
        <w:t>and</w:t>
      </w:r>
      <w:r w:rsidR="00C20FC3" w:rsidRPr="00C20FC3">
        <w:t xml:space="preserve"> validatio</w:t>
      </w:r>
      <w:r w:rsidR="00C20FC3">
        <w:t>n,</w:t>
      </w:r>
      <w:r w:rsidR="00C20FC3" w:rsidRPr="00C20FC3" w:rsidDel="00C20FC3">
        <w:t xml:space="preserve"> </w:t>
      </w:r>
      <w:r w:rsidRPr="006C2B94">
        <w:t xml:space="preserve">and results. The review approach may comprise qualitative and/or </w:t>
      </w:r>
      <w:r w:rsidR="00E432F2" w:rsidRPr="006C2B94">
        <w:t xml:space="preserve">quantitative </w:t>
      </w:r>
      <w:r w:rsidRPr="006C2B94">
        <w:t xml:space="preserve">methods. The inspector will need to judge whether the chosen evaluation methods are appropriate to the context, and sufficiently </w:t>
      </w:r>
      <w:r w:rsidR="00E432F2" w:rsidRPr="006C2B94">
        <w:t>rig</w:t>
      </w:r>
      <w:r w:rsidR="006C7654" w:rsidRPr="006C2B94">
        <w:t xml:space="preserve">orous </w:t>
      </w:r>
      <w:r w:rsidRPr="006C2B94">
        <w:t xml:space="preserve">to understand potential changes to the hazard. </w:t>
      </w:r>
    </w:p>
    <w:p w14:paraId="6668F3C8" w14:textId="0011C287" w:rsidR="005D1789" w:rsidRDefault="005D1789" w:rsidP="000D6BF8">
      <w:pPr>
        <w:pStyle w:val="F9-Paragraph"/>
        <w:ind w:hanging="502"/>
      </w:pPr>
      <w:r w:rsidRPr="006C2B94">
        <w:t xml:space="preserve">For hazards subject to temporal change due to climate change affects, the inspector may judge it is more </w:t>
      </w:r>
      <w:r>
        <w:t xml:space="preserve">appropriate and efficient for the </w:t>
      </w:r>
      <w:r w:rsidR="0000649C">
        <w:t>DBE</w:t>
      </w:r>
      <w:r>
        <w:t xml:space="preserve"> to be rederived on the PSR periodicity.</w:t>
      </w:r>
    </w:p>
    <w:p w14:paraId="51AE9E65" w14:textId="44F6EB0C" w:rsidR="00842516" w:rsidRPr="00547634" w:rsidRDefault="005D1789" w:rsidP="000D6BF8">
      <w:pPr>
        <w:pStyle w:val="F9-Paragraph"/>
        <w:ind w:hanging="502"/>
      </w:pPr>
      <w:r>
        <w:t xml:space="preserve">Where a change in </w:t>
      </w:r>
      <w:r w:rsidR="0000649C">
        <w:t>DBE</w:t>
      </w:r>
      <w:r>
        <w:t xml:space="preserve"> is considered likely from the PSR review, the inspector should </w:t>
      </w:r>
      <w:r w:rsidR="00307403">
        <w:t xml:space="preserve">refer to the scenarios in Section </w:t>
      </w:r>
      <w:r w:rsidR="00A01E40">
        <w:fldChar w:fldCharType="begin"/>
      </w:r>
      <w:r w:rsidR="00A01E40">
        <w:instrText xml:space="preserve"> REF _Ref138862775 \r \h </w:instrText>
      </w:r>
      <w:r w:rsidR="00221C99">
        <w:instrText xml:space="preserve"> \* MERGEFORMAT </w:instrText>
      </w:r>
      <w:r w:rsidR="00A01E40">
        <w:fldChar w:fldCharType="separate"/>
      </w:r>
      <w:r w:rsidR="008B51F7">
        <w:t>5.8</w:t>
      </w:r>
      <w:r w:rsidR="00A01E40">
        <w:fldChar w:fldCharType="end"/>
      </w:r>
      <w:r w:rsidR="00307403">
        <w:t xml:space="preserve"> above</w:t>
      </w:r>
      <w:r w:rsidR="000E5973">
        <w:t xml:space="preserve"> and consider the </w:t>
      </w:r>
      <w:r>
        <w:t xml:space="preserve">adequacy of the </w:t>
      </w:r>
      <w:r w:rsidR="00B7369B">
        <w:t>l</w:t>
      </w:r>
      <w:r>
        <w:t xml:space="preserve">icensee’s actions and timescales, see </w:t>
      </w:r>
      <w:sdt>
        <w:sdtPr>
          <w:id w:val="-1149518785"/>
          <w:citation/>
        </w:sdtPr>
        <w:sdtContent>
          <w:r>
            <w:fldChar w:fldCharType="begin"/>
          </w:r>
          <w:r w:rsidR="00CD103E">
            <w:instrText xml:space="preserve">CITATION ONR_TAG50 \l 2057 </w:instrText>
          </w:r>
          <w:r>
            <w:fldChar w:fldCharType="separate"/>
          </w:r>
          <w:r w:rsidR="002A4EED">
            <w:t>[32]</w:t>
          </w:r>
          <w:r>
            <w:fldChar w:fldCharType="end"/>
          </w:r>
        </w:sdtContent>
      </w:sdt>
      <w:r>
        <w:t>.</w:t>
      </w:r>
    </w:p>
    <w:p w14:paraId="4168977B" w14:textId="5A06D6D7" w:rsidR="00306F5A" w:rsidRPr="00547634" w:rsidRDefault="00706C82" w:rsidP="00706C82">
      <w:pPr>
        <w:pStyle w:val="Heading2"/>
      </w:pPr>
      <w:bookmarkStart w:id="906" w:name="Para5_15"/>
      <w:bookmarkStart w:id="907" w:name="_Toc471286683"/>
      <w:bookmarkStart w:id="908" w:name="_Toc471286684"/>
      <w:bookmarkStart w:id="909" w:name="_Toc471286685"/>
      <w:bookmarkStart w:id="910" w:name="_Toc471286686"/>
      <w:bookmarkStart w:id="911" w:name="_Toc471286687"/>
      <w:bookmarkStart w:id="912" w:name="_Toc471286688"/>
      <w:bookmarkStart w:id="913" w:name="_Toc471286689"/>
      <w:bookmarkStart w:id="914" w:name="_Toc471286690"/>
      <w:bookmarkStart w:id="915" w:name="_Toc471286691"/>
      <w:bookmarkStart w:id="916" w:name="_Toc471286692"/>
      <w:bookmarkStart w:id="917" w:name="_Toc471286693"/>
      <w:bookmarkStart w:id="918" w:name="_Toc471286694"/>
      <w:bookmarkStart w:id="919" w:name="_Toc138943942"/>
      <w:bookmarkStart w:id="920" w:name="_Toc138943943"/>
      <w:bookmarkStart w:id="921" w:name="_Toc138943944"/>
      <w:bookmarkStart w:id="922" w:name="_Toc140137270"/>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r w:rsidRPr="00547634">
        <w:t xml:space="preserve">Interface </w:t>
      </w:r>
      <w:r w:rsidR="00B230E6" w:rsidRPr="00547634">
        <w:t>of External Hazards with other Disciplines</w:t>
      </w:r>
      <w:bookmarkEnd w:id="922"/>
    </w:p>
    <w:p w14:paraId="52B834D8" w14:textId="625FC404" w:rsidR="00EE6E59" w:rsidRPr="00547634" w:rsidRDefault="00512906" w:rsidP="003D4510">
      <w:pPr>
        <w:pStyle w:val="Heading3"/>
      </w:pPr>
      <w:r w:rsidRPr="00F06117">
        <w:t>Interface</w:t>
      </w:r>
      <w:r w:rsidRPr="00512906">
        <w:t xml:space="preserve"> of </w:t>
      </w:r>
      <w:r w:rsidR="002079B5">
        <w:t>e</w:t>
      </w:r>
      <w:r w:rsidRPr="00512906">
        <w:t xml:space="preserve">xternal </w:t>
      </w:r>
      <w:r w:rsidR="002079B5">
        <w:t>h</w:t>
      </w:r>
      <w:r w:rsidRPr="00512906">
        <w:t xml:space="preserve">azards with other </w:t>
      </w:r>
      <w:r w:rsidR="002079B5">
        <w:t>d</w:t>
      </w:r>
      <w:r w:rsidRPr="00512906">
        <w:t>isciplines</w:t>
      </w:r>
    </w:p>
    <w:p w14:paraId="1B0386D1" w14:textId="282CE8F0" w:rsidR="00370538" w:rsidRPr="00547634" w:rsidRDefault="00370538" w:rsidP="000D6BF8">
      <w:pPr>
        <w:pStyle w:val="F9-Paragraph"/>
        <w:ind w:hanging="502"/>
      </w:pPr>
      <w:r w:rsidRPr="00547634">
        <w:t xml:space="preserve">The EH inspector </w:t>
      </w:r>
      <w:r w:rsidR="006D487C">
        <w:t>may</w:t>
      </w:r>
      <w:r w:rsidR="006D487C" w:rsidRPr="00547634">
        <w:t xml:space="preserve"> </w:t>
      </w:r>
      <w:r w:rsidRPr="00547634">
        <w:t>liaise with specialist inspectors from other disciplines to ensure that interfaces are accounted fo</w:t>
      </w:r>
      <w:r w:rsidR="00EC11F7" w:rsidRPr="00547634">
        <w:t>r</w:t>
      </w:r>
      <w:r w:rsidRPr="00547634">
        <w:t xml:space="preserve">, refer to paragraph </w:t>
      </w:r>
      <w:r w:rsidRPr="00547634">
        <w:fldChar w:fldCharType="begin"/>
      </w:r>
      <w:r w:rsidRPr="00547634">
        <w:instrText xml:space="preserve"> REF _Ref473995918 \r \h  \* MERGEFORMAT </w:instrText>
      </w:r>
      <w:r w:rsidRPr="00547634">
        <w:fldChar w:fldCharType="separate"/>
      </w:r>
      <w:r w:rsidR="008B51F7">
        <w:t>31</w:t>
      </w:r>
      <w:r w:rsidRPr="00547634">
        <w:fldChar w:fldCharType="end"/>
      </w:r>
      <w:r w:rsidRPr="00547634">
        <w:t xml:space="preserve"> and Table 3. This is particularly important when considering consequential hazards, where appropriate expertise may lie in other disciplines, such as internal hazards, civil engineering, mechanical engineering</w:t>
      </w:r>
      <w:r w:rsidR="00A924AD" w:rsidRPr="00A924AD">
        <w:t>, or structural integrity</w:t>
      </w:r>
      <w:r w:rsidRPr="00547634">
        <w:t>.</w:t>
      </w:r>
    </w:p>
    <w:p w14:paraId="18E80EC5" w14:textId="64A49F95" w:rsidR="00B3218C" w:rsidRPr="006E0B0D" w:rsidRDefault="00B3218C" w:rsidP="00F03BB8">
      <w:pPr>
        <w:pStyle w:val="Heading3"/>
      </w:pPr>
      <w:r w:rsidRPr="006E0B0D">
        <w:t xml:space="preserve">Post </w:t>
      </w:r>
      <w:r w:rsidR="002079B5" w:rsidRPr="006E0B0D">
        <w:t>e</w:t>
      </w:r>
      <w:r w:rsidRPr="006E0B0D">
        <w:t xml:space="preserve">xternal </w:t>
      </w:r>
      <w:r w:rsidR="002079B5" w:rsidRPr="006E0B0D">
        <w:t>h</w:t>
      </w:r>
      <w:r w:rsidRPr="006E0B0D">
        <w:t xml:space="preserve">azards </w:t>
      </w:r>
      <w:r w:rsidR="002079B5" w:rsidRPr="006E0B0D">
        <w:t>e</w:t>
      </w:r>
      <w:r w:rsidRPr="006E0B0D">
        <w:t xml:space="preserve">vent </w:t>
      </w:r>
      <w:r w:rsidR="002079B5" w:rsidRPr="006E0B0D">
        <w:t>o</w:t>
      </w:r>
      <w:r w:rsidRPr="006E0B0D">
        <w:t>perations</w:t>
      </w:r>
    </w:p>
    <w:p w14:paraId="6C07BF2E" w14:textId="7ED638FC" w:rsidR="000A1B21" w:rsidRPr="00E045D9" w:rsidRDefault="000A1B21" w:rsidP="006E0B0D">
      <w:pPr>
        <w:pStyle w:val="Heading4"/>
      </w:pPr>
      <w:r w:rsidRPr="00E045D9">
        <w:t>Post design basis event requirements</w:t>
      </w:r>
    </w:p>
    <w:p w14:paraId="003E32DD" w14:textId="45D60A15" w:rsidR="000A1B21" w:rsidRPr="00E045D9" w:rsidRDefault="000A1B21" w:rsidP="000D6BF8">
      <w:pPr>
        <w:pStyle w:val="F9-Paragraph"/>
        <w:ind w:hanging="502"/>
      </w:pPr>
      <w:r w:rsidRPr="00E045D9">
        <w:t>The requirements for SSCs to remain operational following a design basis external event vary by system and facility. The safety functional requirements should be clear whether the requirement is for continued operation, a single operation or to not degrade or impact upon other systems. For example</w:t>
      </w:r>
      <w:r w:rsidR="00384F12">
        <w:t>,</w:t>
      </w:r>
      <w:r w:rsidRPr="00E045D9">
        <w:t xml:space="preserve"> under a seismic load the SFR for a crane may </w:t>
      </w:r>
      <w:r w:rsidR="00384F12" w:rsidRPr="00E045D9">
        <w:t>be</w:t>
      </w:r>
      <w:r w:rsidRPr="00E045D9">
        <w:t xml:space="preserve"> to not collapse, to continue to support a load or to be available to operate following the event. These clearly place significantly different design and substantiation requirements on the systems within the crane.</w:t>
      </w:r>
    </w:p>
    <w:p w14:paraId="6D31F22B" w14:textId="3070919F" w:rsidR="000A1B21" w:rsidRPr="00E045D9" w:rsidRDefault="000A1B21" w:rsidP="000D6BF8">
      <w:pPr>
        <w:pStyle w:val="F9-Paragraph"/>
        <w:ind w:hanging="502"/>
      </w:pPr>
      <w:r w:rsidRPr="00E045D9">
        <w:t xml:space="preserve">The inspector </w:t>
      </w:r>
      <w:r w:rsidR="00952344">
        <w:t>may</w:t>
      </w:r>
      <w:r w:rsidR="00952344" w:rsidRPr="00E045D9">
        <w:t xml:space="preserve"> </w:t>
      </w:r>
      <w:r w:rsidRPr="00E045D9">
        <w:t xml:space="preserve">seek clarity from the safety case on the required response of the SSC under design basis loads and the safety functional requirements after an event. </w:t>
      </w:r>
      <w:r w:rsidRPr="000D6BF8">
        <w:t>The safety measures should be shown to be capable of bringing the facility to a stable, safe state following the design basis fault and to remain in the state following the event.</w:t>
      </w:r>
      <w:r w:rsidRPr="00E045D9">
        <w:t xml:space="preserve"> The requirement for safety function after an event should be explicitly stated in </w:t>
      </w:r>
      <w:r w:rsidR="0077008E">
        <w:t xml:space="preserve">the </w:t>
      </w:r>
      <w:r w:rsidR="00F37880">
        <w:t xml:space="preserve">SFRs in </w:t>
      </w:r>
      <w:r w:rsidRPr="00E045D9">
        <w:t xml:space="preserve">the safety case. </w:t>
      </w:r>
    </w:p>
    <w:p w14:paraId="30244A11" w14:textId="77777777" w:rsidR="000A1B21" w:rsidRPr="00E045D9" w:rsidRDefault="000A1B21" w:rsidP="006E0B0D">
      <w:pPr>
        <w:pStyle w:val="Heading4"/>
      </w:pPr>
      <w:r w:rsidRPr="00E045D9">
        <w:t>Repeat events</w:t>
      </w:r>
    </w:p>
    <w:p w14:paraId="7B3A4C5B" w14:textId="6165928D" w:rsidR="000A1B21" w:rsidRPr="00E045D9" w:rsidRDefault="000A1B21" w:rsidP="000D6BF8">
      <w:pPr>
        <w:pStyle w:val="F9-Paragraph"/>
        <w:ind w:hanging="502"/>
      </w:pPr>
      <w:r w:rsidRPr="00E045D9">
        <w:t xml:space="preserve">The </w:t>
      </w:r>
      <w:r w:rsidR="00F4254E">
        <w:t>i</w:t>
      </w:r>
      <w:r w:rsidRPr="00E045D9">
        <w:t xml:space="preserve">nspector </w:t>
      </w:r>
      <w:r w:rsidR="00F4254E">
        <w:t>may</w:t>
      </w:r>
      <w:r w:rsidR="00F4254E" w:rsidRPr="00E045D9">
        <w:t xml:space="preserve"> </w:t>
      </w:r>
      <w:r w:rsidRPr="00E045D9">
        <w:t>seek confirmation that the facility can reach a safe state and remain in the state under foreseeable repeated loads from external hazards. Where an external hazard is part of a wider event</w:t>
      </w:r>
      <w:r w:rsidR="00026AE1">
        <w:t>,</w:t>
      </w:r>
      <w:r w:rsidRPr="00E045D9">
        <w:t xml:space="preserve"> the predictable associated loads should be considered in the facility’s response to a design basis load. For example:</w:t>
      </w:r>
    </w:p>
    <w:p w14:paraId="06904BA1" w14:textId="77777777" w:rsidR="000A1B21" w:rsidRPr="00E045D9" w:rsidRDefault="000A1B21" w:rsidP="000D6BF8">
      <w:pPr>
        <w:pStyle w:val="F9-Paragraph"/>
        <w:ind w:hanging="502"/>
      </w:pPr>
      <w:r w:rsidRPr="00E045D9">
        <w:lastRenderedPageBreak/>
        <w:t xml:space="preserve">A storm which places a design basis wind load on a facility would be expected to also place lower wind speeds before and after the peak and have associated rainfall. </w:t>
      </w:r>
    </w:p>
    <w:p w14:paraId="68B209AC" w14:textId="77777777" w:rsidR="000A1B21" w:rsidRPr="00E045D9" w:rsidRDefault="000A1B21" w:rsidP="000D6BF8">
      <w:pPr>
        <w:pStyle w:val="F9-Paragraph"/>
        <w:ind w:hanging="502"/>
      </w:pPr>
      <w:r w:rsidRPr="00E045D9">
        <w:t>A design basis rainfall event would be expected to be associated with lower but significant rainfall events before and after the event.</w:t>
      </w:r>
    </w:p>
    <w:p w14:paraId="1129EF71" w14:textId="77777777" w:rsidR="000A1B21" w:rsidRPr="00E045D9" w:rsidRDefault="000A1B21" w:rsidP="000D6BF8">
      <w:pPr>
        <w:pStyle w:val="F9-Paragraph"/>
        <w:ind w:hanging="502"/>
      </w:pPr>
      <w:r w:rsidRPr="00E045D9">
        <w:t>Seismic events would be expected to have aftershocks.</w:t>
      </w:r>
    </w:p>
    <w:p w14:paraId="10D3815E" w14:textId="5E62EF75" w:rsidR="000A1B21" w:rsidRPr="00E045D9" w:rsidRDefault="000A1B21" w:rsidP="000D6BF8">
      <w:pPr>
        <w:pStyle w:val="F9-Paragraph"/>
        <w:ind w:hanging="502"/>
      </w:pPr>
      <w:r w:rsidRPr="00E045D9">
        <w:t>Where an event less onerous than the design basis event is defined in the facility safety case, such as an operational basis e</w:t>
      </w:r>
      <w:r w:rsidR="00745F2B">
        <w:t>vent</w:t>
      </w:r>
      <w:r w:rsidRPr="00E045D9">
        <w:t xml:space="preserve"> (OBE), no system structure or component should be impaired by the repeated occurrence of the event.</w:t>
      </w:r>
    </w:p>
    <w:p w14:paraId="1D16B949" w14:textId="77777777" w:rsidR="000A1B21" w:rsidRPr="00E045D9" w:rsidRDefault="000A1B21" w:rsidP="006E0B0D">
      <w:pPr>
        <w:pStyle w:val="Heading4"/>
      </w:pPr>
      <w:r w:rsidRPr="00E045D9">
        <w:t>Emergency planning</w:t>
      </w:r>
    </w:p>
    <w:p w14:paraId="186B29DC" w14:textId="61717A2E" w:rsidR="00A16EE2" w:rsidRPr="006E0B0D" w:rsidRDefault="000A1B21" w:rsidP="000D6BF8">
      <w:pPr>
        <w:pStyle w:val="F9-Paragraph"/>
        <w:ind w:hanging="502"/>
      </w:pPr>
      <w:r w:rsidRPr="00E045D9">
        <w:t xml:space="preserve">Any reliance on external services or support should be considered in coordination with the emergency plan. This may include consideration of the resilience of off-site infrastructure or the continued applicability of emergency response guidelines following a </w:t>
      </w:r>
      <w:r w:rsidR="00404574">
        <w:t>DB</w:t>
      </w:r>
      <w:r w:rsidRPr="00E045D9">
        <w:t xml:space="preserve"> </w:t>
      </w:r>
      <w:r w:rsidR="003069A7">
        <w:t xml:space="preserve">or </w:t>
      </w:r>
      <w:r w:rsidR="00404574">
        <w:t>BDB</w:t>
      </w:r>
      <w:r w:rsidR="003069A7">
        <w:t xml:space="preserve"> </w:t>
      </w:r>
      <w:r w:rsidRPr="00E045D9">
        <w:t>external event</w:t>
      </w:r>
      <w:r w:rsidR="00F835A9">
        <w:t>.</w:t>
      </w:r>
    </w:p>
    <w:p w14:paraId="12038EC5" w14:textId="2332ED7D" w:rsidR="00E40D9A" w:rsidRPr="004F6D99" w:rsidRDefault="00E40D9A" w:rsidP="00E40D9A">
      <w:pPr>
        <w:pStyle w:val="Heading3"/>
      </w:pPr>
      <w:bookmarkStart w:id="923" w:name="_Ref475373630"/>
      <w:bookmarkStart w:id="924" w:name="_Ref475516547"/>
      <w:bookmarkStart w:id="925" w:name="_Ref475516552"/>
      <w:r w:rsidRPr="004F6D99">
        <w:t xml:space="preserve">Emergency </w:t>
      </w:r>
      <w:r w:rsidR="002079B5">
        <w:t>p</w:t>
      </w:r>
      <w:r w:rsidRPr="004F6D99">
        <w:t>reparedness</w:t>
      </w:r>
      <w:bookmarkEnd w:id="923"/>
      <w:bookmarkEnd w:id="924"/>
      <w:bookmarkEnd w:id="925"/>
      <w:r w:rsidRPr="004F6D99">
        <w:t xml:space="preserve"> </w:t>
      </w:r>
    </w:p>
    <w:p w14:paraId="2D88D843" w14:textId="4B687223" w:rsidR="00E40D9A" w:rsidRPr="004F6D99" w:rsidRDefault="00E40D9A" w:rsidP="000D6BF8">
      <w:pPr>
        <w:pStyle w:val="F9-Paragraph"/>
        <w:ind w:hanging="502"/>
      </w:pPr>
      <w:bookmarkStart w:id="926" w:name="_Ref473546824"/>
      <w:bookmarkStart w:id="927" w:name="_Ref473547612"/>
      <w:r w:rsidRPr="004F6D99">
        <w:t xml:space="preserve">SAP AM.1 provides an overview of the requirements for emergency preparedness. The potential effects of EHs should have been considered as part of the hazard identification and analysis process, as discussed </w:t>
      </w:r>
      <w:r w:rsidR="00361113">
        <w:t xml:space="preserve">in Sections </w:t>
      </w:r>
      <w:r w:rsidR="00361113">
        <w:fldChar w:fldCharType="begin"/>
      </w:r>
      <w:r w:rsidR="00361113">
        <w:instrText xml:space="preserve"> REF _Ref138670847 \r \h </w:instrText>
      </w:r>
      <w:r w:rsidR="00514A14">
        <w:instrText xml:space="preserve"> \* MERGEFORMAT </w:instrText>
      </w:r>
      <w:r w:rsidR="00361113">
        <w:fldChar w:fldCharType="separate"/>
      </w:r>
      <w:r w:rsidR="008B51F7">
        <w:t>5.2</w:t>
      </w:r>
      <w:r w:rsidR="00361113">
        <w:fldChar w:fldCharType="end"/>
      </w:r>
      <w:r w:rsidR="00361113">
        <w:t xml:space="preserve">, </w:t>
      </w:r>
      <w:r w:rsidR="00361113">
        <w:fldChar w:fldCharType="begin"/>
      </w:r>
      <w:r w:rsidR="00361113">
        <w:instrText xml:space="preserve"> REF _Ref138931870 \r \h </w:instrText>
      </w:r>
      <w:r w:rsidR="00514A14">
        <w:instrText xml:space="preserve"> \* MERGEFORMAT </w:instrText>
      </w:r>
      <w:r w:rsidR="00361113">
        <w:fldChar w:fldCharType="separate"/>
      </w:r>
      <w:r w:rsidR="008B51F7">
        <w:t>5.3</w:t>
      </w:r>
      <w:r w:rsidR="00361113">
        <w:fldChar w:fldCharType="end"/>
      </w:r>
      <w:r w:rsidR="00CE5124">
        <w:t xml:space="preserve"> and </w:t>
      </w:r>
      <w:r w:rsidR="00361113">
        <w:fldChar w:fldCharType="begin"/>
      </w:r>
      <w:r w:rsidR="00361113">
        <w:instrText xml:space="preserve"> REF _Ref138756012 \r \h </w:instrText>
      </w:r>
      <w:r w:rsidR="00514A14">
        <w:instrText xml:space="preserve"> \* MERGEFORMAT </w:instrText>
      </w:r>
      <w:r w:rsidR="00361113">
        <w:fldChar w:fldCharType="separate"/>
      </w:r>
      <w:r w:rsidR="008B51F7">
        <w:t>5.4</w:t>
      </w:r>
      <w:r w:rsidR="00361113">
        <w:fldChar w:fldCharType="end"/>
      </w:r>
      <w:r w:rsidR="00436A88">
        <w:t>,</w:t>
      </w:r>
      <w:r w:rsidR="00361113">
        <w:t xml:space="preserve"> </w:t>
      </w:r>
      <w:r w:rsidRPr="004F6D99">
        <w:t>and used to inform the site’s emergency plan and arrangements under LC</w:t>
      </w:r>
      <w:r w:rsidR="00174C97">
        <w:t xml:space="preserve"> </w:t>
      </w:r>
      <w:r w:rsidRPr="004F6D99">
        <w:t xml:space="preserve">11. There are often specific requirements for EHs, </w:t>
      </w:r>
      <w:r w:rsidR="00BF5FCB">
        <w:t xml:space="preserve">of </w:t>
      </w:r>
      <w:r w:rsidRPr="004F6D99">
        <w:t>which the inspector should be aware. Typically, these include</w:t>
      </w:r>
      <w:bookmarkEnd w:id="926"/>
      <w:bookmarkEnd w:id="927"/>
      <w:r w:rsidRPr="004F6D99">
        <w:t>:</w:t>
      </w:r>
    </w:p>
    <w:p w14:paraId="75DD3AC2" w14:textId="77777777" w:rsidR="00E40D9A" w:rsidRPr="004F6D99" w:rsidRDefault="00E40D9A" w:rsidP="00547634">
      <w:pPr>
        <w:pStyle w:val="Bulletlist1"/>
        <w:spacing w:before="120"/>
      </w:pPr>
      <w:r w:rsidRPr="004F6D99">
        <w:t xml:space="preserve">Availability of long-term weather forecasting and storm forecasts, and a process for obtaining these data. </w:t>
      </w:r>
    </w:p>
    <w:p w14:paraId="43241C10" w14:textId="77777777" w:rsidR="00E40D9A" w:rsidRPr="004F6D99" w:rsidRDefault="00E40D9A" w:rsidP="00547634">
      <w:pPr>
        <w:pStyle w:val="Bulletlist1"/>
        <w:spacing w:before="120"/>
      </w:pPr>
      <w:r w:rsidRPr="004F6D99">
        <w:t xml:space="preserve">Availability of equipment to prevent flood water access into buildings, use of dam boards etc. </w:t>
      </w:r>
    </w:p>
    <w:p w14:paraId="5B5567C1" w14:textId="77777777" w:rsidR="00E40D9A" w:rsidRPr="004F6D99" w:rsidRDefault="00E40D9A" w:rsidP="00547634">
      <w:pPr>
        <w:pStyle w:val="Bulletlist1"/>
        <w:spacing w:before="120"/>
      </w:pPr>
      <w:r w:rsidRPr="004F6D99">
        <w:t xml:space="preserve">Availability of access routes onto / off site for essential equipment if local flood / wind damage excludes normal routes. </w:t>
      </w:r>
    </w:p>
    <w:p w14:paraId="767A3E10" w14:textId="77777777" w:rsidR="00E40D9A" w:rsidRPr="004F6D99" w:rsidRDefault="00E40D9A" w:rsidP="00547634">
      <w:pPr>
        <w:pStyle w:val="Bulletlist1"/>
        <w:spacing w:before="120"/>
      </w:pPr>
      <w:r w:rsidRPr="004F6D99">
        <w:t xml:space="preserve">Availability of emergency equipment to repair damaged systems following a severe EH. </w:t>
      </w:r>
    </w:p>
    <w:p w14:paraId="4AABDBAE" w14:textId="77777777" w:rsidR="00E40D9A" w:rsidRPr="004F6D99" w:rsidRDefault="00E40D9A" w:rsidP="00547634">
      <w:pPr>
        <w:pStyle w:val="Bulletlist1"/>
        <w:spacing w:before="120"/>
      </w:pPr>
      <w:r w:rsidRPr="004F6D99">
        <w:t>Availability of staff and workers that can be called upon in response to bad weather warnings to complete any necessary hazard mitigation actions, before the weather deteriorates to a level where worker safety becomes an issue.</w:t>
      </w:r>
    </w:p>
    <w:p w14:paraId="3E178365" w14:textId="461D0ED1" w:rsidR="00E40D9A" w:rsidRPr="00547634" w:rsidRDefault="00E40D9A" w:rsidP="00547634">
      <w:pPr>
        <w:pStyle w:val="Bulletlist1"/>
        <w:spacing w:before="120"/>
      </w:pPr>
      <w:r w:rsidRPr="00C26FE9">
        <w:t xml:space="preserve">Protection of emergency control centres and access points and associated equipment against EHs. </w:t>
      </w:r>
    </w:p>
    <w:p w14:paraId="271883B9" w14:textId="10FA03C4" w:rsidR="00E40D9A" w:rsidRPr="00E1203C" w:rsidRDefault="00E40D9A" w:rsidP="00547634">
      <w:pPr>
        <w:pStyle w:val="Bulletlist1"/>
        <w:spacing w:before="120"/>
      </w:pPr>
      <w:r w:rsidRPr="00C26FE9">
        <w:t>Requirement of a facility</w:t>
      </w:r>
      <w:r w:rsidRPr="004F6D99">
        <w:t xml:space="preserve"> to maintain a degree of self-reliance during and following EHs that affect the surrounding regions as well as the site. Typically, </w:t>
      </w:r>
      <w:r w:rsidRPr="00E1203C">
        <w:t xml:space="preserve">ONR would expect a site to remain self-sufficient for a period of </w:t>
      </w:r>
      <w:r w:rsidR="0089279C">
        <w:t xml:space="preserve">at least </w:t>
      </w:r>
      <w:r w:rsidRPr="00E1203C">
        <w:t xml:space="preserve">72 hours. </w:t>
      </w:r>
    </w:p>
    <w:p w14:paraId="7282155D" w14:textId="45DD5405" w:rsidR="00E40D9A" w:rsidRPr="004F6D99" w:rsidRDefault="00E40D9A" w:rsidP="00547634">
      <w:pPr>
        <w:pStyle w:val="Bulletlist1"/>
        <w:spacing w:before="120"/>
      </w:pPr>
      <w:r w:rsidRPr="00E1203C">
        <w:lastRenderedPageBreak/>
        <w:t xml:space="preserve">On-site instrumentation </w:t>
      </w:r>
      <w:r w:rsidRPr="004F6D99">
        <w:t>to provide input to Operating Rules relating to use of facilities in given circumstances, e.g., anemometers</w:t>
      </w:r>
      <w:r w:rsidR="002E2D09">
        <w:t xml:space="preserve">, </w:t>
      </w:r>
      <w:r w:rsidR="00564034">
        <w:t>seismometers etc.</w:t>
      </w:r>
      <w:r w:rsidRPr="004F6D99">
        <w:t xml:space="preserve">. </w:t>
      </w:r>
      <w:r w:rsidR="001A1950">
        <w:t>Q</w:t>
      </w:r>
      <w:r w:rsidR="00FF5D9D">
        <w:t>ualification of s</w:t>
      </w:r>
      <w:r w:rsidR="00B40E03">
        <w:t>uch instrumentation</w:t>
      </w:r>
      <w:r w:rsidR="00FF5D9D">
        <w:t xml:space="preserve"> against </w:t>
      </w:r>
      <w:r w:rsidR="00B029D1">
        <w:t xml:space="preserve">relevant hazards </w:t>
      </w:r>
      <w:r w:rsidR="00B04CB3">
        <w:t xml:space="preserve">needs to be considered. </w:t>
      </w:r>
    </w:p>
    <w:p w14:paraId="037A83BB" w14:textId="19F0852D" w:rsidR="00E40D9A" w:rsidRPr="004F6D99" w:rsidRDefault="0063283F" w:rsidP="000D6BF8">
      <w:pPr>
        <w:pStyle w:val="F9-Paragraph"/>
        <w:ind w:hanging="502"/>
      </w:pPr>
      <w:r>
        <w:t>EHs have the potential to prevent required operator actions</w:t>
      </w:r>
      <w:r w:rsidR="00B90CCE">
        <w:t>, or at least hinder them</w:t>
      </w:r>
      <w:r w:rsidR="00A67D10">
        <w:t>.</w:t>
      </w:r>
      <w:r w:rsidR="00727565">
        <w:t xml:space="preserve"> </w:t>
      </w:r>
      <w:r w:rsidR="00A67D10">
        <w:t>H</w:t>
      </w:r>
      <w:r w:rsidR="00727565">
        <w:t>ence</w:t>
      </w:r>
      <w:r>
        <w:t xml:space="preserve"> </w:t>
      </w:r>
      <w:r w:rsidR="00727565">
        <w:t>t</w:t>
      </w:r>
      <w:r w:rsidR="00E40D9A" w:rsidRPr="004F6D99">
        <w:t xml:space="preserve">he claims made on operator actions during and following severe EHs should be reviewed carefully from a practical standpoint and, wherever possible, limited to a small number through the use of automatic systems and </w:t>
      </w:r>
      <w:r w:rsidR="00B53A02" w:rsidRPr="004F6D99">
        <w:t>fail-safe</w:t>
      </w:r>
      <w:r w:rsidR="00E40D9A" w:rsidRPr="004F6D99">
        <w:t xml:space="preserve"> devices. </w:t>
      </w:r>
      <w:r w:rsidR="00E40D9A">
        <w:br/>
      </w:r>
    </w:p>
    <w:p w14:paraId="05C9679D" w14:textId="77777777" w:rsidR="001F7B83" w:rsidRDefault="001F7B83">
      <w:pPr>
        <w:spacing w:after="0" w:line="240" w:lineRule="auto"/>
        <w:rPr>
          <w:highlight w:val="lightGray"/>
        </w:rPr>
      </w:pPr>
      <w:bookmarkStart w:id="928" w:name="_Ref475374069"/>
      <w:bookmarkStart w:id="929" w:name="_Ref475373842"/>
      <w:bookmarkStart w:id="930" w:name="_Ref475373669"/>
      <w:r>
        <w:rPr>
          <w:highlight w:val="lightGray"/>
        </w:rPr>
        <w:br w:type="page"/>
      </w:r>
    </w:p>
    <w:bookmarkEnd w:id="930" w:displacedByCustomXml="next"/>
    <w:bookmarkEnd w:id="929" w:displacedByCustomXml="next"/>
    <w:bookmarkEnd w:id="928" w:displacedByCustomXml="next"/>
    <w:bookmarkStart w:id="931" w:name="_Toc140137271" w:displacedByCustomXml="next"/>
    <w:sdt>
      <w:sdtPr>
        <w:rPr>
          <w:color w:val="auto"/>
          <w:sz w:val="24"/>
        </w:rPr>
        <w:id w:val="-284124854"/>
        <w:docPartObj>
          <w:docPartGallery w:val="Bibliographies"/>
          <w:docPartUnique/>
        </w:docPartObj>
      </w:sdtPr>
      <w:sdtContent>
        <w:p w14:paraId="04BBBDD0" w14:textId="0C4A067D" w:rsidR="00F7687C" w:rsidRDefault="00F7687C" w:rsidP="00904152">
          <w:pPr>
            <w:pStyle w:val="Heading1"/>
            <w:numPr>
              <w:ilvl w:val="0"/>
              <w:numId w:val="0"/>
            </w:numPr>
          </w:pPr>
          <w:r>
            <w:t>References</w:t>
          </w:r>
          <w:bookmarkEnd w:id="931"/>
        </w:p>
        <w:sdt>
          <w:sdtPr>
            <w:id w:val="700524479"/>
            <w:bibliography/>
          </w:sdtPr>
          <w:sdtContent>
            <w:p w14:paraId="7D1EA525" w14:textId="77777777" w:rsidR="002A4EED" w:rsidRDefault="00F7687C" w:rsidP="00547634">
              <w:pPr>
                <w:rPr>
                  <w:rFonts w:ascii="Calibri" w:hAnsi="Calibri"/>
                  <w:noProof/>
                  <w:sz w:val="20"/>
                  <w:szCs w:val="20"/>
                  <w:lang w:eastAsia="en-GB" w:bidi="ar-SA"/>
                </w:rPr>
              </w:pPr>
              <w:r>
                <w:fldChar w:fldCharType="begin"/>
              </w:r>
              <w:r>
                <w:instrText xml:space="preserve"> BIBLIOGRAPHY </w:instrText>
              </w:r>
              <w:r>
                <w:fldChar w:fldCharType="separate"/>
              </w:r>
            </w:p>
            <w:tbl>
              <w:tblPr>
                <w:tblW w:w="5065" w:type="pct"/>
                <w:tblCellSpacing w:w="15" w:type="dxa"/>
                <w:tblCellMar>
                  <w:top w:w="15" w:type="dxa"/>
                  <w:left w:w="15" w:type="dxa"/>
                  <w:bottom w:w="15" w:type="dxa"/>
                  <w:right w:w="15" w:type="dxa"/>
                </w:tblCellMar>
                <w:tblLook w:val="04A0" w:firstRow="1" w:lastRow="0" w:firstColumn="1" w:lastColumn="0" w:noHBand="0" w:noVBand="1"/>
              </w:tblPr>
              <w:tblGrid>
                <w:gridCol w:w="476"/>
                <w:gridCol w:w="9161"/>
              </w:tblGrid>
              <w:tr w:rsidR="002A4EED" w:rsidRPr="00694380" w14:paraId="263F5F5B" w14:textId="77777777" w:rsidTr="002A4EED">
                <w:trPr>
                  <w:divId w:val="1365979304"/>
                  <w:tblCellSpacing w:w="15" w:type="dxa"/>
                </w:trPr>
                <w:tc>
                  <w:tcPr>
                    <w:tcW w:w="285" w:type="pct"/>
                    <w:hideMark/>
                  </w:tcPr>
                  <w:p w14:paraId="294C8AC5" w14:textId="1B6497C2" w:rsidR="002A4EED" w:rsidRDefault="002A4EED">
                    <w:pPr>
                      <w:pStyle w:val="Bibliography"/>
                      <w:rPr>
                        <w:noProof/>
                        <w:szCs w:val="24"/>
                      </w:rPr>
                    </w:pPr>
                    <w:r>
                      <w:rPr>
                        <w:noProof/>
                      </w:rPr>
                      <w:t xml:space="preserve">[1] </w:t>
                    </w:r>
                  </w:p>
                </w:tc>
                <w:tc>
                  <w:tcPr>
                    <w:tcW w:w="0" w:type="auto"/>
                    <w:hideMark/>
                  </w:tcPr>
                  <w:p w14:paraId="787471D1" w14:textId="77777777" w:rsidR="002A4EED" w:rsidRPr="000D6BF8" w:rsidRDefault="002A4EED">
                    <w:pPr>
                      <w:pStyle w:val="Bibliography"/>
                      <w:rPr>
                        <w:noProof/>
                        <w:lang w:val="fr-FR"/>
                      </w:rPr>
                    </w:pPr>
                    <w:r>
                      <w:rPr>
                        <w:noProof/>
                      </w:rPr>
                      <w:t xml:space="preserve">ONR, “Safety Assessment Principles (SAPs) for Nuclear Facilities - 2014 Edition (Revision 1),” January 2020. </w:t>
                    </w:r>
                    <w:r w:rsidRPr="000D6BF8">
                      <w:rPr>
                        <w:noProof/>
                        <w:lang w:val="fr-FR"/>
                      </w:rPr>
                      <w:t>[Online]. Available: https://www.onr.org.uk/saps/saps2014.pdf.</w:t>
                    </w:r>
                  </w:p>
                </w:tc>
              </w:tr>
              <w:tr w:rsidR="002A4EED" w:rsidRPr="00694380" w14:paraId="7260A3A2" w14:textId="77777777" w:rsidTr="002A4EED">
                <w:trPr>
                  <w:divId w:val="1365979304"/>
                  <w:tblCellSpacing w:w="15" w:type="dxa"/>
                </w:trPr>
                <w:tc>
                  <w:tcPr>
                    <w:tcW w:w="285" w:type="pct"/>
                    <w:hideMark/>
                  </w:tcPr>
                  <w:p w14:paraId="6839E66B" w14:textId="77777777" w:rsidR="002A4EED" w:rsidRDefault="002A4EED">
                    <w:pPr>
                      <w:pStyle w:val="Bibliography"/>
                      <w:rPr>
                        <w:noProof/>
                      </w:rPr>
                    </w:pPr>
                    <w:r>
                      <w:rPr>
                        <w:noProof/>
                      </w:rPr>
                      <w:t xml:space="preserve">[2] </w:t>
                    </w:r>
                  </w:p>
                </w:tc>
                <w:tc>
                  <w:tcPr>
                    <w:tcW w:w="0" w:type="auto"/>
                    <w:hideMark/>
                  </w:tcPr>
                  <w:p w14:paraId="10499833" w14:textId="77777777" w:rsidR="002A4EED" w:rsidRPr="000D6BF8" w:rsidRDefault="002A4EED">
                    <w:pPr>
                      <w:pStyle w:val="Bibliography"/>
                      <w:rPr>
                        <w:noProof/>
                        <w:lang w:val="fr-FR"/>
                      </w:rPr>
                    </w:pPr>
                    <w:r>
                      <w:rPr>
                        <w:noProof/>
                      </w:rPr>
                      <w:t xml:space="preserve">ONR, “NS-TAST-GD-005, Technical Assessment Guide 005: Guidance on the demonstration of ALARP,” June 2023. </w:t>
                    </w:r>
                    <w:r w:rsidRPr="000D6BF8">
                      <w:rPr>
                        <w:noProof/>
                        <w:lang w:val="fr-FR"/>
                      </w:rPr>
                      <w:t>[Online]. Available: https://www.onr.org.uk/operational/tech_asst_guides/index.htm.</w:t>
                    </w:r>
                  </w:p>
                </w:tc>
              </w:tr>
              <w:tr w:rsidR="002A4EED" w:rsidRPr="00694380" w14:paraId="1F7DE8BF" w14:textId="77777777" w:rsidTr="002A4EED">
                <w:trPr>
                  <w:divId w:val="1365979304"/>
                  <w:tblCellSpacing w:w="15" w:type="dxa"/>
                </w:trPr>
                <w:tc>
                  <w:tcPr>
                    <w:tcW w:w="285" w:type="pct"/>
                    <w:hideMark/>
                  </w:tcPr>
                  <w:p w14:paraId="00726628" w14:textId="77777777" w:rsidR="002A4EED" w:rsidRDefault="002A4EED">
                    <w:pPr>
                      <w:pStyle w:val="Bibliography"/>
                      <w:rPr>
                        <w:noProof/>
                      </w:rPr>
                    </w:pPr>
                    <w:r>
                      <w:rPr>
                        <w:noProof/>
                      </w:rPr>
                      <w:t xml:space="preserve">[3] </w:t>
                    </w:r>
                  </w:p>
                </w:tc>
                <w:tc>
                  <w:tcPr>
                    <w:tcW w:w="0" w:type="auto"/>
                    <w:hideMark/>
                  </w:tcPr>
                  <w:p w14:paraId="3FC5BA03" w14:textId="3B83AA04" w:rsidR="002A4EED" w:rsidRPr="000D6BF8" w:rsidRDefault="002A4EED">
                    <w:pPr>
                      <w:pStyle w:val="Bibliography"/>
                      <w:rPr>
                        <w:noProof/>
                        <w:lang w:val="fr-FR"/>
                      </w:rPr>
                    </w:pPr>
                    <w:r>
                      <w:rPr>
                        <w:noProof/>
                      </w:rPr>
                      <w:t xml:space="preserve">ONR, “NS-TAST-GD-013 Annex 1: Seismic Hazards,”. </w:t>
                    </w:r>
                    <w:r w:rsidRPr="000D6BF8">
                      <w:rPr>
                        <w:noProof/>
                        <w:lang w:val="fr-FR"/>
                      </w:rPr>
                      <w:t>[Online]. Available: https://www.onr.org.uk/operational/tech_asst_guides/ns-tast-gd-013.htm.</w:t>
                    </w:r>
                  </w:p>
                </w:tc>
              </w:tr>
              <w:tr w:rsidR="002A4EED" w:rsidRPr="00694380" w14:paraId="4818DA15" w14:textId="77777777" w:rsidTr="002A4EED">
                <w:trPr>
                  <w:divId w:val="1365979304"/>
                  <w:tblCellSpacing w:w="15" w:type="dxa"/>
                </w:trPr>
                <w:tc>
                  <w:tcPr>
                    <w:tcW w:w="285" w:type="pct"/>
                    <w:hideMark/>
                  </w:tcPr>
                  <w:p w14:paraId="3C56BCA8" w14:textId="77777777" w:rsidR="002A4EED" w:rsidRDefault="002A4EED">
                    <w:pPr>
                      <w:pStyle w:val="Bibliography"/>
                      <w:rPr>
                        <w:noProof/>
                      </w:rPr>
                    </w:pPr>
                    <w:r>
                      <w:rPr>
                        <w:noProof/>
                      </w:rPr>
                      <w:t xml:space="preserve">[4] </w:t>
                    </w:r>
                  </w:p>
                </w:tc>
                <w:tc>
                  <w:tcPr>
                    <w:tcW w:w="0" w:type="auto"/>
                    <w:hideMark/>
                  </w:tcPr>
                  <w:p w14:paraId="669047A1" w14:textId="4AB56F14" w:rsidR="002A4EED" w:rsidRPr="000D6BF8" w:rsidRDefault="002A4EED">
                    <w:pPr>
                      <w:pStyle w:val="Bibliography"/>
                      <w:rPr>
                        <w:noProof/>
                        <w:lang w:val="fr-FR"/>
                      </w:rPr>
                    </w:pPr>
                    <w:r>
                      <w:rPr>
                        <w:noProof/>
                      </w:rPr>
                      <w:t xml:space="preserve">ONR, “NS-TAST-GD-013 Annex 2: Meteorological Hazards,”. </w:t>
                    </w:r>
                    <w:r w:rsidRPr="000D6BF8">
                      <w:rPr>
                        <w:noProof/>
                        <w:lang w:val="fr-FR"/>
                      </w:rPr>
                      <w:t>[Online]. Available: https://www.onr.org.uk/operational/tech_asst_guides/ns-tast-gd-013.htm.</w:t>
                    </w:r>
                  </w:p>
                </w:tc>
              </w:tr>
              <w:tr w:rsidR="002A4EED" w:rsidRPr="00694380" w14:paraId="3EA17E8F" w14:textId="77777777" w:rsidTr="002A4EED">
                <w:trPr>
                  <w:divId w:val="1365979304"/>
                  <w:tblCellSpacing w:w="15" w:type="dxa"/>
                </w:trPr>
                <w:tc>
                  <w:tcPr>
                    <w:tcW w:w="285" w:type="pct"/>
                    <w:hideMark/>
                  </w:tcPr>
                  <w:p w14:paraId="7C73355C" w14:textId="77777777" w:rsidR="002A4EED" w:rsidRDefault="002A4EED">
                    <w:pPr>
                      <w:pStyle w:val="Bibliography"/>
                      <w:rPr>
                        <w:noProof/>
                      </w:rPr>
                    </w:pPr>
                    <w:r>
                      <w:rPr>
                        <w:noProof/>
                      </w:rPr>
                      <w:t xml:space="preserve">[5] </w:t>
                    </w:r>
                  </w:p>
                </w:tc>
                <w:tc>
                  <w:tcPr>
                    <w:tcW w:w="0" w:type="auto"/>
                    <w:hideMark/>
                  </w:tcPr>
                  <w:p w14:paraId="6AD3138A" w14:textId="77AB122C" w:rsidR="002A4EED" w:rsidRPr="000D6BF8" w:rsidRDefault="002A4EED">
                    <w:pPr>
                      <w:pStyle w:val="Bibliography"/>
                      <w:rPr>
                        <w:noProof/>
                        <w:lang w:val="fr-FR"/>
                      </w:rPr>
                    </w:pPr>
                    <w:r>
                      <w:rPr>
                        <w:noProof/>
                      </w:rPr>
                      <w:t xml:space="preserve">ONR, “NS-TAST-GD-013 Annex 3: Coastal Flood Hazards,”. </w:t>
                    </w:r>
                    <w:r w:rsidRPr="000D6BF8">
                      <w:rPr>
                        <w:noProof/>
                        <w:lang w:val="fr-FR"/>
                      </w:rPr>
                      <w:t>[Online]. Available: https://www.onr.org.uk/operational/tech_asst_guides/ns-tast-gd-013.htm.</w:t>
                    </w:r>
                  </w:p>
                </w:tc>
              </w:tr>
              <w:tr w:rsidR="002A4EED" w:rsidRPr="00694380" w14:paraId="6D898287" w14:textId="77777777" w:rsidTr="002A4EED">
                <w:trPr>
                  <w:divId w:val="1365979304"/>
                  <w:tblCellSpacing w:w="15" w:type="dxa"/>
                </w:trPr>
                <w:tc>
                  <w:tcPr>
                    <w:tcW w:w="285" w:type="pct"/>
                    <w:hideMark/>
                  </w:tcPr>
                  <w:p w14:paraId="5480FD4E" w14:textId="77777777" w:rsidR="002A4EED" w:rsidRDefault="002A4EED">
                    <w:pPr>
                      <w:pStyle w:val="Bibliography"/>
                      <w:rPr>
                        <w:noProof/>
                      </w:rPr>
                    </w:pPr>
                    <w:r>
                      <w:rPr>
                        <w:noProof/>
                      </w:rPr>
                      <w:t xml:space="preserve">[6] </w:t>
                    </w:r>
                  </w:p>
                </w:tc>
                <w:tc>
                  <w:tcPr>
                    <w:tcW w:w="0" w:type="auto"/>
                    <w:hideMark/>
                  </w:tcPr>
                  <w:p w14:paraId="73826C81" w14:textId="17F51EA6" w:rsidR="002A4EED" w:rsidRPr="000D6BF8" w:rsidRDefault="002A4EED">
                    <w:pPr>
                      <w:pStyle w:val="Bibliography"/>
                      <w:rPr>
                        <w:noProof/>
                        <w:lang w:val="fr-FR"/>
                      </w:rPr>
                    </w:pPr>
                    <w:r>
                      <w:rPr>
                        <w:noProof/>
                      </w:rPr>
                      <w:t xml:space="preserve">ONR, “NS-TAST-GD-013 Annex 4: Accidental Aircraft Crash Hazard,”. </w:t>
                    </w:r>
                    <w:r w:rsidRPr="000D6BF8">
                      <w:rPr>
                        <w:noProof/>
                        <w:lang w:val="fr-FR"/>
                      </w:rPr>
                      <w:t>[Online]. Available: https://www.onr.org.uk/operational/tech_asst_guides/ns-tast-gd-013.htm.</w:t>
                    </w:r>
                  </w:p>
                </w:tc>
              </w:tr>
              <w:tr w:rsidR="002A4EED" w:rsidRPr="00694380" w14:paraId="3EA9DB5B" w14:textId="77777777" w:rsidTr="002A4EED">
                <w:trPr>
                  <w:divId w:val="1365979304"/>
                  <w:tblCellSpacing w:w="15" w:type="dxa"/>
                </w:trPr>
                <w:tc>
                  <w:tcPr>
                    <w:tcW w:w="285" w:type="pct"/>
                    <w:hideMark/>
                  </w:tcPr>
                  <w:p w14:paraId="4F616403" w14:textId="77777777" w:rsidR="002A4EED" w:rsidRDefault="002A4EED">
                    <w:pPr>
                      <w:pStyle w:val="Bibliography"/>
                      <w:rPr>
                        <w:noProof/>
                      </w:rPr>
                    </w:pPr>
                    <w:r>
                      <w:rPr>
                        <w:noProof/>
                      </w:rPr>
                      <w:t xml:space="preserve">[7] </w:t>
                    </w:r>
                  </w:p>
                </w:tc>
                <w:tc>
                  <w:tcPr>
                    <w:tcW w:w="0" w:type="auto"/>
                    <w:hideMark/>
                  </w:tcPr>
                  <w:p w14:paraId="6646A160" w14:textId="4CF7AA83" w:rsidR="002A4EED" w:rsidRPr="000D6BF8" w:rsidRDefault="002A4EED">
                    <w:pPr>
                      <w:pStyle w:val="Bibliography"/>
                      <w:rPr>
                        <w:noProof/>
                        <w:lang w:val="fr-FR"/>
                      </w:rPr>
                    </w:pPr>
                    <w:r>
                      <w:rPr>
                        <w:noProof/>
                      </w:rPr>
                      <w:t xml:space="preserve">ONR, “NS-TAST-GD-013 Annex 5: Other Hazards,”. </w:t>
                    </w:r>
                    <w:r w:rsidRPr="000D6BF8">
                      <w:rPr>
                        <w:noProof/>
                        <w:lang w:val="fr-FR"/>
                      </w:rPr>
                      <w:t>[Online]. Available: https://www.onr.org.uk/operational/tech_asst_guides/ns-tast-gd-013.htm.</w:t>
                    </w:r>
                  </w:p>
                </w:tc>
              </w:tr>
              <w:tr w:rsidR="002A4EED" w:rsidRPr="00694380" w14:paraId="17427F38" w14:textId="77777777" w:rsidTr="002A4EED">
                <w:trPr>
                  <w:divId w:val="1365979304"/>
                  <w:tblCellSpacing w:w="15" w:type="dxa"/>
                </w:trPr>
                <w:tc>
                  <w:tcPr>
                    <w:tcW w:w="285" w:type="pct"/>
                    <w:hideMark/>
                  </w:tcPr>
                  <w:p w14:paraId="15511917" w14:textId="77777777" w:rsidR="002A4EED" w:rsidRDefault="002A4EED">
                    <w:pPr>
                      <w:pStyle w:val="Bibliography"/>
                      <w:rPr>
                        <w:noProof/>
                      </w:rPr>
                    </w:pPr>
                    <w:r>
                      <w:rPr>
                        <w:noProof/>
                      </w:rPr>
                      <w:t xml:space="preserve">[8] </w:t>
                    </w:r>
                  </w:p>
                </w:tc>
                <w:tc>
                  <w:tcPr>
                    <w:tcW w:w="0" w:type="auto"/>
                    <w:hideMark/>
                  </w:tcPr>
                  <w:p w14:paraId="633C3177" w14:textId="77777777" w:rsidR="002A4EED" w:rsidRPr="000D6BF8" w:rsidRDefault="002A4EED">
                    <w:pPr>
                      <w:pStyle w:val="Bibliography"/>
                      <w:rPr>
                        <w:noProof/>
                        <w:lang w:val="fr-FR"/>
                      </w:rPr>
                    </w:pPr>
                    <w:r>
                      <w:rPr>
                        <w:noProof/>
                      </w:rPr>
                      <w:t xml:space="preserve">ONR Expert Panel on Natural Hazards, “GEN-MCFH-EP-2021-2, NS-TAST-GD-013 Annex 3 Reference Paper: Analysis of Coastal Flood Hazards for Nuclear Sites,” April 2022. </w:t>
                    </w:r>
                    <w:r w:rsidRPr="000D6BF8">
                      <w:rPr>
                        <w:noProof/>
                        <w:lang w:val="fr-FR"/>
                      </w:rPr>
                      <w:t>[Online]. Available: https://www.onr.org.uk/operational/tech_asst_guides/ns-tast-gd-013.htm.</w:t>
                    </w:r>
                  </w:p>
                </w:tc>
              </w:tr>
              <w:tr w:rsidR="002A4EED" w:rsidRPr="00694380" w14:paraId="60C2E08B" w14:textId="77777777" w:rsidTr="002A4EED">
                <w:trPr>
                  <w:divId w:val="1365979304"/>
                  <w:tblCellSpacing w:w="15" w:type="dxa"/>
                </w:trPr>
                <w:tc>
                  <w:tcPr>
                    <w:tcW w:w="285" w:type="pct"/>
                    <w:hideMark/>
                  </w:tcPr>
                  <w:p w14:paraId="6D174AC7" w14:textId="77777777" w:rsidR="002A4EED" w:rsidRDefault="002A4EED">
                    <w:pPr>
                      <w:pStyle w:val="Bibliography"/>
                      <w:rPr>
                        <w:noProof/>
                      </w:rPr>
                    </w:pPr>
                    <w:r>
                      <w:rPr>
                        <w:noProof/>
                      </w:rPr>
                      <w:t xml:space="preserve">[9] </w:t>
                    </w:r>
                  </w:p>
                </w:tc>
                <w:tc>
                  <w:tcPr>
                    <w:tcW w:w="0" w:type="auto"/>
                    <w:hideMark/>
                  </w:tcPr>
                  <w:p w14:paraId="319CA06A" w14:textId="77777777" w:rsidR="002A4EED" w:rsidRPr="000D6BF8" w:rsidRDefault="002A4EED">
                    <w:pPr>
                      <w:pStyle w:val="Bibliography"/>
                      <w:rPr>
                        <w:noProof/>
                        <w:lang w:val="fr-FR"/>
                      </w:rPr>
                    </w:pPr>
                    <w:r>
                      <w:rPr>
                        <w:noProof/>
                      </w:rPr>
                      <w:t xml:space="preserve">ONR Expert Panel on Natural Hazards, “GEN-MCFH-EP-2021-1, Annex 2 Reference Paper: Analysis of Meteorological Hazards for Nuclear Sites,” April 2022. </w:t>
                    </w:r>
                    <w:r w:rsidRPr="000D6BF8">
                      <w:rPr>
                        <w:noProof/>
                        <w:lang w:val="fr-FR"/>
                      </w:rPr>
                      <w:t>[Online]. Available: https://www.onr.org.uk/operational/tech_asst_guides/ns-tast-gd-013.htm.</w:t>
                    </w:r>
                  </w:p>
                </w:tc>
              </w:tr>
              <w:tr w:rsidR="002A4EED" w:rsidRPr="00694380" w14:paraId="782D9CB1" w14:textId="77777777" w:rsidTr="002A4EED">
                <w:trPr>
                  <w:divId w:val="1365979304"/>
                  <w:tblCellSpacing w:w="15" w:type="dxa"/>
                </w:trPr>
                <w:tc>
                  <w:tcPr>
                    <w:tcW w:w="285" w:type="pct"/>
                    <w:hideMark/>
                  </w:tcPr>
                  <w:p w14:paraId="2F2D0CC3" w14:textId="77777777" w:rsidR="002A4EED" w:rsidRDefault="002A4EED">
                    <w:pPr>
                      <w:pStyle w:val="Bibliography"/>
                      <w:rPr>
                        <w:noProof/>
                      </w:rPr>
                    </w:pPr>
                    <w:r>
                      <w:rPr>
                        <w:noProof/>
                      </w:rPr>
                      <w:t xml:space="preserve">[10] </w:t>
                    </w:r>
                  </w:p>
                </w:tc>
                <w:tc>
                  <w:tcPr>
                    <w:tcW w:w="0" w:type="auto"/>
                    <w:hideMark/>
                  </w:tcPr>
                  <w:p w14:paraId="6E4F6DA1" w14:textId="77777777" w:rsidR="002A4EED" w:rsidRPr="000D6BF8" w:rsidRDefault="002A4EED">
                    <w:pPr>
                      <w:pStyle w:val="Bibliography"/>
                      <w:rPr>
                        <w:noProof/>
                        <w:lang w:val="fr-FR"/>
                      </w:rPr>
                    </w:pPr>
                    <w:r>
                      <w:rPr>
                        <w:noProof/>
                      </w:rPr>
                      <w:t xml:space="preserve">ONR Expert Panel on Natural Hazards, “Expert Panel Paper No: GEN-SH-EP-2016-1, Annex 1 Reference Paper: Analysis of Seismic Hazards for Nuclear Sites,” October 2018. </w:t>
                    </w:r>
                    <w:r w:rsidRPr="000D6BF8">
                      <w:rPr>
                        <w:noProof/>
                        <w:lang w:val="fr-FR"/>
                      </w:rPr>
                      <w:t>[Online]. Available: https://www.onr.org.uk/operational/tech_asst_guides/ns-tast-gd-013.htm.</w:t>
                    </w:r>
                  </w:p>
                </w:tc>
              </w:tr>
              <w:tr w:rsidR="002A4EED" w:rsidRPr="00694380" w14:paraId="44ACC575" w14:textId="77777777" w:rsidTr="002A4EED">
                <w:trPr>
                  <w:divId w:val="1365979304"/>
                  <w:tblCellSpacing w:w="15" w:type="dxa"/>
                </w:trPr>
                <w:tc>
                  <w:tcPr>
                    <w:tcW w:w="285" w:type="pct"/>
                    <w:hideMark/>
                  </w:tcPr>
                  <w:p w14:paraId="08E11F07" w14:textId="77777777" w:rsidR="002A4EED" w:rsidRDefault="002A4EED">
                    <w:pPr>
                      <w:pStyle w:val="Bibliography"/>
                      <w:rPr>
                        <w:noProof/>
                      </w:rPr>
                    </w:pPr>
                    <w:r>
                      <w:rPr>
                        <w:noProof/>
                      </w:rPr>
                      <w:t xml:space="preserve">[11] </w:t>
                    </w:r>
                  </w:p>
                </w:tc>
                <w:tc>
                  <w:tcPr>
                    <w:tcW w:w="0" w:type="auto"/>
                    <w:hideMark/>
                  </w:tcPr>
                  <w:p w14:paraId="3F6FF23C" w14:textId="77777777" w:rsidR="002A4EED" w:rsidRPr="000D6BF8" w:rsidRDefault="002A4EED">
                    <w:pPr>
                      <w:pStyle w:val="Bibliography"/>
                      <w:rPr>
                        <w:noProof/>
                        <w:lang w:val="fr-FR"/>
                      </w:rPr>
                    </w:pPr>
                    <w:r>
                      <w:rPr>
                        <w:noProof/>
                      </w:rPr>
                      <w:t xml:space="preserve">ONR, “NS-TAST-GD-014, Technical Assessment Guide 014: Internal Hazards,” December 2022. </w:t>
                    </w:r>
                    <w:r w:rsidRPr="000D6BF8">
                      <w:rPr>
                        <w:noProof/>
                        <w:lang w:val="fr-FR"/>
                      </w:rPr>
                      <w:t>[Online]. Available: https://www.onr.org.uk/operational/tech_asst_guides/index.htm.</w:t>
                    </w:r>
                  </w:p>
                </w:tc>
              </w:tr>
              <w:tr w:rsidR="002A4EED" w14:paraId="0A615621" w14:textId="77777777" w:rsidTr="002A4EED">
                <w:trPr>
                  <w:divId w:val="1365979304"/>
                  <w:tblCellSpacing w:w="15" w:type="dxa"/>
                </w:trPr>
                <w:tc>
                  <w:tcPr>
                    <w:tcW w:w="285" w:type="pct"/>
                    <w:hideMark/>
                  </w:tcPr>
                  <w:p w14:paraId="331FF54B" w14:textId="77777777" w:rsidR="002A4EED" w:rsidRDefault="002A4EED">
                    <w:pPr>
                      <w:pStyle w:val="Bibliography"/>
                      <w:rPr>
                        <w:noProof/>
                      </w:rPr>
                    </w:pPr>
                    <w:r>
                      <w:rPr>
                        <w:noProof/>
                      </w:rPr>
                      <w:lastRenderedPageBreak/>
                      <w:t xml:space="preserve">[12] </w:t>
                    </w:r>
                  </w:p>
                </w:tc>
                <w:tc>
                  <w:tcPr>
                    <w:tcW w:w="0" w:type="auto"/>
                    <w:hideMark/>
                  </w:tcPr>
                  <w:p w14:paraId="6C120547" w14:textId="77777777" w:rsidR="002A4EED" w:rsidRDefault="002A4EED">
                    <w:pPr>
                      <w:pStyle w:val="Bibliography"/>
                      <w:rPr>
                        <w:noProof/>
                      </w:rPr>
                    </w:pPr>
                    <w:r>
                      <w:rPr>
                        <w:noProof/>
                      </w:rPr>
                      <w:t>WENRA RHWG, “WENRA Safety Reference Levels for Existing Reactors 2020,” 17 February 2021, https://www.wenra.eu/publications.</w:t>
                    </w:r>
                  </w:p>
                </w:tc>
              </w:tr>
              <w:tr w:rsidR="002A4EED" w14:paraId="2F1E12EF" w14:textId="77777777" w:rsidTr="002A4EED">
                <w:trPr>
                  <w:divId w:val="1365979304"/>
                  <w:tblCellSpacing w:w="15" w:type="dxa"/>
                </w:trPr>
                <w:tc>
                  <w:tcPr>
                    <w:tcW w:w="285" w:type="pct"/>
                    <w:hideMark/>
                  </w:tcPr>
                  <w:p w14:paraId="5331E1AA" w14:textId="77777777" w:rsidR="002A4EED" w:rsidRDefault="002A4EED">
                    <w:pPr>
                      <w:pStyle w:val="Bibliography"/>
                      <w:rPr>
                        <w:noProof/>
                      </w:rPr>
                    </w:pPr>
                    <w:r>
                      <w:rPr>
                        <w:noProof/>
                      </w:rPr>
                      <w:t xml:space="preserve">[13] </w:t>
                    </w:r>
                  </w:p>
                </w:tc>
                <w:tc>
                  <w:tcPr>
                    <w:tcW w:w="0" w:type="auto"/>
                    <w:hideMark/>
                  </w:tcPr>
                  <w:p w14:paraId="3BAB2102" w14:textId="77777777" w:rsidR="002A4EED" w:rsidRDefault="002A4EED">
                    <w:pPr>
                      <w:pStyle w:val="Bibliography"/>
                      <w:rPr>
                        <w:noProof/>
                      </w:rPr>
                    </w:pPr>
                    <w:r>
                      <w:rPr>
                        <w:noProof/>
                      </w:rPr>
                      <w:t>WENRA RHWG, “Guidance Document Issue TU: External Hazards Head Document - Guidance for the WENRA Safety Reference Levels for External Hazards,” 10 January 2020. [Online]. Available: https://www.wenra.eu/publications.</w:t>
                    </w:r>
                  </w:p>
                </w:tc>
              </w:tr>
              <w:tr w:rsidR="002A4EED" w14:paraId="0DE2A86C" w14:textId="77777777" w:rsidTr="002A4EED">
                <w:trPr>
                  <w:divId w:val="1365979304"/>
                  <w:tblCellSpacing w:w="15" w:type="dxa"/>
                </w:trPr>
                <w:tc>
                  <w:tcPr>
                    <w:tcW w:w="285" w:type="pct"/>
                    <w:hideMark/>
                  </w:tcPr>
                  <w:p w14:paraId="2FC9200F" w14:textId="77777777" w:rsidR="002A4EED" w:rsidRDefault="002A4EED">
                    <w:pPr>
                      <w:pStyle w:val="Bibliography"/>
                      <w:rPr>
                        <w:noProof/>
                      </w:rPr>
                    </w:pPr>
                    <w:r>
                      <w:rPr>
                        <w:noProof/>
                      </w:rPr>
                      <w:t xml:space="preserve">[14] </w:t>
                    </w:r>
                  </w:p>
                </w:tc>
                <w:tc>
                  <w:tcPr>
                    <w:tcW w:w="0" w:type="auto"/>
                    <w:hideMark/>
                  </w:tcPr>
                  <w:p w14:paraId="51DFB2FE" w14:textId="77777777" w:rsidR="002A4EED" w:rsidRDefault="002A4EED">
                    <w:pPr>
                      <w:pStyle w:val="Bibliography"/>
                      <w:rPr>
                        <w:noProof/>
                      </w:rPr>
                    </w:pPr>
                    <w:r>
                      <w:rPr>
                        <w:noProof/>
                      </w:rPr>
                      <w:t>WENRA RHWG, “Guidance Document Issue TU: External Hazards - Guidance on External Flooding Annex to the Guidance Head Document,” 10 January 2020. [Online]. Available: https://www.wenra.eu/publications.</w:t>
                    </w:r>
                  </w:p>
                </w:tc>
              </w:tr>
              <w:tr w:rsidR="002A4EED" w14:paraId="0D00AF1F" w14:textId="77777777" w:rsidTr="002A4EED">
                <w:trPr>
                  <w:divId w:val="1365979304"/>
                  <w:tblCellSpacing w:w="15" w:type="dxa"/>
                </w:trPr>
                <w:tc>
                  <w:tcPr>
                    <w:tcW w:w="285" w:type="pct"/>
                    <w:hideMark/>
                  </w:tcPr>
                  <w:p w14:paraId="4B63EB29" w14:textId="77777777" w:rsidR="002A4EED" w:rsidRDefault="002A4EED">
                    <w:pPr>
                      <w:pStyle w:val="Bibliography"/>
                      <w:rPr>
                        <w:noProof/>
                      </w:rPr>
                    </w:pPr>
                    <w:r>
                      <w:rPr>
                        <w:noProof/>
                      </w:rPr>
                      <w:t xml:space="preserve">[15] </w:t>
                    </w:r>
                  </w:p>
                </w:tc>
                <w:tc>
                  <w:tcPr>
                    <w:tcW w:w="0" w:type="auto"/>
                    <w:hideMark/>
                  </w:tcPr>
                  <w:p w14:paraId="53415903" w14:textId="77777777" w:rsidR="002A4EED" w:rsidRDefault="002A4EED">
                    <w:pPr>
                      <w:pStyle w:val="Bibliography"/>
                      <w:rPr>
                        <w:noProof/>
                      </w:rPr>
                    </w:pPr>
                    <w:r>
                      <w:rPr>
                        <w:noProof/>
                      </w:rPr>
                      <w:t>WENRA RHWG, “Guidance Document Issue TU: External Hazards - Guidance on Extreme Weather Conditions Annex to the Guidance Head Document,” 10 January 2020. [Online]. Available: https://www.wenra.eu/publications.</w:t>
                    </w:r>
                  </w:p>
                </w:tc>
              </w:tr>
              <w:tr w:rsidR="002A4EED" w14:paraId="79537902" w14:textId="77777777" w:rsidTr="002A4EED">
                <w:trPr>
                  <w:divId w:val="1365979304"/>
                  <w:tblCellSpacing w:w="15" w:type="dxa"/>
                </w:trPr>
                <w:tc>
                  <w:tcPr>
                    <w:tcW w:w="285" w:type="pct"/>
                    <w:hideMark/>
                  </w:tcPr>
                  <w:p w14:paraId="6E4AE25E" w14:textId="77777777" w:rsidR="002A4EED" w:rsidRDefault="002A4EED">
                    <w:pPr>
                      <w:pStyle w:val="Bibliography"/>
                      <w:rPr>
                        <w:noProof/>
                      </w:rPr>
                    </w:pPr>
                    <w:r>
                      <w:rPr>
                        <w:noProof/>
                      </w:rPr>
                      <w:t xml:space="preserve">[16] </w:t>
                    </w:r>
                  </w:p>
                </w:tc>
                <w:tc>
                  <w:tcPr>
                    <w:tcW w:w="0" w:type="auto"/>
                    <w:hideMark/>
                  </w:tcPr>
                  <w:p w14:paraId="49DB337F" w14:textId="77777777" w:rsidR="002A4EED" w:rsidRDefault="002A4EED">
                    <w:pPr>
                      <w:pStyle w:val="Bibliography"/>
                      <w:rPr>
                        <w:noProof/>
                      </w:rPr>
                    </w:pPr>
                    <w:r>
                      <w:rPr>
                        <w:noProof/>
                      </w:rPr>
                      <w:t>WENRA RHWG, “Guidance Document Issue TU: External Hazards - Guidance on Seismic Events Annex to the Guidance Head Document,” 10 January 2020. [Online]. Available: https://www.wenra.eu/publications.</w:t>
                    </w:r>
                  </w:p>
                </w:tc>
              </w:tr>
              <w:tr w:rsidR="002A4EED" w:rsidRPr="00694380" w14:paraId="5EAAA3E0" w14:textId="77777777" w:rsidTr="002A4EED">
                <w:trPr>
                  <w:divId w:val="1365979304"/>
                  <w:tblCellSpacing w:w="15" w:type="dxa"/>
                </w:trPr>
                <w:tc>
                  <w:tcPr>
                    <w:tcW w:w="285" w:type="pct"/>
                    <w:hideMark/>
                  </w:tcPr>
                  <w:p w14:paraId="125634D2" w14:textId="77777777" w:rsidR="002A4EED" w:rsidRDefault="002A4EED">
                    <w:pPr>
                      <w:pStyle w:val="Bibliography"/>
                      <w:rPr>
                        <w:noProof/>
                      </w:rPr>
                    </w:pPr>
                    <w:r>
                      <w:rPr>
                        <w:noProof/>
                      </w:rPr>
                      <w:t xml:space="preserve">[17] </w:t>
                    </w:r>
                  </w:p>
                </w:tc>
                <w:tc>
                  <w:tcPr>
                    <w:tcW w:w="0" w:type="auto"/>
                    <w:hideMark/>
                  </w:tcPr>
                  <w:p w14:paraId="10350FC5" w14:textId="77777777" w:rsidR="002A4EED" w:rsidRPr="000D6BF8" w:rsidRDefault="002A4EED">
                    <w:pPr>
                      <w:pStyle w:val="Bibliography"/>
                      <w:rPr>
                        <w:noProof/>
                        <w:lang w:val="fr-FR"/>
                      </w:rPr>
                    </w:pPr>
                    <w:r>
                      <w:rPr>
                        <w:noProof/>
                      </w:rPr>
                      <w:t xml:space="preserve">ONR, “NS-TAST-GD-006 Technical Assessment Guide 006: Design Basis Analysis,” December 2022. </w:t>
                    </w:r>
                    <w:r w:rsidRPr="000D6BF8">
                      <w:rPr>
                        <w:noProof/>
                        <w:lang w:val="fr-FR"/>
                      </w:rPr>
                      <w:t>[Online]. Available: https://www.onr.org.uk/operational/tech_asst_guides/index.htm.</w:t>
                    </w:r>
                  </w:p>
                </w:tc>
              </w:tr>
              <w:tr w:rsidR="002A4EED" w:rsidRPr="00694380" w14:paraId="6F7E09B6" w14:textId="77777777" w:rsidTr="002A4EED">
                <w:trPr>
                  <w:divId w:val="1365979304"/>
                  <w:tblCellSpacing w:w="15" w:type="dxa"/>
                </w:trPr>
                <w:tc>
                  <w:tcPr>
                    <w:tcW w:w="285" w:type="pct"/>
                    <w:hideMark/>
                  </w:tcPr>
                  <w:p w14:paraId="535DA1C3" w14:textId="77777777" w:rsidR="002A4EED" w:rsidRDefault="002A4EED">
                    <w:pPr>
                      <w:pStyle w:val="Bibliography"/>
                      <w:rPr>
                        <w:noProof/>
                      </w:rPr>
                    </w:pPr>
                    <w:r>
                      <w:rPr>
                        <w:noProof/>
                      </w:rPr>
                      <w:t xml:space="preserve">[18] </w:t>
                    </w:r>
                  </w:p>
                </w:tc>
                <w:tc>
                  <w:tcPr>
                    <w:tcW w:w="0" w:type="auto"/>
                    <w:hideMark/>
                  </w:tcPr>
                  <w:p w14:paraId="4A13AA6E" w14:textId="77777777" w:rsidR="002A4EED" w:rsidRPr="000D6BF8" w:rsidRDefault="002A4EED">
                    <w:pPr>
                      <w:pStyle w:val="Bibliography"/>
                      <w:rPr>
                        <w:noProof/>
                        <w:lang w:val="fr-FR"/>
                      </w:rPr>
                    </w:pPr>
                    <w:r>
                      <w:rPr>
                        <w:noProof/>
                      </w:rPr>
                      <w:t xml:space="preserve">ONR, “NS-TAST-GD-030, Technical Assessment Guide 030: Probabilistic Safety Analysis,” June 2019. </w:t>
                    </w:r>
                    <w:r w:rsidRPr="000D6BF8">
                      <w:rPr>
                        <w:noProof/>
                        <w:lang w:val="fr-FR"/>
                      </w:rPr>
                      <w:t>[Online]. Available: https://www.onr.org.uk/operational/tech_asst_guides/index.htm.</w:t>
                    </w:r>
                  </w:p>
                </w:tc>
              </w:tr>
              <w:tr w:rsidR="002A4EED" w:rsidRPr="00694380" w14:paraId="542DB439" w14:textId="77777777" w:rsidTr="002A4EED">
                <w:trPr>
                  <w:divId w:val="1365979304"/>
                  <w:tblCellSpacing w:w="15" w:type="dxa"/>
                </w:trPr>
                <w:tc>
                  <w:tcPr>
                    <w:tcW w:w="285" w:type="pct"/>
                    <w:hideMark/>
                  </w:tcPr>
                  <w:p w14:paraId="51477D75" w14:textId="77777777" w:rsidR="002A4EED" w:rsidRDefault="002A4EED">
                    <w:pPr>
                      <w:pStyle w:val="Bibliography"/>
                      <w:rPr>
                        <w:noProof/>
                      </w:rPr>
                    </w:pPr>
                    <w:r>
                      <w:rPr>
                        <w:noProof/>
                      </w:rPr>
                      <w:t xml:space="preserve">[19] </w:t>
                    </w:r>
                  </w:p>
                </w:tc>
                <w:tc>
                  <w:tcPr>
                    <w:tcW w:w="0" w:type="auto"/>
                    <w:hideMark/>
                  </w:tcPr>
                  <w:p w14:paraId="3EA4D289" w14:textId="77777777" w:rsidR="002A4EED" w:rsidRPr="000D6BF8" w:rsidRDefault="002A4EED">
                    <w:pPr>
                      <w:pStyle w:val="Bibliography"/>
                      <w:rPr>
                        <w:noProof/>
                        <w:lang w:val="fr-FR"/>
                      </w:rPr>
                    </w:pPr>
                    <w:r>
                      <w:rPr>
                        <w:noProof/>
                      </w:rPr>
                      <w:t xml:space="preserve">ONR, “NS-TAST-GD-007 Technical Assessment Guide 007: Severe Accident Analysis,” 2022 December. </w:t>
                    </w:r>
                    <w:r w:rsidRPr="000D6BF8">
                      <w:rPr>
                        <w:noProof/>
                        <w:lang w:val="fr-FR"/>
                      </w:rPr>
                      <w:t>[Online]. Available: https://www.onr.org.uk/operational/tech_asst_guides/index.htm.</w:t>
                    </w:r>
                  </w:p>
                </w:tc>
              </w:tr>
              <w:tr w:rsidR="002A4EED" w14:paraId="65FF7CF7" w14:textId="77777777" w:rsidTr="002A4EED">
                <w:trPr>
                  <w:divId w:val="1365979304"/>
                  <w:tblCellSpacing w:w="15" w:type="dxa"/>
                </w:trPr>
                <w:tc>
                  <w:tcPr>
                    <w:tcW w:w="285" w:type="pct"/>
                    <w:hideMark/>
                  </w:tcPr>
                  <w:p w14:paraId="7867E278" w14:textId="77777777" w:rsidR="002A4EED" w:rsidRDefault="002A4EED">
                    <w:pPr>
                      <w:pStyle w:val="Bibliography"/>
                      <w:rPr>
                        <w:noProof/>
                      </w:rPr>
                    </w:pPr>
                    <w:r>
                      <w:rPr>
                        <w:noProof/>
                      </w:rPr>
                      <w:t xml:space="preserve">[20] </w:t>
                    </w:r>
                  </w:p>
                </w:tc>
                <w:tc>
                  <w:tcPr>
                    <w:tcW w:w="0" w:type="auto"/>
                    <w:hideMark/>
                  </w:tcPr>
                  <w:p w14:paraId="446807C9" w14:textId="77777777" w:rsidR="002A4EED" w:rsidRDefault="002A4EED">
                    <w:pPr>
                      <w:pStyle w:val="Bibliography"/>
                      <w:rPr>
                        <w:noProof/>
                      </w:rPr>
                    </w:pPr>
                    <w:r>
                      <w:rPr>
                        <w:noProof/>
                      </w:rPr>
                      <w:t>ONR, “The Identification Selection and Significance of External Hazards to Nuclear Sites,” 2013, (2013/143209).</w:t>
                    </w:r>
                  </w:p>
                </w:tc>
              </w:tr>
              <w:tr w:rsidR="002A4EED" w:rsidRPr="00694380" w14:paraId="4215DC3E" w14:textId="77777777" w:rsidTr="002A4EED">
                <w:trPr>
                  <w:divId w:val="1365979304"/>
                  <w:tblCellSpacing w:w="15" w:type="dxa"/>
                </w:trPr>
                <w:tc>
                  <w:tcPr>
                    <w:tcW w:w="285" w:type="pct"/>
                    <w:hideMark/>
                  </w:tcPr>
                  <w:p w14:paraId="1569EC7F" w14:textId="77777777" w:rsidR="002A4EED" w:rsidRDefault="002A4EED">
                    <w:pPr>
                      <w:pStyle w:val="Bibliography"/>
                      <w:rPr>
                        <w:noProof/>
                      </w:rPr>
                    </w:pPr>
                    <w:r>
                      <w:rPr>
                        <w:noProof/>
                      </w:rPr>
                      <w:t xml:space="preserve">[21] </w:t>
                    </w:r>
                  </w:p>
                </w:tc>
                <w:tc>
                  <w:tcPr>
                    <w:tcW w:w="0" w:type="auto"/>
                    <w:hideMark/>
                  </w:tcPr>
                  <w:p w14:paraId="1BA272AB" w14:textId="77777777" w:rsidR="002A4EED" w:rsidRPr="000D6BF8" w:rsidRDefault="002A4EED">
                    <w:pPr>
                      <w:pStyle w:val="Bibliography"/>
                      <w:rPr>
                        <w:noProof/>
                        <w:lang w:val="fr-FR"/>
                      </w:rPr>
                    </w:pPr>
                    <w:r>
                      <w:rPr>
                        <w:noProof/>
                      </w:rPr>
                      <w:t xml:space="preserve">IAEA, “SSR-1, Site Evaluation for Nuclear Installations,” 2019. </w:t>
                    </w:r>
                    <w:r w:rsidRPr="000D6BF8">
                      <w:rPr>
                        <w:noProof/>
                        <w:lang w:val="fr-FR"/>
                      </w:rPr>
                      <w:t>[Online]. Available: https://www.iaea.org/publications.</w:t>
                    </w:r>
                  </w:p>
                </w:tc>
              </w:tr>
              <w:tr w:rsidR="002A4EED" w14:paraId="52C09A85" w14:textId="77777777" w:rsidTr="002A4EED">
                <w:trPr>
                  <w:divId w:val="1365979304"/>
                  <w:tblCellSpacing w:w="15" w:type="dxa"/>
                </w:trPr>
                <w:tc>
                  <w:tcPr>
                    <w:tcW w:w="285" w:type="pct"/>
                    <w:hideMark/>
                  </w:tcPr>
                  <w:p w14:paraId="5BAF135C" w14:textId="77777777" w:rsidR="002A4EED" w:rsidRDefault="002A4EED">
                    <w:pPr>
                      <w:pStyle w:val="Bibliography"/>
                      <w:rPr>
                        <w:noProof/>
                      </w:rPr>
                    </w:pPr>
                    <w:r>
                      <w:rPr>
                        <w:noProof/>
                      </w:rPr>
                      <w:t xml:space="preserve">[22] </w:t>
                    </w:r>
                  </w:p>
                </w:tc>
                <w:tc>
                  <w:tcPr>
                    <w:tcW w:w="0" w:type="auto"/>
                    <w:hideMark/>
                  </w:tcPr>
                  <w:p w14:paraId="66868C48" w14:textId="77777777" w:rsidR="002A4EED" w:rsidRDefault="002A4EED">
                    <w:pPr>
                      <w:pStyle w:val="Bibliography"/>
                      <w:rPr>
                        <w:noProof/>
                      </w:rPr>
                    </w:pPr>
                    <w:r>
                      <w:rPr>
                        <w:noProof/>
                      </w:rPr>
                      <w:t>IAEA, “SSG-68, Design of nuclear installations against external events excluding earthquakes,” 2021. [Online]. Available: https://www.iaea.org/publications.</w:t>
                    </w:r>
                  </w:p>
                </w:tc>
              </w:tr>
              <w:tr w:rsidR="002A4EED" w14:paraId="5AA2DB5C" w14:textId="77777777" w:rsidTr="002A4EED">
                <w:trPr>
                  <w:divId w:val="1365979304"/>
                  <w:tblCellSpacing w:w="15" w:type="dxa"/>
                </w:trPr>
                <w:tc>
                  <w:tcPr>
                    <w:tcW w:w="285" w:type="pct"/>
                    <w:hideMark/>
                  </w:tcPr>
                  <w:p w14:paraId="41F4BD87" w14:textId="77777777" w:rsidR="002A4EED" w:rsidRDefault="002A4EED">
                    <w:pPr>
                      <w:pStyle w:val="Bibliography"/>
                      <w:rPr>
                        <w:noProof/>
                      </w:rPr>
                    </w:pPr>
                    <w:r>
                      <w:rPr>
                        <w:noProof/>
                      </w:rPr>
                      <w:t xml:space="preserve">[23] </w:t>
                    </w:r>
                  </w:p>
                </w:tc>
                <w:tc>
                  <w:tcPr>
                    <w:tcW w:w="0" w:type="auto"/>
                    <w:hideMark/>
                  </w:tcPr>
                  <w:p w14:paraId="6517BC62" w14:textId="77777777" w:rsidR="002A4EED" w:rsidRDefault="002A4EED">
                    <w:pPr>
                      <w:pStyle w:val="Bibliography"/>
                      <w:rPr>
                        <w:noProof/>
                      </w:rPr>
                    </w:pPr>
                    <w:r>
                      <w:rPr>
                        <w:noProof/>
                      </w:rPr>
                      <w:t>IAEA, “SSG-9 (Rev. 1) Seismic Hazards in Site Evaluation for Nuclear Installations,” 2022. [Online]. Available: https://www.iaea.org/publications.</w:t>
                    </w:r>
                  </w:p>
                </w:tc>
              </w:tr>
              <w:tr w:rsidR="002A4EED" w14:paraId="0ECB6ED4" w14:textId="77777777" w:rsidTr="002A4EED">
                <w:trPr>
                  <w:divId w:val="1365979304"/>
                  <w:tblCellSpacing w:w="15" w:type="dxa"/>
                </w:trPr>
                <w:tc>
                  <w:tcPr>
                    <w:tcW w:w="285" w:type="pct"/>
                    <w:hideMark/>
                  </w:tcPr>
                  <w:p w14:paraId="34C63782" w14:textId="77777777" w:rsidR="002A4EED" w:rsidRDefault="002A4EED">
                    <w:pPr>
                      <w:pStyle w:val="Bibliography"/>
                      <w:rPr>
                        <w:noProof/>
                      </w:rPr>
                    </w:pPr>
                    <w:r>
                      <w:rPr>
                        <w:noProof/>
                      </w:rPr>
                      <w:t xml:space="preserve">[24] </w:t>
                    </w:r>
                  </w:p>
                </w:tc>
                <w:tc>
                  <w:tcPr>
                    <w:tcW w:w="0" w:type="auto"/>
                    <w:hideMark/>
                  </w:tcPr>
                  <w:p w14:paraId="334C3CF6" w14:textId="77777777" w:rsidR="002A4EED" w:rsidRDefault="002A4EED">
                    <w:pPr>
                      <w:pStyle w:val="Bibliography"/>
                      <w:rPr>
                        <w:noProof/>
                      </w:rPr>
                    </w:pPr>
                    <w:r>
                      <w:rPr>
                        <w:noProof/>
                      </w:rPr>
                      <w:t>IAEA, “SSG-18, Meteorological and Hydrological Hazards in Site Evaluation for Nuclear Installations,” 2011. [Online]. Available: https://www.iaea.org/publications.</w:t>
                    </w:r>
                  </w:p>
                </w:tc>
              </w:tr>
              <w:tr w:rsidR="002A4EED" w:rsidRPr="00694380" w14:paraId="3E41FC7C" w14:textId="77777777" w:rsidTr="002A4EED">
                <w:trPr>
                  <w:divId w:val="1365979304"/>
                  <w:tblCellSpacing w:w="15" w:type="dxa"/>
                </w:trPr>
                <w:tc>
                  <w:tcPr>
                    <w:tcW w:w="285" w:type="pct"/>
                    <w:hideMark/>
                  </w:tcPr>
                  <w:p w14:paraId="2D677D1B" w14:textId="77777777" w:rsidR="002A4EED" w:rsidRDefault="002A4EED">
                    <w:pPr>
                      <w:pStyle w:val="Bibliography"/>
                      <w:rPr>
                        <w:noProof/>
                      </w:rPr>
                    </w:pPr>
                    <w:r>
                      <w:rPr>
                        <w:noProof/>
                      </w:rPr>
                      <w:lastRenderedPageBreak/>
                      <w:t xml:space="preserve">[25] </w:t>
                    </w:r>
                  </w:p>
                </w:tc>
                <w:tc>
                  <w:tcPr>
                    <w:tcW w:w="0" w:type="auto"/>
                    <w:hideMark/>
                  </w:tcPr>
                  <w:p w14:paraId="76373039" w14:textId="77777777" w:rsidR="002A4EED" w:rsidRPr="000D6BF8" w:rsidRDefault="002A4EED">
                    <w:pPr>
                      <w:pStyle w:val="Bibliography"/>
                      <w:rPr>
                        <w:noProof/>
                        <w:lang w:val="fr-FR"/>
                      </w:rPr>
                    </w:pPr>
                    <w:r>
                      <w:rPr>
                        <w:noProof/>
                      </w:rPr>
                      <w:t xml:space="preserve">WENRA RHWG, “Safety of New NPP Designs,” March 2013. </w:t>
                    </w:r>
                    <w:r w:rsidRPr="000D6BF8">
                      <w:rPr>
                        <w:noProof/>
                        <w:lang w:val="fr-FR"/>
                      </w:rPr>
                      <w:t>[Online]. Available: www.wenra.org/media/filer_public/2013/08/23/rhwg_safety_of_new_npp_designs.pdf.</w:t>
                    </w:r>
                  </w:p>
                </w:tc>
              </w:tr>
              <w:tr w:rsidR="002A4EED" w14:paraId="18CABE69" w14:textId="77777777" w:rsidTr="002A4EED">
                <w:trPr>
                  <w:divId w:val="1365979304"/>
                  <w:tblCellSpacing w:w="15" w:type="dxa"/>
                </w:trPr>
                <w:tc>
                  <w:tcPr>
                    <w:tcW w:w="285" w:type="pct"/>
                    <w:hideMark/>
                  </w:tcPr>
                  <w:p w14:paraId="047FEB9B" w14:textId="77777777" w:rsidR="002A4EED" w:rsidRDefault="002A4EED">
                    <w:pPr>
                      <w:pStyle w:val="Bibliography"/>
                      <w:rPr>
                        <w:noProof/>
                      </w:rPr>
                    </w:pPr>
                    <w:r>
                      <w:rPr>
                        <w:noProof/>
                      </w:rPr>
                      <w:t xml:space="preserve">[26] </w:t>
                    </w:r>
                  </w:p>
                </w:tc>
                <w:tc>
                  <w:tcPr>
                    <w:tcW w:w="0" w:type="auto"/>
                    <w:hideMark/>
                  </w:tcPr>
                  <w:p w14:paraId="3A7E4285" w14:textId="77777777" w:rsidR="002A4EED" w:rsidRDefault="002A4EED">
                    <w:pPr>
                      <w:pStyle w:val="Bibliography"/>
                      <w:rPr>
                        <w:noProof/>
                      </w:rPr>
                    </w:pPr>
                    <w:r>
                      <w:rPr>
                        <w:noProof/>
                      </w:rPr>
                      <w:t>K. &amp;. B. H. Decker, “List of external hazards to be considered in ASAMPSA_E, EURATOM 7th Framework Prog. ASAPSA_E, Tech. Rpt. ASAPSA_E/WP21/D21.2/2017-41,” February 2017, http://asampsa.eu/wp-content/uploads/2014/10/ASAMPSA_E-D21.2_External_Hazard_List.pdf.</w:t>
                    </w:r>
                  </w:p>
                </w:tc>
              </w:tr>
              <w:tr w:rsidR="002A4EED" w14:paraId="7BE29C3D" w14:textId="77777777" w:rsidTr="002A4EED">
                <w:trPr>
                  <w:divId w:val="1365979304"/>
                  <w:tblCellSpacing w:w="15" w:type="dxa"/>
                </w:trPr>
                <w:tc>
                  <w:tcPr>
                    <w:tcW w:w="285" w:type="pct"/>
                    <w:hideMark/>
                  </w:tcPr>
                  <w:p w14:paraId="34F790AC" w14:textId="77777777" w:rsidR="002A4EED" w:rsidRDefault="002A4EED">
                    <w:pPr>
                      <w:pStyle w:val="Bibliography"/>
                      <w:rPr>
                        <w:noProof/>
                      </w:rPr>
                    </w:pPr>
                    <w:r>
                      <w:rPr>
                        <w:noProof/>
                      </w:rPr>
                      <w:t xml:space="preserve">[27] </w:t>
                    </w:r>
                  </w:p>
                </w:tc>
                <w:tc>
                  <w:tcPr>
                    <w:tcW w:w="0" w:type="auto"/>
                    <w:hideMark/>
                  </w:tcPr>
                  <w:p w14:paraId="1875D7C0" w14:textId="77777777" w:rsidR="002A4EED" w:rsidRDefault="002A4EED">
                    <w:pPr>
                      <w:pStyle w:val="Bibliography"/>
                      <w:rPr>
                        <w:noProof/>
                      </w:rPr>
                    </w:pPr>
                    <w:r>
                      <w:rPr>
                        <w:noProof/>
                      </w:rPr>
                      <w:t>M. a. L. P. Knochenhauer, “Guidance for External Event Analysis, SKI Report 02:27,” February 2003.</w:t>
                    </w:r>
                  </w:p>
                </w:tc>
              </w:tr>
              <w:tr w:rsidR="002A4EED" w14:paraId="0A1DD64E" w14:textId="77777777" w:rsidTr="002A4EED">
                <w:trPr>
                  <w:divId w:val="1365979304"/>
                  <w:tblCellSpacing w:w="15" w:type="dxa"/>
                </w:trPr>
                <w:tc>
                  <w:tcPr>
                    <w:tcW w:w="285" w:type="pct"/>
                    <w:hideMark/>
                  </w:tcPr>
                  <w:p w14:paraId="3F90D8E8" w14:textId="77777777" w:rsidR="002A4EED" w:rsidRDefault="002A4EED">
                    <w:pPr>
                      <w:pStyle w:val="Bibliography"/>
                      <w:rPr>
                        <w:noProof/>
                      </w:rPr>
                    </w:pPr>
                    <w:r>
                      <w:rPr>
                        <w:noProof/>
                      </w:rPr>
                      <w:t xml:space="preserve">[28] </w:t>
                    </w:r>
                  </w:p>
                </w:tc>
                <w:tc>
                  <w:tcPr>
                    <w:tcW w:w="0" w:type="auto"/>
                    <w:hideMark/>
                  </w:tcPr>
                  <w:p w14:paraId="32DE02CA" w14:textId="77777777" w:rsidR="002A4EED" w:rsidRDefault="002A4EED">
                    <w:pPr>
                      <w:pStyle w:val="Bibliography"/>
                      <w:rPr>
                        <w:noProof/>
                      </w:rPr>
                    </w:pPr>
                    <w:r>
                      <w:rPr>
                        <w:noProof/>
                      </w:rPr>
                      <w:t>EPRI, “Identification of External Hazards for Analysis in Probabilistic Risk Assessment: Update of Report 1022997,” October 2015. [Online]. Available: https://www.epri.com/research/products/1022997.</w:t>
                    </w:r>
                  </w:p>
                </w:tc>
              </w:tr>
              <w:tr w:rsidR="002A4EED" w:rsidRPr="00694380" w14:paraId="0FD1C9CF" w14:textId="77777777" w:rsidTr="002A4EED">
                <w:trPr>
                  <w:divId w:val="1365979304"/>
                  <w:tblCellSpacing w:w="15" w:type="dxa"/>
                </w:trPr>
                <w:tc>
                  <w:tcPr>
                    <w:tcW w:w="285" w:type="pct"/>
                    <w:hideMark/>
                  </w:tcPr>
                  <w:p w14:paraId="35B3166C" w14:textId="77777777" w:rsidR="002A4EED" w:rsidRDefault="002A4EED">
                    <w:pPr>
                      <w:pStyle w:val="Bibliography"/>
                      <w:rPr>
                        <w:noProof/>
                      </w:rPr>
                    </w:pPr>
                    <w:r>
                      <w:rPr>
                        <w:noProof/>
                      </w:rPr>
                      <w:t xml:space="preserve">[29] </w:t>
                    </w:r>
                  </w:p>
                </w:tc>
                <w:tc>
                  <w:tcPr>
                    <w:tcW w:w="0" w:type="auto"/>
                    <w:hideMark/>
                  </w:tcPr>
                  <w:p w14:paraId="32700DE5" w14:textId="77777777" w:rsidR="002A4EED" w:rsidRPr="000D6BF8" w:rsidRDefault="002A4EED">
                    <w:pPr>
                      <w:pStyle w:val="Bibliography"/>
                      <w:rPr>
                        <w:noProof/>
                        <w:lang w:val="fr-FR"/>
                      </w:rPr>
                    </w:pPr>
                    <w:r>
                      <w:rPr>
                        <w:noProof/>
                      </w:rPr>
                      <w:t xml:space="preserve">ONR, “ONR-GDA-GD-006 Rev. 0, New Nuclear Power Plants: Generic Design Assessment Guidance to Requesting Parties,” October 2019. </w:t>
                    </w:r>
                    <w:r w:rsidRPr="000D6BF8">
                      <w:rPr>
                        <w:noProof/>
                        <w:lang w:val="fr-FR"/>
                      </w:rPr>
                      <w:t>[Online]. Available: https://www.onr.org.uk/new-reactors/onr-gda-gd-006.pdf.</w:t>
                    </w:r>
                  </w:p>
                </w:tc>
              </w:tr>
              <w:tr w:rsidR="002A4EED" w:rsidRPr="00694380" w14:paraId="6FAF48DC" w14:textId="77777777" w:rsidTr="002A4EED">
                <w:trPr>
                  <w:divId w:val="1365979304"/>
                  <w:tblCellSpacing w:w="15" w:type="dxa"/>
                </w:trPr>
                <w:tc>
                  <w:tcPr>
                    <w:tcW w:w="285" w:type="pct"/>
                    <w:hideMark/>
                  </w:tcPr>
                  <w:p w14:paraId="7E37C5D7" w14:textId="77777777" w:rsidR="002A4EED" w:rsidRDefault="002A4EED">
                    <w:pPr>
                      <w:pStyle w:val="Bibliography"/>
                      <w:rPr>
                        <w:noProof/>
                      </w:rPr>
                    </w:pPr>
                    <w:r>
                      <w:rPr>
                        <w:noProof/>
                      </w:rPr>
                      <w:t xml:space="preserve">[30] </w:t>
                    </w:r>
                  </w:p>
                </w:tc>
                <w:tc>
                  <w:tcPr>
                    <w:tcW w:w="0" w:type="auto"/>
                    <w:hideMark/>
                  </w:tcPr>
                  <w:p w14:paraId="3CADB96C" w14:textId="77777777" w:rsidR="002A4EED" w:rsidRPr="000D6BF8" w:rsidRDefault="002A4EED">
                    <w:pPr>
                      <w:pStyle w:val="Bibliography"/>
                      <w:rPr>
                        <w:noProof/>
                        <w:lang w:val="fr-FR"/>
                      </w:rPr>
                    </w:pPr>
                    <w:r>
                      <w:rPr>
                        <w:noProof/>
                      </w:rPr>
                      <w:t xml:space="preserve">ONR, “ONR-GDA-GD-007 Rev. 0, New Nuclear Power Plants: Generic Design Assessment Technical Guidance,” May 2019. </w:t>
                    </w:r>
                    <w:r w:rsidRPr="000D6BF8">
                      <w:rPr>
                        <w:noProof/>
                        <w:lang w:val="fr-FR"/>
                      </w:rPr>
                      <w:t>[Online]. Available: https://www.onr.org.uk/new-reactors/reports/onr-gda-007.pdf.</w:t>
                    </w:r>
                  </w:p>
                </w:tc>
              </w:tr>
              <w:tr w:rsidR="002A4EED" w14:paraId="55B426E9" w14:textId="77777777" w:rsidTr="002A4EED">
                <w:trPr>
                  <w:divId w:val="1365979304"/>
                  <w:tblCellSpacing w:w="15" w:type="dxa"/>
                </w:trPr>
                <w:tc>
                  <w:tcPr>
                    <w:tcW w:w="285" w:type="pct"/>
                    <w:hideMark/>
                  </w:tcPr>
                  <w:p w14:paraId="328B1DF4" w14:textId="77777777" w:rsidR="002A4EED" w:rsidRDefault="002A4EED">
                    <w:pPr>
                      <w:pStyle w:val="Bibliography"/>
                      <w:rPr>
                        <w:noProof/>
                      </w:rPr>
                    </w:pPr>
                    <w:r>
                      <w:rPr>
                        <w:noProof/>
                      </w:rPr>
                      <w:t xml:space="preserve">[31] </w:t>
                    </w:r>
                  </w:p>
                </w:tc>
                <w:tc>
                  <w:tcPr>
                    <w:tcW w:w="0" w:type="auto"/>
                    <w:hideMark/>
                  </w:tcPr>
                  <w:p w14:paraId="1E08E133" w14:textId="77777777" w:rsidR="002A4EED" w:rsidRDefault="002A4EED">
                    <w:pPr>
                      <w:pStyle w:val="Bibliography"/>
                      <w:rPr>
                        <w:noProof/>
                      </w:rPr>
                    </w:pPr>
                    <w:r>
                      <w:rPr>
                        <w:noProof/>
                      </w:rPr>
                      <w:t>IAEA, “SSR-2/1, Safety of Nuclear Power Plants: Design, Rev. 1,” 2016. [Online]. Available: https://www.iaea.org/publications.</w:t>
                    </w:r>
                  </w:p>
                </w:tc>
              </w:tr>
              <w:tr w:rsidR="002A4EED" w:rsidRPr="00694380" w14:paraId="232C4D15" w14:textId="77777777" w:rsidTr="002A4EED">
                <w:trPr>
                  <w:divId w:val="1365979304"/>
                  <w:tblCellSpacing w:w="15" w:type="dxa"/>
                </w:trPr>
                <w:tc>
                  <w:tcPr>
                    <w:tcW w:w="285" w:type="pct"/>
                    <w:hideMark/>
                  </w:tcPr>
                  <w:p w14:paraId="7B459A1F" w14:textId="77777777" w:rsidR="002A4EED" w:rsidRDefault="002A4EED">
                    <w:pPr>
                      <w:pStyle w:val="Bibliography"/>
                      <w:rPr>
                        <w:noProof/>
                      </w:rPr>
                    </w:pPr>
                    <w:r>
                      <w:rPr>
                        <w:noProof/>
                      </w:rPr>
                      <w:t xml:space="preserve">[32] </w:t>
                    </w:r>
                  </w:p>
                </w:tc>
                <w:tc>
                  <w:tcPr>
                    <w:tcW w:w="0" w:type="auto"/>
                    <w:hideMark/>
                  </w:tcPr>
                  <w:p w14:paraId="3836A387" w14:textId="77777777" w:rsidR="002A4EED" w:rsidRPr="000D6BF8" w:rsidRDefault="002A4EED">
                    <w:pPr>
                      <w:pStyle w:val="Bibliography"/>
                      <w:rPr>
                        <w:noProof/>
                        <w:lang w:val="fr-FR"/>
                      </w:rPr>
                    </w:pPr>
                    <w:r>
                      <w:rPr>
                        <w:noProof/>
                      </w:rPr>
                      <w:t xml:space="preserve">ONR, “NS-TAST-GD-050, Technical Assessment Guide 050: Periodic Safety Review,” December 2022. </w:t>
                    </w:r>
                    <w:r w:rsidRPr="000D6BF8">
                      <w:rPr>
                        <w:noProof/>
                        <w:lang w:val="fr-FR"/>
                      </w:rPr>
                      <w:t>[Online]. Available: https://www.onr.org.uk/operational/tech_asst_guides/index.htm.</w:t>
                    </w:r>
                  </w:p>
                </w:tc>
              </w:tr>
              <w:tr w:rsidR="002A4EED" w:rsidRPr="00694380" w14:paraId="795E4A55" w14:textId="77777777" w:rsidTr="002A4EED">
                <w:trPr>
                  <w:divId w:val="1365979304"/>
                  <w:tblCellSpacing w:w="15" w:type="dxa"/>
                </w:trPr>
                <w:tc>
                  <w:tcPr>
                    <w:tcW w:w="285" w:type="pct"/>
                    <w:hideMark/>
                  </w:tcPr>
                  <w:p w14:paraId="7595ECB4" w14:textId="77777777" w:rsidR="002A4EED" w:rsidRDefault="002A4EED">
                    <w:pPr>
                      <w:pStyle w:val="Bibliography"/>
                      <w:rPr>
                        <w:noProof/>
                      </w:rPr>
                    </w:pPr>
                    <w:r>
                      <w:rPr>
                        <w:noProof/>
                      </w:rPr>
                      <w:t xml:space="preserve">[33] </w:t>
                    </w:r>
                  </w:p>
                </w:tc>
                <w:tc>
                  <w:tcPr>
                    <w:tcW w:w="0" w:type="auto"/>
                    <w:hideMark/>
                  </w:tcPr>
                  <w:p w14:paraId="13A69993" w14:textId="77777777" w:rsidR="002A4EED" w:rsidRPr="000D6BF8" w:rsidRDefault="002A4EED">
                    <w:pPr>
                      <w:pStyle w:val="Bibliography"/>
                      <w:rPr>
                        <w:noProof/>
                        <w:lang w:val="fr-FR"/>
                      </w:rPr>
                    </w:pPr>
                    <w:r>
                      <w:rPr>
                        <w:noProof/>
                      </w:rPr>
                      <w:t xml:space="preserve">IAEA, “SF-1 Fundamental Safety Principles,” 2006. [Online]. </w:t>
                    </w:r>
                    <w:r w:rsidRPr="000D6BF8">
                      <w:rPr>
                        <w:noProof/>
                        <w:lang w:val="fr-FR"/>
                      </w:rPr>
                      <w:t>Available: https://www.iaea.org/publications.</w:t>
                    </w:r>
                  </w:p>
                </w:tc>
              </w:tr>
              <w:tr w:rsidR="002A4EED" w14:paraId="51D063FD" w14:textId="77777777" w:rsidTr="002A4EED">
                <w:trPr>
                  <w:divId w:val="1365979304"/>
                  <w:tblCellSpacing w:w="15" w:type="dxa"/>
                </w:trPr>
                <w:tc>
                  <w:tcPr>
                    <w:tcW w:w="285" w:type="pct"/>
                    <w:hideMark/>
                  </w:tcPr>
                  <w:p w14:paraId="315685FB" w14:textId="77777777" w:rsidR="002A4EED" w:rsidRDefault="002A4EED">
                    <w:pPr>
                      <w:pStyle w:val="Bibliography"/>
                      <w:rPr>
                        <w:noProof/>
                      </w:rPr>
                    </w:pPr>
                    <w:r>
                      <w:rPr>
                        <w:noProof/>
                      </w:rPr>
                      <w:t xml:space="preserve">[34] </w:t>
                    </w:r>
                  </w:p>
                </w:tc>
                <w:tc>
                  <w:tcPr>
                    <w:tcW w:w="0" w:type="auto"/>
                    <w:hideMark/>
                  </w:tcPr>
                  <w:p w14:paraId="5F5EC5A0" w14:textId="77777777" w:rsidR="002A4EED" w:rsidRDefault="002A4EED">
                    <w:pPr>
                      <w:pStyle w:val="Bibliography"/>
                      <w:rPr>
                        <w:noProof/>
                      </w:rPr>
                    </w:pPr>
                    <w:r>
                      <w:rPr>
                        <w:noProof/>
                      </w:rPr>
                      <w:t>IAEA, “SSG-79, Hazards Associated with Human Induced External Events in Site Evaluation for Nuclear Installations,” 2023. [Online]. Available: https://www.iaea.org/publications.</w:t>
                    </w:r>
                  </w:p>
                </w:tc>
              </w:tr>
              <w:tr w:rsidR="002A4EED" w14:paraId="5ED519C9" w14:textId="77777777" w:rsidTr="002A4EED">
                <w:trPr>
                  <w:divId w:val="1365979304"/>
                  <w:tblCellSpacing w:w="15" w:type="dxa"/>
                </w:trPr>
                <w:tc>
                  <w:tcPr>
                    <w:tcW w:w="285" w:type="pct"/>
                    <w:hideMark/>
                  </w:tcPr>
                  <w:p w14:paraId="4298CB15" w14:textId="77777777" w:rsidR="002A4EED" w:rsidRDefault="002A4EED">
                    <w:pPr>
                      <w:pStyle w:val="Bibliography"/>
                      <w:rPr>
                        <w:noProof/>
                      </w:rPr>
                    </w:pPr>
                    <w:r>
                      <w:rPr>
                        <w:noProof/>
                      </w:rPr>
                      <w:t xml:space="preserve">[35] </w:t>
                    </w:r>
                  </w:p>
                </w:tc>
                <w:tc>
                  <w:tcPr>
                    <w:tcW w:w="0" w:type="auto"/>
                    <w:hideMark/>
                  </w:tcPr>
                  <w:p w14:paraId="7AB3CD3A" w14:textId="77777777" w:rsidR="002A4EED" w:rsidRDefault="002A4EED">
                    <w:pPr>
                      <w:pStyle w:val="Bibliography"/>
                      <w:rPr>
                        <w:noProof/>
                      </w:rPr>
                    </w:pPr>
                    <w:r>
                      <w:rPr>
                        <w:noProof/>
                      </w:rPr>
                      <w:t>IAEA, “NS-G-3.6, Geotechnical aspects of site evaluation and foundations for nuclear power plants,” 2005. [Online]. Available: https://www.iaea.org/publications.</w:t>
                    </w:r>
                  </w:p>
                </w:tc>
              </w:tr>
              <w:tr w:rsidR="002A4EED" w14:paraId="71C13C3F" w14:textId="77777777" w:rsidTr="002A4EED">
                <w:trPr>
                  <w:divId w:val="1365979304"/>
                  <w:tblCellSpacing w:w="15" w:type="dxa"/>
                </w:trPr>
                <w:tc>
                  <w:tcPr>
                    <w:tcW w:w="285" w:type="pct"/>
                    <w:hideMark/>
                  </w:tcPr>
                  <w:p w14:paraId="304B2DA1" w14:textId="77777777" w:rsidR="002A4EED" w:rsidRDefault="002A4EED">
                    <w:pPr>
                      <w:pStyle w:val="Bibliography"/>
                      <w:rPr>
                        <w:noProof/>
                      </w:rPr>
                    </w:pPr>
                    <w:r>
                      <w:rPr>
                        <w:noProof/>
                      </w:rPr>
                      <w:t xml:space="preserve">[36] </w:t>
                    </w:r>
                  </w:p>
                </w:tc>
                <w:tc>
                  <w:tcPr>
                    <w:tcW w:w="0" w:type="auto"/>
                    <w:hideMark/>
                  </w:tcPr>
                  <w:p w14:paraId="4F224BC2" w14:textId="77777777" w:rsidR="002A4EED" w:rsidRDefault="002A4EED">
                    <w:pPr>
                      <w:pStyle w:val="Bibliography"/>
                      <w:rPr>
                        <w:noProof/>
                      </w:rPr>
                    </w:pPr>
                    <w:r>
                      <w:rPr>
                        <w:noProof/>
                      </w:rPr>
                      <w:t>IAEA, “SSG-35, Site survey and site selection for nuclear installations,” 2015. [Online]. Available: https://www.iaea.org/publications.</w:t>
                    </w:r>
                  </w:p>
                </w:tc>
              </w:tr>
              <w:tr w:rsidR="002A4EED" w:rsidRPr="00694380" w14:paraId="61EC2A01" w14:textId="77777777" w:rsidTr="002A4EED">
                <w:trPr>
                  <w:divId w:val="1365979304"/>
                  <w:tblCellSpacing w:w="15" w:type="dxa"/>
                </w:trPr>
                <w:tc>
                  <w:tcPr>
                    <w:tcW w:w="285" w:type="pct"/>
                    <w:hideMark/>
                  </w:tcPr>
                  <w:p w14:paraId="1D3136DF" w14:textId="77777777" w:rsidR="002A4EED" w:rsidRDefault="002A4EED">
                    <w:pPr>
                      <w:pStyle w:val="Bibliography"/>
                      <w:rPr>
                        <w:noProof/>
                      </w:rPr>
                    </w:pPr>
                    <w:r>
                      <w:rPr>
                        <w:noProof/>
                      </w:rPr>
                      <w:t xml:space="preserve">[37] </w:t>
                    </w:r>
                  </w:p>
                </w:tc>
                <w:tc>
                  <w:tcPr>
                    <w:tcW w:w="0" w:type="auto"/>
                    <w:hideMark/>
                  </w:tcPr>
                  <w:p w14:paraId="0412D7C4" w14:textId="77777777" w:rsidR="002A4EED" w:rsidRPr="000D6BF8" w:rsidRDefault="002A4EED">
                    <w:pPr>
                      <w:pStyle w:val="Bibliography"/>
                      <w:rPr>
                        <w:noProof/>
                        <w:lang w:val="fr-FR"/>
                      </w:rPr>
                    </w:pPr>
                    <w:r>
                      <w:rPr>
                        <w:noProof/>
                      </w:rPr>
                      <w:t xml:space="preserve">IAEA, “SSG-67, Seismic Design for Nuclear Installations,” 2021. </w:t>
                    </w:r>
                    <w:r w:rsidRPr="000D6BF8">
                      <w:rPr>
                        <w:noProof/>
                        <w:lang w:val="fr-FR"/>
                      </w:rPr>
                      <w:t>[Online]. Available: https://www.iaea.org/publications.</w:t>
                    </w:r>
                  </w:p>
                </w:tc>
              </w:tr>
              <w:tr w:rsidR="002A4EED" w14:paraId="7048B60F" w14:textId="77777777" w:rsidTr="002A4EED">
                <w:trPr>
                  <w:divId w:val="1365979304"/>
                  <w:tblCellSpacing w:w="15" w:type="dxa"/>
                </w:trPr>
                <w:tc>
                  <w:tcPr>
                    <w:tcW w:w="285" w:type="pct"/>
                    <w:hideMark/>
                  </w:tcPr>
                  <w:p w14:paraId="3C146438" w14:textId="77777777" w:rsidR="002A4EED" w:rsidRDefault="002A4EED">
                    <w:pPr>
                      <w:pStyle w:val="Bibliography"/>
                      <w:rPr>
                        <w:noProof/>
                      </w:rPr>
                    </w:pPr>
                    <w:r>
                      <w:rPr>
                        <w:noProof/>
                      </w:rPr>
                      <w:lastRenderedPageBreak/>
                      <w:t xml:space="preserve">[38] </w:t>
                    </w:r>
                  </w:p>
                </w:tc>
                <w:tc>
                  <w:tcPr>
                    <w:tcW w:w="0" w:type="auto"/>
                    <w:hideMark/>
                  </w:tcPr>
                  <w:p w14:paraId="75559BD8" w14:textId="77777777" w:rsidR="002A4EED" w:rsidRDefault="002A4EED">
                    <w:pPr>
                      <w:pStyle w:val="Bibliography"/>
                      <w:rPr>
                        <w:noProof/>
                      </w:rPr>
                    </w:pPr>
                    <w:r>
                      <w:rPr>
                        <w:noProof/>
                      </w:rPr>
                      <w:t>IAEA, “NS-G-2.13, Evaluation of Seismic Safety for Existing Nuclear Installations,” 2009. [Online]. Available: https://www.iaea.org/publications.</w:t>
                    </w:r>
                  </w:p>
                </w:tc>
              </w:tr>
              <w:tr w:rsidR="002A4EED" w14:paraId="63B7606E" w14:textId="77777777" w:rsidTr="002A4EED">
                <w:trPr>
                  <w:divId w:val="1365979304"/>
                  <w:tblCellSpacing w:w="15" w:type="dxa"/>
                </w:trPr>
                <w:tc>
                  <w:tcPr>
                    <w:tcW w:w="285" w:type="pct"/>
                    <w:hideMark/>
                  </w:tcPr>
                  <w:p w14:paraId="307D62BF" w14:textId="77777777" w:rsidR="002A4EED" w:rsidRDefault="002A4EED">
                    <w:pPr>
                      <w:pStyle w:val="Bibliography"/>
                      <w:rPr>
                        <w:noProof/>
                      </w:rPr>
                    </w:pPr>
                    <w:r>
                      <w:rPr>
                        <w:noProof/>
                      </w:rPr>
                      <w:t xml:space="preserve">[39] </w:t>
                    </w:r>
                  </w:p>
                </w:tc>
                <w:tc>
                  <w:tcPr>
                    <w:tcW w:w="0" w:type="auto"/>
                    <w:hideMark/>
                  </w:tcPr>
                  <w:p w14:paraId="5542189F" w14:textId="77777777" w:rsidR="002A4EED" w:rsidRDefault="002A4EED">
                    <w:pPr>
                      <w:pStyle w:val="Bibliography"/>
                      <w:rPr>
                        <w:noProof/>
                      </w:rPr>
                    </w:pPr>
                    <w:r>
                      <w:rPr>
                        <w:noProof/>
                      </w:rPr>
                      <w:t>IAEA, “SSG-21, Volcanic Hazards in Site Evaluation for Nuclear Installations,” 2012. [Online]. Available: https://www.iaea.org/publications.</w:t>
                    </w:r>
                  </w:p>
                </w:tc>
              </w:tr>
              <w:tr w:rsidR="002A4EED" w14:paraId="227EE99F" w14:textId="77777777" w:rsidTr="002A4EED">
                <w:trPr>
                  <w:divId w:val="1365979304"/>
                  <w:tblCellSpacing w:w="15" w:type="dxa"/>
                </w:trPr>
                <w:tc>
                  <w:tcPr>
                    <w:tcW w:w="285" w:type="pct"/>
                    <w:hideMark/>
                  </w:tcPr>
                  <w:p w14:paraId="0CFB3F8B" w14:textId="77777777" w:rsidR="002A4EED" w:rsidRDefault="002A4EED">
                    <w:pPr>
                      <w:pStyle w:val="Bibliography"/>
                      <w:rPr>
                        <w:noProof/>
                      </w:rPr>
                    </w:pPr>
                    <w:r>
                      <w:rPr>
                        <w:noProof/>
                      </w:rPr>
                      <w:t xml:space="preserve">[40] </w:t>
                    </w:r>
                  </w:p>
                </w:tc>
                <w:tc>
                  <w:tcPr>
                    <w:tcW w:w="0" w:type="auto"/>
                    <w:hideMark/>
                  </w:tcPr>
                  <w:p w14:paraId="1DC17A56" w14:textId="77777777" w:rsidR="002A4EED" w:rsidRDefault="002A4EED">
                    <w:pPr>
                      <w:pStyle w:val="Bibliography"/>
                      <w:rPr>
                        <w:noProof/>
                      </w:rPr>
                    </w:pPr>
                    <w:r>
                      <w:rPr>
                        <w:noProof/>
                      </w:rPr>
                      <w:t>IAEA, “SSG-77, Protection against internal and external hazards in the operation fo nuclear power plants,” 2022. [Online]. Available: https://www.iaea.org/publications.</w:t>
                    </w:r>
                  </w:p>
                </w:tc>
              </w:tr>
              <w:tr w:rsidR="002A4EED" w:rsidRPr="00694380" w14:paraId="3FB349B4" w14:textId="77777777" w:rsidTr="002A4EED">
                <w:trPr>
                  <w:divId w:val="1365979304"/>
                  <w:tblCellSpacing w:w="15" w:type="dxa"/>
                </w:trPr>
                <w:tc>
                  <w:tcPr>
                    <w:tcW w:w="285" w:type="pct"/>
                    <w:hideMark/>
                  </w:tcPr>
                  <w:p w14:paraId="79D52AF6" w14:textId="77777777" w:rsidR="002A4EED" w:rsidRDefault="002A4EED">
                    <w:pPr>
                      <w:pStyle w:val="Bibliography"/>
                      <w:rPr>
                        <w:noProof/>
                      </w:rPr>
                    </w:pPr>
                    <w:r>
                      <w:rPr>
                        <w:noProof/>
                      </w:rPr>
                      <w:t xml:space="preserve">[41] </w:t>
                    </w:r>
                  </w:p>
                </w:tc>
                <w:tc>
                  <w:tcPr>
                    <w:tcW w:w="0" w:type="auto"/>
                    <w:hideMark/>
                  </w:tcPr>
                  <w:p w14:paraId="01DE1409" w14:textId="77777777" w:rsidR="002A4EED" w:rsidRPr="000D6BF8" w:rsidRDefault="002A4EED">
                    <w:pPr>
                      <w:pStyle w:val="Bibliography"/>
                      <w:rPr>
                        <w:noProof/>
                        <w:lang w:val="fr-FR"/>
                      </w:rPr>
                    </w:pPr>
                    <w:r>
                      <w:rPr>
                        <w:noProof/>
                      </w:rPr>
                      <w:t xml:space="preserve">ONR, “Technical Assessment Guide 035: Limits and Conditions for Nuclear Safety (Operating Rules),” March 2023. </w:t>
                    </w:r>
                    <w:r w:rsidRPr="000D6BF8">
                      <w:rPr>
                        <w:noProof/>
                        <w:lang w:val="fr-FR"/>
                      </w:rPr>
                      <w:t>[Online]. Available: https://www.onr.org.uk/operational/tech_asst_guides/index.htm.</w:t>
                    </w:r>
                  </w:p>
                </w:tc>
              </w:tr>
              <w:tr w:rsidR="002A4EED" w:rsidRPr="00694380" w14:paraId="7A9D0C90" w14:textId="77777777" w:rsidTr="002A4EED">
                <w:trPr>
                  <w:divId w:val="1365979304"/>
                  <w:tblCellSpacing w:w="15" w:type="dxa"/>
                </w:trPr>
                <w:tc>
                  <w:tcPr>
                    <w:tcW w:w="285" w:type="pct"/>
                    <w:hideMark/>
                  </w:tcPr>
                  <w:p w14:paraId="5C1F4D37" w14:textId="77777777" w:rsidR="002A4EED" w:rsidRDefault="002A4EED">
                    <w:pPr>
                      <w:pStyle w:val="Bibliography"/>
                      <w:rPr>
                        <w:noProof/>
                      </w:rPr>
                    </w:pPr>
                    <w:r>
                      <w:rPr>
                        <w:noProof/>
                      </w:rPr>
                      <w:t xml:space="preserve">[42] </w:t>
                    </w:r>
                  </w:p>
                </w:tc>
                <w:tc>
                  <w:tcPr>
                    <w:tcW w:w="0" w:type="auto"/>
                    <w:hideMark/>
                  </w:tcPr>
                  <w:p w14:paraId="37E22B1F" w14:textId="77777777" w:rsidR="002A4EED" w:rsidRPr="000D6BF8" w:rsidRDefault="002A4EED">
                    <w:pPr>
                      <w:pStyle w:val="Bibliography"/>
                      <w:rPr>
                        <w:noProof/>
                        <w:lang w:val="fr-FR"/>
                      </w:rPr>
                    </w:pPr>
                    <w:r>
                      <w:rPr>
                        <w:noProof/>
                      </w:rPr>
                      <w:t xml:space="preserve">USNRC, “Perspectives Gained From the Individual Plant Examination of External Events (IPEEE) Program - Final Report, NUREG-1742, Vols. 1 &amp; 2,” April 2002. </w:t>
                    </w:r>
                    <w:r w:rsidRPr="000D6BF8">
                      <w:rPr>
                        <w:noProof/>
                        <w:lang w:val="fr-FR"/>
                      </w:rPr>
                      <w:t>[Online]. Available: https://www.nrc.gov/reading-rm/doc-collections/nuregs/index.html.</w:t>
                    </w:r>
                  </w:p>
                </w:tc>
              </w:tr>
              <w:tr w:rsidR="002A4EED" w:rsidRPr="00694380" w14:paraId="7E6FD2BB" w14:textId="77777777" w:rsidTr="002A4EED">
                <w:trPr>
                  <w:divId w:val="1365979304"/>
                  <w:tblCellSpacing w:w="15" w:type="dxa"/>
                </w:trPr>
                <w:tc>
                  <w:tcPr>
                    <w:tcW w:w="285" w:type="pct"/>
                    <w:hideMark/>
                  </w:tcPr>
                  <w:p w14:paraId="75F7FB60" w14:textId="77777777" w:rsidR="002A4EED" w:rsidRDefault="002A4EED">
                    <w:pPr>
                      <w:pStyle w:val="Bibliography"/>
                      <w:rPr>
                        <w:noProof/>
                      </w:rPr>
                    </w:pPr>
                    <w:r>
                      <w:rPr>
                        <w:noProof/>
                      </w:rPr>
                      <w:t xml:space="preserve">[43] </w:t>
                    </w:r>
                  </w:p>
                </w:tc>
                <w:tc>
                  <w:tcPr>
                    <w:tcW w:w="0" w:type="auto"/>
                    <w:hideMark/>
                  </w:tcPr>
                  <w:p w14:paraId="457396DF" w14:textId="77777777" w:rsidR="002A4EED" w:rsidRPr="000D6BF8" w:rsidRDefault="002A4EED">
                    <w:pPr>
                      <w:pStyle w:val="Bibliography"/>
                      <w:rPr>
                        <w:noProof/>
                        <w:lang w:val="fr-FR"/>
                      </w:rPr>
                    </w:pPr>
                    <w:r>
                      <w:rPr>
                        <w:noProof/>
                      </w:rPr>
                      <w:t xml:space="preserve">ONR, “"Stress Tests" for UK non-Power Generating Nuclear Facilities, Final Report,” May 2012. </w:t>
                    </w:r>
                    <w:r w:rsidRPr="000D6BF8">
                      <w:rPr>
                        <w:noProof/>
                        <w:lang w:val="fr-FR"/>
                      </w:rPr>
                      <w:t>[Online]. Available: https://www.onr.org.uk/fukushima/ngpf-report.pdf.</w:t>
                    </w:r>
                  </w:p>
                </w:tc>
              </w:tr>
              <w:tr w:rsidR="002A4EED" w:rsidRPr="00694380" w14:paraId="2B7C8496" w14:textId="77777777" w:rsidTr="002A4EED">
                <w:trPr>
                  <w:divId w:val="1365979304"/>
                  <w:tblCellSpacing w:w="15" w:type="dxa"/>
                </w:trPr>
                <w:tc>
                  <w:tcPr>
                    <w:tcW w:w="285" w:type="pct"/>
                    <w:hideMark/>
                  </w:tcPr>
                  <w:p w14:paraId="22F45B74" w14:textId="77777777" w:rsidR="002A4EED" w:rsidRDefault="002A4EED">
                    <w:pPr>
                      <w:pStyle w:val="Bibliography"/>
                      <w:rPr>
                        <w:noProof/>
                      </w:rPr>
                    </w:pPr>
                    <w:r>
                      <w:rPr>
                        <w:noProof/>
                      </w:rPr>
                      <w:t xml:space="preserve">[44] </w:t>
                    </w:r>
                  </w:p>
                </w:tc>
                <w:tc>
                  <w:tcPr>
                    <w:tcW w:w="0" w:type="auto"/>
                    <w:hideMark/>
                  </w:tcPr>
                  <w:p w14:paraId="13652D03" w14:textId="77777777" w:rsidR="002A4EED" w:rsidRPr="000D6BF8" w:rsidRDefault="002A4EED">
                    <w:pPr>
                      <w:pStyle w:val="Bibliography"/>
                      <w:rPr>
                        <w:noProof/>
                        <w:lang w:val="fr-FR"/>
                      </w:rPr>
                    </w:pPr>
                    <w:r>
                      <w:rPr>
                        <w:noProof/>
                      </w:rPr>
                      <w:t xml:space="preserve">ONR, “European Council "Stress Tests" for UK nuclear power plants, National Final Report,” December 2011. </w:t>
                    </w:r>
                    <w:r w:rsidRPr="000D6BF8">
                      <w:rPr>
                        <w:noProof/>
                        <w:lang w:val="fr-FR"/>
                      </w:rPr>
                      <w:t>[Online]. Available: https://www.onr.org.uk/fukushima/stress-tests-301211.pdf.</w:t>
                    </w:r>
                  </w:p>
                </w:tc>
              </w:tr>
              <w:tr w:rsidR="002A4EED" w:rsidRPr="00694380" w14:paraId="40C0FF05" w14:textId="77777777" w:rsidTr="002A4EED">
                <w:trPr>
                  <w:divId w:val="1365979304"/>
                  <w:tblCellSpacing w:w="15" w:type="dxa"/>
                </w:trPr>
                <w:tc>
                  <w:tcPr>
                    <w:tcW w:w="285" w:type="pct"/>
                    <w:hideMark/>
                  </w:tcPr>
                  <w:p w14:paraId="62F746AE" w14:textId="77777777" w:rsidR="002A4EED" w:rsidRDefault="002A4EED">
                    <w:pPr>
                      <w:pStyle w:val="Bibliography"/>
                      <w:rPr>
                        <w:noProof/>
                      </w:rPr>
                    </w:pPr>
                    <w:r>
                      <w:rPr>
                        <w:noProof/>
                      </w:rPr>
                      <w:t xml:space="preserve">[45] </w:t>
                    </w:r>
                  </w:p>
                </w:tc>
                <w:tc>
                  <w:tcPr>
                    <w:tcW w:w="0" w:type="auto"/>
                    <w:hideMark/>
                  </w:tcPr>
                  <w:p w14:paraId="435F7965" w14:textId="77777777" w:rsidR="002A4EED" w:rsidRPr="000D6BF8" w:rsidRDefault="002A4EED">
                    <w:pPr>
                      <w:pStyle w:val="Bibliography"/>
                      <w:rPr>
                        <w:noProof/>
                        <w:lang w:val="fr-FR"/>
                      </w:rPr>
                    </w:pPr>
                    <w:r>
                      <w:rPr>
                        <w:noProof/>
                      </w:rPr>
                      <w:t xml:space="preserve">Department of Energy and Climate Change, “National Policy Statement for Nuclear Power Generation (EN-6), Volume I of II,” 2011. </w:t>
                    </w:r>
                    <w:r w:rsidRPr="000D6BF8">
                      <w:rPr>
                        <w:noProof/>
                        <w:lang w:val="fr-FR"/>
                      </w:rPr>
                      <w:t>[Online]. Available: www.gov.uk/government/uploads/system/uploads/attachment_data/file/47859/2009-nps-for-nuclear-volumeI.pdf.</w:t>
                    </w:r>
                  </w:p>
                </w:tc>
              </w:tr>
            </w:tbl>
            <w:p w14:paraId="470428CD" w14:textId="77777777" w:rsidR="002A4EED" w:rsidRPr="000D6BF8" w:rsidRDefault="002A4EED">
              <w:pPr>
                <w:divId w:val="1365979304"/>
                <w:rPr>
                  <w:rFonts w:eastAsia="Times New Roman"/>
                  <w:noProof/>
                  <w:lang w:val="fr-FR"/>
                </w:rPr>
              </w:pPr>
            </w:p>
            <w:p w14:paraId="4733AE6B" w14:textId="677F1DFC" w:rsidR="00F7687C" w:rsidRDefault="00F7687C" w:rsidP="00547634">
              <w:r>
                <w:rPr>
                  <w:b/>
                  <w:bCs/>
                  <w:noProof/>
                </w:rPr>
                <w:fldChar w:fldCharType="end"/>
              </w:r>
            </w:p>
          </w:sdtContent>
        </w:sdt>
      </w:sdtContent>
    </w:sdt>
    <w:p w14:paraId="1DC90079" w14:textId="77777777" w:rsidR="00F7687C" w:rsidRDefault="00F7687C" w:rsidP="00F7687C">
      <w:pPr>
        <w:sectPr w:rsidR="00F7687C" w:rsidSect="000B2BCD">
          <w:pgSz w:w="11906" w:h="16838" w:code="9"/>
          <w:pgMar w:top="1440" w:right="1440" w:bottom="1440" w:left="1440" w:header="397" w:footer="397" w:gutter="0"/>
          <w:cols w:space="312"/>
          <w:docGrid w:linePitch="360"/>
        </w:sectPr>
      </w:pPr>
    </w:p>
    <w:p w14:paraId="4323F5E0" w14:textId="5FD03330" w:rsidR="00F7687C" w:rsidRPr="003B4701" w:rsidRDefault="00F7687C" w:rsidP="00904152">
      <w:pPr>
        <w:pStyle w:val="Heading1"/>
        <w:numPr>
          <w:ilvl w:val="0"/>
          <w:numId w:val="0"/>
        </w:numPr>
        <w:ind w:left="851" w:hanging="851"/>
      </w:pPr>
      <w:bookmarkStart w:id="932" w:name="_Toc89268373"/>
      <w:bookmarkStart w:id="933" w:name="_Toc140137272"/>
      <w:r w:rsidRPr="003B4701">
        <w:lastRenderedPageBreak/>
        <w:t>Abbreviations</w:t>
      </w:r>
      <w:bookmarkEnd w:id="932"/>
      <w:bookmarkEnd w:id="933"/>
    </w:p>
    <w:p w14:paraId="64D93439" w14:textId="77777777" w:rsidR="00035A2F" w:rsidRPr="00035A2F" w:rsidRDefault="00035A2F" w:rsidP="00035A2F">
      <w:pPr>
        <w:tabs>
          <w:tab w:val="left" w:pos="1440"/>
        </w:tabs>
        <w:spacing w:line="240" w:lineRule="auto"/>
        <w:contextualSpacing/>
      </w:pPr>
      <w:r w:rsidRPr="00035A2F">
        <w:t>ALARP</w:t>
      </w:r>
      <w:r w:rsidRPr="00035A2F">
        <w:tab/>
        <w:t>As Low As Reasonably Practicable</w:t>
      </w:r>
    </w:p>
    <w:p w14:paraId="7BB54D1D" w14:textId="77777777" w:rsidR="00035A2F" w:rsidRPr="00035A2F" w:rsidRDefault="00035A2F" w:rsidP="00035A2F">
      <w:pPr>
        <w:tabs>
          <w:tab w:val="left" w:pos="1440"/>
        </w:tabs>
        <w:spacing w:line="240" w:lineRule="auto"/>
        <w:contextualSpacing/>
      </w:pPr>
      <w:r w:rsidRPr="00035A2F">
        <w:t>BDB</w:t>
      </w:r>
      <w:r w:rsidRPr="00035A2F">
        <w:tab/>
        <w:t>Beyond Design Basis</w:t>
      </w:r>
    </w:p>
    <w:p w14:paraId="755C4CA4" w14:textId="77777777" w:rsidR="00035A2F" w:rsidRPr="00035A2F" w:rsidRDefault="00035A2F" w:rsidP="00035A2F">
      <w:pPr>
        <w:tabs>
          <w:tab w:val="left" w:pos="1440"/>
        </w:tabs>
        <w:spacing w:line="240" w:lineRule="auto"/>
        <w:contextualSpacing/>
      </w:pPr>
      <w:r w:rsidRPr="00035A2F">
        <w:t>BDBA</w:t>
      </w:r>
      <w:r w:rsidRPr="00035A2F">
        <w:tab/>
        <w:t>Beyond Design Basis Analysis</w:t>
      </w:r>
    </w:p>
    <w:p w14:paraId="1D4A3663" w14:textId="5FD1A9E5" w:rsidR="00643D15" w:rsidRDefault="00643D15" w:rsidP="00035A2F">
      <w:pPr>
        <w:tabs>
          <w:tab w:val="left" w:pos="1440"/>
        </w:tabs>
        <w:spacing w:line="240" w:lineRule="auto"/>
        <w:contextualSpacing/>
      </w:pPr>
      <w:proofErr w:type="spellStart"/>
      <w:r>
        <w:t>BoD</w:t>
      </w:r>
      <w:proofErr w:type="spellEnd"/>
      <w:r>
        <w:tab/>
        <w:t>Basis of Design</w:t>
      </w:r>
    </w:p>
    <w:p w14:paraId="74262597" w14:textId="7D51F196" w:rsidR="00D63A5C" w:rsidRDefault="00D63A5C" w:rsidP="00035A2F">
      <w:pPr>
        <w:tabs>
          <w:tab w:val="left" w:pos="1440"/>
        </w:tabs>
        <w:spacing w:line="240" w:lineRule="auto"/>
        <w:contextualSpacing/>
      </w:pPr>
      <w:r w:rsidRPr="00A057CF">
        <w:t>DB</w:t>
      </w:r>
      <w:r w:rsidRPr="00A057CF">
        <w:tab/>
        <w:t>Design Basis</w:t>
      </w:r>
    </w:p>
    <w:p w14:paraId="129279E0" w14:textId="2B764AF3" w:rsidR="00035A2F" w:rsidRPr="00035A2F" w:rsidRDefault="00035A2F" w:rsidP="00035A2F">
      <w:pPr>
        <w:tabs>
          <w:tab w:val="left" w:pos="1440"/>
        </w:tabs>
        <w:spacing w:line="240" w:lineRule="auto"/>
        <w:contextualSpacing/>
      </w:pPr>
      <w:r w:rsidRPr="00035A2F">
        <w:t>DB</w:t>
      </w:r>
      <w:r w:rsidR="00911567">
        <w:t>E</w:t>
      </w:r>
      <w:r w:rsidRPr="00035A2F">
        <w:tab/>
        <w:t>Design Basis</w:t>
      </w:r>
      <w:r w:rsidR="00911567">
        <w:t xml:space="preserve"> Event</w:t>
      </w:r>
    </w:p>
    <w:p w14:paraId="185A38CE" w14:textId="77777777" w:rsidR="00035A2F" w:rsidRPr="00035A2F" w:rsidRDefault="00035A2F" w:rsidP="00035A2F">
      <w:pPr>
        <w:tabs>
          <w:tab w:val="left" w:pos="1440"/>
        </w:tabs>
        <w:spacing w:line="240" w:lineRule="auto"/>
        <w:contextualSpacing/>
      </w:pPr>
      <w:r w:rsidRPr="00035A2F">
        <w:t>DBA</w:t>
      </w:r>
      <w:r w:rsidRPr="00035A2F">
        <w:tab/>
        <w:t>Design Basis Analysis</w:t>
      </w:r>
    </w:p>
    <w:p w14:paraId="5841F3AD" w14:textId="77777777" w:rsidR="00035A2F" w:rsidRPr="00035A2F" w:rsidRDefault="00035A2F" w:rsidP="00035A2F">
      <w:pPr>
        <w:tabs>
          <w:tab w:val="left" w:pos="1440"/>
        </w:tabs>
        <w:spacing w:line="240" w:lineRule="auto"/>
        <w:contextualSpacing/>
      </w:pPr>
      <w:r w:rsidRPr="00035A2F">
        <w:t>DEC</w:t>
      </w:r>
      <w:r w:rsidRPr="00035A2F">
        <w:tab/>
        <w:t>Design Extension Condition (WENRA)</w:t>
      </w:r>
    </w:p>
    <w:p w14:paraId="752E2091" w14:textId="77777777" w:rsidR="00035A2F" w:rsidRPr="00035A2F" w:rsidRDefault="00035A2F" w:rsidP="00035A2F">
      <w:pPr>
        <w:tabs>
          <w:tab w:val="left" w:pos="1440"/>
        </w:tabs>
        <w:spacing w:line="240" w:lineRule="auto"/>
        <w:contextualSpacing/>
      </w:pPr>
      <w:proofErr w:type="spellStart"/>
      <w:r w:rsidRPr="00035A2F">
        <w:t>DiD</w:t>
      </w:r>
      <w:proofErr w:type="spellEnd"/>
      <w:r w:rsidRPr="00035A2F">
        <w:tab/>
        <w:t>Defence-in-Depth</w:t>
      </w:r>
    </w:p>
    <w:p w14:paraId="0AB878A9" w14:textId="4946DE13" w:rsidR="00035A2F" w:rsidRPr="00035A2F" w:rsidRDefault="00035A2F" w:rsidP="00035A2F">
      <w:pPr>
        <w:tabs>
          <w:tab w:val="left" w:pos="1440"/>
        </w:tabs>
        <w:spacing w:line="240" w:lineRule="auto"/>
        <w:contextualSpacing/>
      </w:pPr>
      <w:r w:rsidRPr="00035A2F">
        <w:t>EH</w:t>
      </w:r>
      <w:r w:rsidRPr="00035A2F">
        <w:tab/>
        <w:t>External Hazard</w:t>
      </w:r>
    </w:p>
    <w:p w14:paraId="43502027" w14:textId="77777777" w:rsidR="00035A2F" w:rsidRPr="00035A2F" w:rsidRDefault="00035A2F" w:rsidP="00035A2F">
      <w:pPr>
        <w:tabs>
          <w:tab w:val="left" w:pos="1440"/>
        </w:tabs>
        <w:spacing w:line="240" w:lineRule="auto"/>
        <w:contextualSpacing/>
      </w:pPr>
      <w:r w:rsidRPr="00035A2F">
        <w:t>EIMT</w:t>
      </w:r>
      <w:r w:rsidRPr="00035A2F">
        <w:tab/>
        <w:t>Examination, Inspection, Maintenance and Testing</w:t>
      </w:r>
    </w:p>
    <w:p w14:paraId="1B676432" w14:textId="61C54058" w:rsidR="00492D42" w:rsidRDefault="00492D42" w:rsidP="00035A2F">
      <w:pPr>
        <w:tabs>
          <w:tab w:val="left" w:pos="1440"/>
        </w:tabs>
        <w:spacing w:line="240" w:lineRule="auto"/>
        <w:contextualSpacing/>
      </w:pPr>
      <w:r>
        <w:t>FS</w:t>
      </w:r>
      <w:r>
        <w:tab/>
        <w:t>Fault Studies</w:t>
      </w:r>
    </w:p>
    <w:p w14:paraId="1A903419" w14:textId="0A2A7F6E" w:rsidR="00035A2F" w:rsidRPr="00035A2F" w:rsidRDefault="00035A2F" w:rsidP="00035A2F">
      <w:pPr>
        <w:tabs>
          <w:tab w:val="left" w:pos="1440"/>
        </w:tabs>
        <w:spacing w:line="240" w:lineRule="auto"/>
        <w:contextualSpacing/>
      </w:pPr>
      <w:r w:rsidRPr="00035A2F">
        <w:t>GDA</w:t>
      </w:r>
      <w:r w:rsidRPr="00035A2F">
        <w:tab/>
        <w:t>Generic Design Assessment</w:t>
      </w:r>
    </w:p>
    <w:p w14:paraId="562239EE" w14:textId="07D261D5" w:rsidR="00035A2F" w:rsidRPr="00035A2F" w:rsidRDefault="00035A2F" w:rsidP="00035A2F">
      <w:pPr>
        <w:tabs>
          <w:tab w:val="left" w:pos="1440"/>
        </w:tabs>
        <w:spacing w:line="240" w:lineRule="auto"/>
        <w:contextualSpacing/>
      </w:pPr>
      <w:r w:rsidRPr="00035A2F">
        <w:t>GSE</w:t>
      </w:r>
      <w:r w:rsidRPr="00035A2F">
        <w:tab/>
        <w:t>Generic Site Envelope</w:t>
      </w:r>
    </w:p>
    <w:p w14:paraId="1C2A064D" w14:textId="77777777" w:rsidR="00035A2F" w:rsidRPr="00035A2F" w:rsidRDefault="00035A2F" w:rsidP="00035A2F">
      <w:pPr>
        <w:tabs>
          <w:tab w:val="left" w:pos="1440"/>
        </w:tabs>
        <w:spacing w:line="240" w:lineRule="auto"/>
        <w:contextualSpacing/>
      </w:pPr>
      <w:r w:rsidRPr="00035A2F">
        <w:t>IAEA</w:t>
      </w:r>
      <w:r w:rsidRPr="00035A2F">
        <w:tab/>
        <w:t>International Atomic Energy Agency</w:t>
      </w:r>
    </w:p>
    <w:p w14:paraId="13407ABD" w14:textId="77777777" w:rsidR="00035A2F" w:rsidRPr="00035A2F" w:rsidRDefault="00035A2F" w:rsidP="00035A2F">
      <w:pPr>
        <w:tabs>
          <w:tab w:val="left" w:pos="1440"/>
        </w:tabs>
        <w:spacing w:line="240" w:lineRule="auto"/>
        <w:contextualSpacing/>
      </w:pPr>
      <w:r w:rsidRPr="00035A2F">
        <w:t>IEF</w:t>
      </w:r>
      <w:r w:rsidRPr="00035A2F">
        <w:tab/>
        <w:t>Initiating Event Frequency</w:t>
      </w:r>
    </w:p>
    <w:p w14:paraId="4CA632DD" w14:textId="77777777" w:rsidR="00035A2F" w:rsidRPr="00035A2F" w:rsidRDefault="00035A2F" w:rsidP="00035A2F">
      <w:pPr>
        <w:tabs>
          <w:tab w:val="left" w:pos="1440"/>
        </w:tabs>
        <w:spacing w:line="240" w:lineRule="auto"/>
        <w:contextualSpacing/>
      </w:pPr>
      <w:r w:rsidRPr="00035A2F">
        <w:t>LC</w:t>
      </w:r>
      <w:r w:rsidRPr="00035A2F">
        <w:tab/>
        <w:t>Licence Condition</w:t>
      </w:r>
    </w:p>
    <w:p w14:paraId="7B32EBDB" w14:textId="77777777" w:rsidR="00035A2F" w:rsidRPr="00035A2F" w:rsidRDefault="00035A2F" w:rsidP="00035A2F">
      <w:pPr>
        <w:tabs>
          <w:tab w:val="left" w:pos="1440"/>
        </w:tabs>
        <w:spacing w:line="240" w:lineRule="auto"/>
        <w:contextualSpacing/>
      </w:pPr>
      <w:r w:rsidRPr="00035A2F">
        <w:t>MCE</w:t>
      </w:r>
      <w:r w:rsidRPr="00035A2F">
        <w:tab/>
        <w:t>Maximum Credible Event</w:t>
      </w:r>
    </w:p>
    <w:p w14:paraId="2876626D" w14:textId="199DEE2E" w:rsidR="00A540D8" w:rsidRPr="00035A2F" w:rsidRDefault="00A540D8" w:rsidP="00035A2F">
      <w:pPr>
        <w:tabs>
          <w:tab w:val="left" w:pos="1440"/>
        </w:tabs>
        <w:spacing w:line="240" w:lineRule="auto"/>
        <w:contextualSpacing/>
      </w:pPr>
      <w:r>
        <w:t>NEH</w:t>
      </w:r>
      <w:r>
        <w:tab/>
        <w:t>Natural External Hazards</w:t>
      </w:r>
    </w:p>
    <w:p w14:paraId="6FB31622" w14:textId="2B366C3C" w:rsidR="00035A2F" w:rsidRPr="00035A2F" w:rsidRDefault="00035A2F" w:rsidP="00035A2F">
      <w:pPr>
        <w:tabs>
          <w:tab w:val="left" w:pos="1440"/>
        </w:tabs>
        <w:spacing w:line="240" w:lineRule="auto"/>
        <w:contextualSpacing/>
      </w:pPr>
      <w:r w:rsidRPr="00035A2F">
        <w:t>OBE</w:t>
      </w:r>
      <w:r w:rsidRPr="00035A2F">
        <w:tab/>
        <w:t xml:space="preserve">Operating Basis </w:t>
      </w:r>
      <w:r w:rsidR="00D82FC6" w:rsidRPr="00035A2F">
        <w:t>E</w:t>
      </w:r>
      <w:r w:rsidR="00D82FC6">
        <w:t>vent</w:t>
      </w:r>
    </w:p>
    <w:p w14:paraId="429B2ACA" w14:textId="18AB527F" w:rsidR="00643D15" w:rsidRDefault="00643D15" w:rsidP="00035A2F">
      <w:pPr>
        <w:tabs>
          <w:tab w:val="left" w:pos="1440"/>
        </w:tabs>
        <w:spacing w:line="240" w:lineRule="auto"/>
        <w:contextualSpacing/>
      </w:pPr>
      <w:proofErr w:type="spellStart"/>
      <w:r>
        <w:t>oDBE</w:t>
      </w:r>
      <w:proofErr w:type="spellEnd"/>
      <w:r>
        <w:tab/>
        <w:t>Original Design Basis Event</w:t>
      </w:r>
    </w:p>
    <w:p w14:paraId="446506F8" w14:textId="0295A9AE" w:rsidR="00035A2F" w:rsidRPr="00035A2F" w:rsidRDefault="00035A2F" w:rsidP="00035A2F">
      <w:pPr>
        <w:tabs>
          <w:tab w:val="left" w:pos="1440"/>
        </w:tabs>
        <w:spacing w:line="240" w:lineRule="auto"/>
        <w:contextualSpacing/>
      </w:pPr>
      <w:r w:rsidRPr="00035A2F">
        <w:t>ONR</w:t>
      </w:r>
      <w:r w:rsidRPr="00035A2F">
        <w:tab/>
        <w:t>Office for Nuclear Regulation</w:t>
      </w:r>
    </w:p>
    <w:p w14:paraId="72C9323B" w14:textId="77777777" w:rsidR="00035A2F" w:rsidRPr="00035A2F" w:rsidRDefault="00035A2F" w:rsidP="00035A2F">
      <w:pPr>
        <w:tabs>
          <w:tab w:val="left" w:pos="1440"/>
        </w:tabs>
        <w:spacing w:line="240" w:lineRule="auto"/>
        <w:contextualSpacing/>
      </w:pPr>
      <w:r w:rsidRPr="00035A2F">
        <w:t>PCSR</w:t>
      </w:r>
      <w:r w:rsidRPr="00035A2F">
        <w:tab/>
        <w:t>Pre-Construction Safety Report</w:t>
      </w:r>
    </w:p>
    <w:p w14:paraId="2514DC3E" w14:textId="77777777" w:rsidR="00035A2F" w:rsidRDefault="00035A2F" w:rsidP="00035A2F">
      <w:pPr>
        <w:tabs>
          <w:tab w:val="left" w:pos="1440"/>
        </w:tabs>
        <w:spacing w:line="240" w:lineRule="auto"/>
        <w:contextualSpacing/>
      </w:pPr>
      <w:r w:rsidRPr="00035A2F">
        <w:t>PSA</w:t>
      </w:r>
      <w:r w:rsidRPr="00035A2F">
        <w:tab/>
        <w:t>Probabilistic Safety Analysis</w:t>
      </w:r>
    </w:p>
    <w:p w14:paraId="50F8A606" w14:textId="6C280B67" w:rsidR="00140F36" w:rsidRPr="00035A2F" w:rsidRDefault="00140F36" w:rsidP="00035A2F">
      <w:pPr>
        <w:tabs>
          <w:tab w:val="left" w:pos="1440"/>
        </w:tabs>
        <w:spacing w:line="240" w:lineRule="auto"/>
        <w:contextualSpacing/>
      </w:pPr>
      <w:r>
        <w:t>PSR</w:t>
      </w:r>
      <w:r>
        <w:tab/>
        <w:t>Periodic Safety Review</w:t>
      </w:r>
    </w:p>
    <w:p w14:paraId="5E342AD8" w14:textId="5A0FC227" w:rsidR="00643D15" w:rsidRDefault="00643D15" w:rsidP="00035A2F">
      <w:pPr>
        <w:tabs>
          <w:tab w:val="left" w:pos="1440"/>
        </w:tabs>
        <w:spacing w:line="240" w:lineRule="auto"/>
        <w:contextualSpacing/>
      </w:pPr>
      <w:proofErr w:type="spellStart"/>
      <w:r>
        <w:t>rDBE</w:t>
      </w:r>
      <w:proofErr w:type="spellEnd"/>
      <w:r>
        <w:tab/>
        <w:t>Reviewed Design Basis Event</w:t>
      </w:r>
    </w:p>
    <w:p w14:paraId="5E1D6D13" w14:textId="77777777" w:rsidR="00035A2F" w:rsidRPr="00035A2F" w:rsidRDefault="00035A2F" w:rsidP="00035A2F">
      <w:pPr>
        <w:tabs>
          <w:tab w:val="left" w:pos="1440"/>
        </w:tabs>
        <w:spacing w:line="240" w:lineRule="auto"/>
        <w:contextualSpacing/>
      </w:pPr>
      <w:r w:rsidRPr="00035A2F">
        <w:t>RGP</w:t>
      </w:r>
      <w:r w:rsidRPr="00035A2F">
        <w:tab/>
        <w:t>Relevant Good Practice</w:t>
      </w:r>
    </w:p>
    <w:p w14:paraId="29EE5F4D" w14:textId="77777777" w:rsidR="00035A2F" w:rsidRPr="00035A2F" w:rsidRDefault="00035A2F" w:rsidP="00035A2F">
      <w:pPr>
        <w:tabs>
          <w:tab w:val="left" w:pos="1440"/>
        </w:tabs>
        <w:spacing w:line="240" w:lineRule="auto"/>
        <w:contextualSpacing/>
      </w:pPr>
      <w:r w:rsidRPr="00035A2F">
        <w:t>RL</w:t>
      </w:r>
      <w:r w:rsidRPr="00035A2F">
        <w:tab/>
        <w:t>Reference Level (WENRA)</w:t>
      </w:r>
    </w:p>
    <w:p w14:paraId="38CAC7F1" w14:textId="77777777" w:rsidR="00035A2F" w:rsidRPr="00035A2F" w:rsidRDefault="00035A2F" w:rsidP="00035A2F">
      <w:pPr>
        <w:tabs>
          <w:tab w:val="left" w:pos="1440"/>
        </w:tabs>
        <w:spacing w:line="240" w:lineRule="auto"/>
        <w:contextualSpacing/>
      </w:pPr>
      <w:r w:rsidRPr="00035A2F">
        <w:t>RP</w:t>
      </w:r>
      <w:r w:rsidRPr="00035A2F">
        <w:tab/>
        <w:t>Requesting Party</w:t>
      </w:r>
    </w:p>
    <w:p w14:paraId="56654084" w14:textId="77777777" w:rsidR="00035A2F" w:rsidRPr="00035A2F" w:rsidRDefault="00035A2F" w:rsidP="00035A2F">
      <w:pPr>
        <w:tabs>
          <w:tab w:val="left" w:pos="1440"/>
        </w:tabs>
        <w:spacing w:line="240" w:lineRule="auto"/>
        <w:contextualSpacing/>
      </w:pPr>
      <w:r w:rsidRPr="00035A2F">
        <w:t>SAA</w:t>
      </w:r>
      <w:r w:rsidRPr="00035A2F">
        <w:tab/>
        <w:t>Severe Accident Analysis</w:t>
      </w:r>
    </w:p>
    <w:p w14:paraId="25152A20" w14:textId="77777777" w:rsidR="00035A2F" w:rsidRPr="00035A2F" w:rsidRDefault="00035A2F" w:rsidP="00035A2F">
      <w:pPr>
        <w:tabs>
          <w:tab w:val="left" w:pos="1440"/>
        </w:tabs>
        <w:spacing w:line="240" w:lineRule="auto"/>
        <w:contextualSpacing/>
      </w:pPr>
      <w:r w:rsidRPr="00035A2F">
        <w:t>SAP</w:t>
      </w:r>
      <w:r w:rsidRPr="00035A2F">
        <w:tab/>
        <w:t xml:space="preserve">Safety Assessment Principle(s) </w:t>
      </w:r>
    </w:p>
    <w:p w14:paraId="1F80B61E" w14:textId="77777777" w:rsidR="00035A2F" w:rsidRPr="00035A2F" w:rsidRDefault="00035A2F" w:rsidP="00035A2F">
      <w:pPr>
        <w:tabs>
          <w:tab w:val="left" w:pos="1440"/>
        </w:tabs>
        <w:spacing w:line="240" w:lineRule="auto"/>
        <w:contextualSpacing/>
      </w:pPr>
      <w:r w:rsidRPr="00035A2F">
        <w:t>SFR</w:t>
      </w:r>
      <w:r w:rsidRPr="00035A2F">
        <w:tab/>
        <w:t>Safety Functional Requirement</w:t>
      </w:r>
    </w:p>
    <w:p w14:paraId="0A950027" w14:textId="77777777" w:rsidR="00035A2F" w:rsidRPr="00035A2F" w:rsidRDefault="00035A2F" w:rsidP="00035A2F">
      <w:pPr>
        <w:tabs>
          <w:tab w:val="left" w:pos="1440"/>
        </w:tabs>
        <w:spacing w:line="240" w:lineRule="auto"/>
        <w:contextualSpacing/>
      </w:pPr>
      <w:r w:rsidRPr="00035A2F">
        <w:t>SLA</w:t>
      </w:r>
      <w:r w:rsidRPr="00035A2F">
        <w:tab/>
        <w:t>Site Licence Applicant</w:t>
      </w:r>
    </w:p>
    <w:p w14:paraId="11339889" w14:textId="77777777" w:rsidR="00035A2F" w:rsidRPr="00035A2F" w:rsidRDefault="00035A2F" w:rsidP="00035A2F">
      <w:pPr>
        <w:tabs>
          <w:tab w:val="left" w:pos="1440"/>
        </w:tabs>
        <w:spacing w:line="240" w:lineRule="auto"/>
        <w:contextualSpacing/>
      </w:pPr>
      <w:r w:rsidRPr="00035A2F">
        <w:t>SSC</w:t>
      </w:r>
      <w:r w:rsidRPr="00035A2F">
        <w:tab/>
        <w:t>Structure, System and Component</w:t>
      </w:r>
    </w:p>
    <w:p w14:paraId="11DF4C8E" w14:textId="68FBC9FF" w:rsidR="00911567" w:rsidRDefault="00911567" w:rsidP="00035A2F">
      <w:pPr>
        <w:tabs>
          <w:tab w:val="left" w:pos="1440"/>
        </w:tabs>
        <w:spacing w:line="240" w:lineRule="auto"/>
        <w:contextualSpacing/>
      </w:pPr>
      <w:r>
        <w:t>SSE</w:t>
      </w:r>
      <w:r>
        <w:tab/>
        <w:t>Safe Shutdown Event</w:t>
      </w:r>
    </w:p>
    <w:p w14:paraId="7D8CC0B2" w14:textId="77777777" w:rsidR="00035A2F" w:rsidRPr="00035A2F" w:rsidRDefault="00035A2F" w:rsidP="00035A2F">
      <w:pPr>
        <w:tabs>
          <w:tab w:val="left" w:pos="1440"/>
        </w:tabs>
        <w:spacing w:line="240" w:lineRule="auto"/>
        <w:contextualSpacing/>
      </w:pPr>
      <w:r w:rsidRPr="00035A2F">
        <w:t>TAG</w:t>
      </w:r>
      <w:r w:rsidRPr="00035A2F">
        <w:tab/>
        <w:t>Technical Assessment Guide(s) (ONR)</w:t>
      </w:r>
    </w:p>
    <w:p w14:paraId="187C5CBE" w14:textId="77777777" w:rsidR="00035A2F" w:rsidRPr="00035A2F" w:rsidRDefault="00035A2F" w:rsidP="00035A2F">
      <w:pPr>
        <w:tabs>
          <w:tab w:val="left" w:pos="1440"/>
        </w:tabs>
        <w:spacing w:line="240" w:lineRule="auto"/>
        <w:contextualSpacing/>
      </w:pPr>
      <w:r w:rsidRPr="00035A2F">
        <w:t>USNRC</w:t>
      </w:r>
      <w:r w:rsidRPr="00035A2F">
        <w:tab/>
        <w:t>US Nuclear Regulatory Commission</w:t>
      </w:r>
    </w:p>
    <w:p w14:paraId="258280D4" w14:textId="3B299FA9" w:rsidR="00035A2F" w:rsidRDefault="00035A2F" w:rsidP="00035A2F">
      <w:pPr>
        <w:tabs>
          <w:tab w:val="left" w:pos="1440"/>
        </w:tabs>
        <w:spacing w:line="240" w:lineRule="auto"/>
        <w:contextualSpacing/>
      </w:pPr>
      <w:r w:rsidRPr="00035A2F">
        <w:t>WENRA</w:t>
      </w:r>
      <w:r w:rsidRPr="00035A2F">
        <w:tab/>
        <w:t>Western European Nuclear Regulators Association</w:t>
      </w:r>
    </w:p>
    <w:p w14:paraId="46DEF22E" w14:textId="3C6AC11E" w:rsidR="003A2106" w:rsidRDefault="003A2106" w:rsidP="00035A2F">
      <w:pPr>
        <w:tabs>
          <w:tab w:val="left" w:pos="1440"/>
        </w:tabs>
        <w:spacing w:line="240" w:lineRule="auto"/>
        <w:contextualSpacing/>
      </w:pPr>
    </w:p>
    <w:p w14:paraId="667F5E82" w14:textId="7AE4B74B" w:rsidR="003A2106" w:rsidRDefault="003A2106" w:rsidP="00035A2F">
      <w:pPr>
        <w:tabs>
          <w:tab w:val="left" w:pos="1440"/>
        </w:tabs>
        <w:spacing w:line="240" w:lineRule="auto"/>
        <w:contextualSpacing/>
      </w:pPr>
    </w:p>
    <w:p w14:paraId="3358A2A5" w14:textId="5E87A648" w:rsidR="003A2106" w:rsidRDefault="003A2106" w:rsidP="00035A2F">
      <w:pPr>
        <w:tabs>
          <w:tab w:val="left" w:pos="1440"/>
        </w:tabs>
        <w:spacing w:line="240" w:lineRule="auto"/>
        <w:contextualSpacing/>
      </w:pPr>
    </w:p>
    <w:p w14:paraId="441EEEDD" w14:textId="77777777" w:rsidR="001F7B83" w:rsidRDefault="001F7B83">
      <w:pPr>
        <w:spacing w:after="0" w:line="240" w:lineRule="auto"/>
        <w:rPr>
          <w:color w:val="22413A"/>
          <w:sz w:val="48"/>
        </w:rPr>
      </w:pPr>
      <w:r>
        <w:br w:type="page"/>
      </w:r>
    </w:p>
    <w:p w14:paraId="150305A1" w14:textId="1FC42DD4" w:rsidR="003A2106" w:rsidRDefault="003A2106" w:rsidP="003A2106">
      <w:pPr>
        <w:pStyle w:val="Heading1"/>
        <w:numPr>
          <w:ilvl w:val="0"/>
          <w:numId w:val="0"/>
        </w:numPr>
        <w:ind w:left="851" w:hanging="851"/>
      </w:pPr>
      <w:bookmarkStart w:id="934" w:name="_Toc140137273"/>
      <w:r>
        <w:lastRenderedPageBreak/>
        <w:t>Glossary</w:t>
      </w:r>
      <w:bookmarkEnd w:id="934"/>
    </w:p>
    <w:tbl>
      <w:tblPr>
        <w:tblStyle w:val="TableGrid"/>
        <w:tblW w:w="0" w:type="auto"/>
        <w:tblLook w:val="04A0" w:firstRow="1" w:lastRow="0" w:firstColumn="1" w:lastColumn="0" w:noHBand="0" w:noVBand="1"/>
      </w:tblPr>
      <w:tblGrid>
        <w:gridCol w:w="3823"/>
        <w:gridCol w:w="5193"/>
      </w:tblGrid>
      <w:tr w:rsidR="00C74620" w14:paraId="4A78CB78" w14:textId="77777777" w:rsidTr="000D6BF8">
        <w:trPr>
          <w:trHeight w:val="583"/>
        </w:trPr>
        <w:tc>
          <w:tcPr>
            <w:tcW w:w="3823" w:type="dxa"/>
            <w:vAlign w:val="center"/>
          </w:tcPr>
          <w:p w14:paraId="3AD369AB" w14:textId="7A520FB0" w:rsidR="00C74620" w:rsidRPr="00C74620" w:rsidRDefault="00C74620" w:rsidP="00C74620">
            <w:pPr>
              <w:pStyle w:val="Bulletlist1"/>
              <w:numPr>
                <w:ilvl w:val="0"/>
                <w:numId w:val="0"/>
              </w:numPr>
              <w:spacing w:before="120"/>
              <w:jc w:val="both"/>
              <w:rPr>
                <w:sz w:val="22"/>
              </w:rPr>
            </w:pPr>
            <w:r w:rsidRPr="008D362E">
              <w:rPr>
                <w:sz w:val="22"/>
              </w:rPr>
              <w:t xml:space="preserve">Aleatory </w:t>
            </w:r>
            <w:r>
              <w:rPr>
                <w:sz w:val="22"/>
              </w:rPr>
              <w:t>V</w:t>
            </w:r>
            <w:r w:rsidRPr="008D362E">
              <w:rPr>
                <w:sz w:val="22"/>
              </w:rPr>
              <w:t xml:space="preserve">ariability </w:t>
            </w:r>
          </w:p>
        </w:tc>
        <w:tc>
          <w:tcPr>
            <w:tcW w:w="5193" w:type="dxa"/>
          </w:tcPr>
          <w:p w14:paraId="5B89A481" w14:textId="408ADA92" w:rsidR="00C74620" w:rsidRPr="00C74620" w:rsidRDefault="00C74620" w:rsidP="00C74620">
            <w:pPr>
              <w:spacing w:after="0"/>
              <w:rPr>
                <w:sz w:val="22"/>
              </w:rPr>
            </w:pPr>
            <w:r w:rsidRPr="008D362E">
              <w:rPr>
                <w:sz w:val="22"/>
              </w:rPr>
              <w:t>(Stochastic or irreducible uncertainty) – natural variability of the process under consideration.</w:t>
            </w:r>
          </w:p>
        </w:tc>
      </w:tr>
      <w:tr w:rsidR="00C74620" w14:paraId="3785087A" w14:textId="77777777" w:rsidTr="000D6BF8">
        <w:trPr>
          <w:trHeight w:val="583"/>
        </w:trPr>
        <w:tc>
          <w:tcPr>
            <w:tcW w:w="3823" w:type="dxa"/>
            <w:vAlign w:val="center"/>
          </w:tcPr>
          <w:p w14:paraId="35001F5B" w14:textId="12D85981" w:rsidR="00C74620" w:rsidRPr="00DC5B65" w:rsidRDefault="00C74620" w:rsidP="00C74620">
            <w:pPr>
              <w:spacing w:after="0"/>
              <w:rPr>
                <w:bCs/>
                <w:sz w:val="22"/>
              </w:rPr>
            </w:pPr>
            <w:r w:rsidRPr="00DC5B65">
              <w:rPr>
                <w:bCs/>
                <w:sz w:val="22"/>
              </w:rPr>
              <w:t xml:space="preserve">Annual Probability of Exceedance </w:t>
            </w:r>
          </w:p>
        </w:tc>
        <w:tc>
          <w:tcPr>
            <w:tcW w:w="5193" w:type="dxa"/>
          </w:tcPr>
          <w:p w14:paraId="60BFC212" w14:textId="19C9D1D4" w:rsidR="00C74620" w:rsidRPr="00DC5B65" w:rsidRDefault="00C74620" w:rsidP="00C74620">
            <w:pPr>
              <w:spacing w:after="0"/>
              <w:rPr>
                <w:sz w:val="22"/>
              </w:rPr>
            </w:pPr>
            <w:r>
              <w:rPr>
                <w:sz w:val="22"/>
              </w:rPr>
              <w:t>The probability that a hazard severity is predicted to be exceeded for any given year.</w:t>
            </w:r>
          </w:p>
        </w:tc>
      </w:tr>
      <w:tr w:rsidR="00C74620" w14:paraId="030DE92D" w14:textId="77777777" w:rsidTr="000D6BF8">
        <w:trPr>
          <w:trHeight w:val="583"/>
        </w:trPr>
        <w:tc>
          <w:tcPr>
            <w:tcW w:w="3823" w:type="dxa"/>
            <w:vAlign w:val="center"/>
          </w:tcPr>
          <w:p w14:paraId="05A3054B" w14:textId="10EE7671" w:rsidR="00C74620" w:rsidRPr="00DC5B65" w:rsidRDefault="00C74620" w:rsidP="00C74620">
            <w:pPr>
              <w:spacing w:after="0"/>
              <w:rPr>
                <w:bCs/>
                <w:sz w:val="22"/>
              </w:rPr>
            </w:pPr>
            <w:r w:rsidRPr="00DC5B65">
              <w:rPr>
                <w:bCs/>
                <w:sz w:val="22"/>
              </w:rPr>
              <w:t xml:space="preserve">Annual Frequency of Exceedance </w:t>
            </w:r>
          </w:p>
        </w:tc>
        <w:tc>
          <w:tcPr>
            <w:tcW w:w="5193" w:type="dxa"/>
          </w:tcPr>
          <w:p w14:paraId="5A0EC0F9" w14:textId="428B9C6D" w:rsidR="00C74620" w:rsidRPr="00DC5B65" w:rsidRDefault="00C74620" w:rsidP="00C74620">
            <w:pPr>
              <w:spacing w:after="0"/>
              <w:rPr>
                <w:sz w:val="22"/>
              </w:rPr>
            </w:pPr>
            <w:r>
              <w:rPr>
                <w:sz w:val="22"/>
              </w:rPr>
              <w:t>This represents the number of times, or frequency, in any given year that a hazard severity is predicted to be exceeded.</w:t>
            </w:r>
          </w:p>
        </w:tc>
      </w:tr>
      <w:tr w:rsidR="00C74620" w14:paraId="0EE250D8" w14:textId="77777777" w:rsidTr="000D6BF8">
        <w:trPr>
          <w:trHeight w:val="583"/>
        </w:trPr>
        <w:tc>
          <w:tcPr>
            <w:tcW w:w="3823" w:type="dxa"/>
            <w:vAlign w:val="center"/>
          </w:tcPr>
          <w:p w14:paraId="63492470" w14:textId="77777777" w:rsidR="00C74620" w:rsidRPr="00DC5B65" w:rsidRDefault="00C74620" w:rsidP="00C74620">
            <w:pPr>
              <w:spacing w:after="0"/>
              <w:rPr>
                <w:bCs/>
                <w:sz w:val="22"/>
              </w:rPr>
            </w:pPr>
            <w:r w:rsidRPr="00DC5B65">
              <w:rPr>
                <w:bCs/>
                <w:sz w:val="22"/>
              </w:rPr>
              <w:t>Basis of Design</w:t>
            </w:r>
          </w:p>
          <w:p w14:paraId="172295EF" w14:textId="0807D88C" w:rsidR="00C74620" w:rsidRPr="00C74620" w:rsidRDefault="00C74620" w:rsidP="00C74620">
            <w:pPr>
              <w:pStyle w:val="Bulletlist1"/>
              <w:numPr>
                <w:ilvl w:val="0"/>
                <w:numId w:val="0"/>
              </w:numPr>
              <w:spacing w:before="120"/>
              <w:jc w:val="both"/>
              <w:rPr>
                <w:sz w:val="22"/>
              </w:rPr>
            </w:pPr>
            <w:r w:rsidRPr="00DC5B65">
              <w:rPr>
                <w:sz w:val="22"/>
              </w:rPr>
              <w:t>(BoD)</w:t>
            </w:r>
          </w:p>
        </w:tc>
        <w:tc>
          <w:tcPr>
            <w:tcW w:w="5193" w:type="dxa"/>
          </w:tcPr>
          <w:p w14:paraId="24DEB569" w14:textId="300B3001" w:rsidR="00C74620" w:rsidRPr="00C74620" w:rsidRDefault="00C74620" w:rsidP="00C74620">
            <w:pPr>
              <w:spacing w:after="0"/>
              <w:rPr>
                <w:sz w:val="22"/>
              </w:rPr>
            </w:pPr>
            <w:r w:rsidRPr="00DC5B65">
              <w:rPr>
                <w:sz w:val="22"/>
              </w:rPr>
              <w:t>A representation of the DBE that is the primary input into the design process for substantiating SSCs</w:t>
            </w:r>
          </w:p>
        </w:tc>
      </w:tr>
      <w:tr w:rsidR="00C74620" w14:paraId="67D01DE5" w14:textId="77777777" w:rsidTr="000D6BF8">
        <w:trPr>
          <w:trHeight w:val="583"/>
        </w:trPr>
        <w:tc>
          <w:tcPr>
            <w:tcW w:w="3823" w:type="dxa"/>
            <w:vAlign w:val="center"/>
          </w:tcPr>
          <w:p w14:paraId="766F8B3C" w14:textId="77777777" w:rsidR="00C74620" w:rsidRPr="00DC5B65" w:rsidRDefault="00C74620" w:rsidP="00C74620">
            <w:pPr>
              <w:spacing w:after="0"/>
              <w:rPr>
                <w:bCs/>
                <w:sz w:val="22"/>
              </w:rPr>
            </w:pPr>
            <w:r w:rsidRPr="00DC5B65">
              <w:rPr>
                <w:bCs/>
                <w:sz w:val="22"/>
              </w:rPr>
              <w:t xml:space="preserve">Beyond Design Basis Analysis </w:t>
            </w:r>
          </w:p>
          <w:p w14:paraId="1B441DD3" w14:textId="303D7B21" w:rsidR="00C74620" w:rsidRPr="00C74620" w:rsidRDefault="00C74620" w:rsidP="00C74620">
            <w:pPr>
              <w:pStyle w:val="Bulletlist1"/>
              <w:numPr>
                <w:ilvl w:val="0"/>
                <w:numId w:val="0"/>
              </w:numPr>
              <w:spacing w:before="120"/>
              <w:jc w:val="both"/>
              <w:rPr>
                <w:sz w:val="22"/>
              </w:rPr>
            </w:pPr>
            <w:r w:rsidRPr="00DC5B65">
              <w:rPr>
                <w:sz w:val="22"/>
              </w:rPr>
              <w:t>(BDBA)</w:t>
            </w:r>
          </w:p>
        </w:tc>
        <w:tc>
          <w:tcPr>
            <w:tcW w:w="5193" w:type="dxa"/>
          </w:tcPr>
          <w:p w14:paraId="1F38F9B3" w14:textId="41A95E0E" w:rsidR="00C74620" w:rsidRPr="00C74620" w:rsidRDefault="00C74620" w:rsidP="00C74620">
            <w:pPr>
              <w:spacing w:after="0"/>
              <w:rPr>
                <w:sz w:val="22"/>
              </w:rPr>
            </w:pPr>
            <w:r>
              <w:rPr>
                <w:sz w:val="22"/>
              </w:rPr>
              <w:t xml:space="preserve">Consideration of fault sequences initiated beyond the design basis on a best estimate basis </w:t>
            </w:r>
          </w:p>
        </w:tc>
      </w:tr>
      <w:tr w:rsidR="00C74620" w14:paraId="1AE0BA31" w14:textId="77777777" w:rsidTr="000D6BF8">
        <w:trPr>
          <w:trHeight w:val="583"/>
        </w:trPr>
        <w:tc>
          <w:tcPr>
            <w:tcW w:w="3823" w:type="dxa"/>
            <w:vAlign w:val="center"/>
          </w:tcPr>
          <w:p w14:paraId="3617BA2D" w14:textId="125F76F1" w:rsidR="00C74620" w:rsidRPr="00C74620" w:rsidRDefault="00C74620" w:rsidP="00C74620">
            <w:pPr>
              <w:pStyle w:val="Bulletlist1"/>
              <w:numPr>
                <w:ilvl w:val="0"/>
                <w:numId w:val="0"/>
              </w:numPr>
              <w:spacing w:before="120"/>
              <w:jc w:val="both"/>
              <w:rPr>
                <w:sz w:val="22"/>
              </w:rPr>
            </w:pPr>
            <w:r w:rsidRPr="00DC5B65">
              <w:rPr>
                <w:sz w:val="22"/>
              </w:rPr>
              <w:t>Beyond Design Basis Engineering Analysis</w:t>
            </w:r>
          </w:p>
        </w:tc>
        <w:tc>
          <w:tcPr>
            <w:tcW w:w="5193" w:type="dxa"/>
          </w:tcPr>
          <w:p w14:paraId="474E1DF9" w14:textId="7362B16C" w:rsidR="00C74620" w:rsidRPr="00C74620" w:rsidRDefault="00C74620" w:rsidP="00C74620">
            <w:pPr>
              <w:spacing w:after="0"/>
              <w:rPr>
                <w:sz w:val="22"/>
              </w:rPr>
            </w:pPr>
            <w:r>
              <w:rPr>
                <w:sz w:val="22"/>
              </w:rPr>
              <w:t>The consideration of the performance of SSCs against beyond design basis conditions and events.</w:t>
            </w:r>
          </w:p>
        </w:tc>
      </w:tr>
      <w:tr w:rsidR="00C74620" w14:paraId="4F6638BF" w14:textId="77777777" w:rsidTr="000D6BF8">
        <w:trPr>
          <w:trHeight w:val="583"/>
        </w:trPr>
        <w:tc>
          <w:tcPr>
            <w:tcW w:w="3823" w:type="dxa"/>
            <w:vAlign w:val="center"/>
          </w:tcPr>
          <w:p w14:paraId="0B37A9B2" w14:textId="78104EAF" w:rsidR="00C74620" w:rsidRPr="00C74620" w:rsidRDefault="00C74620" w:rsidP="00C74620">
            <w:pPr>
              <w:pStyle w:val="Bulletlist1"/>
              <w:numPr>
                <w:ilvl w:val="0"/>
                <w:numId w:val="0"/>
              </w:numPr>
              <w:spacing w:before="120"/>
              <w:jc w:val="both"/>
              <w:rPr>
                <w:sz w:val="22"/>
              </w:rPr>
            </w:pPr>
            <w:r w:rsidRPr="00DC5B65">
              <w:rPr>
                <w:sz w:val="22"/>
              </w:rPr>
              <w:t>Conservatism</w:t>
            </w:r>
          </w:p>
        </w:tc>
        <w:tc>
          <w:tcPr>
            <w:tcW w:w="5193" w:type="dxa"/>
          </w:tcPr>
          <w:p w14:paraId="7175CDD4" w14:textId="24A779C0" w:rsidR="00C74620" w:rsidRPr="00C74620" w:rsidRDefault="00C74620" w:rsidP="00C74620">
            <w:pPr>
              <w:spacing w:after="0"/>
              <w:rPr>
                <w:sz w:val="22"/>
              </w:rPr>
            </w:pPr>
            <w:r>
              <w:rPr>
                <w:sz w:val="22"/>
              </w:rPr>
              <w:t>In analysis, an approach where the use of models, data and assumptions would be expected to lead to results that bounds the best estimate (where known) on the safe side. The degree of conservatism should be proportionate to both the level of uncertainty and the overall significance of the estimate to the safety case.</w:t>
            </w:r>
          </w:p>
        </w:tc>
      </w:tr>
      <w:tr w:rsidR="00C74620" w14:paraId="17BA27AD" w14:textId="77777777" w:rsidTr="000D6BF8">
        <w:trPr>
          <w:trHeight w:val="583"/>
        </w:trPr>
        <w:tc>
          <w:tcPr>
            <w:tcW w:w="3823" w:type="dxa"/>
            <w:vAlign w:val="center"/>
          </w:tcPr>
          <w:p w14:paraId="1F9BE59C" w14:textId="311E4E4B" w:rsidR="00C74620" w:rsidRPr="00C74620" w:rsidRDefault="00C74620" w:rsidP="00C74620">
            <w:pPr>
              <w:pStyle w:val="Bulletlist1"/>
              <w:numPr>
                <w:ilvl w:val="0"/>
                <w:numId w:val="0"/>
              </w:numPr>
              <w:spacing w:before="120"/>
              <w:jc w:val="both"/>
              <w:rPr>
                <w:sz w:val="22"/>
              </w:rPr>
            </w:pPr>
            <w:r w:rsidRPr="00DC5B65">
              <w:rPr>
                <w:sz w:val="22"/>
              </w:rPr>
              <w:t>Contingency</w:t>
            </w:r>
          </w:p>
        </w:tc>
        <w:tc>
          <w:tcPr>
            <w:tcW w:w="5193" w:type="dxa"/>
          </w:tcPr>
          <w:p w14:paraId="3AC44C91" w14:textId="72AE545B" w:rsidR="00C74620" w:rsidRPr="00C74620" w:rsidRDefault="00C74620" w:rsidP="00C74620">
            <w:pPr>
              <w:spacing w:after="0"/>
              <w:rPr>
                <w:sz w:val="22"/>
              </w:rPr>
            </w:pPr>
            <w:r w:rsidRPr="00DC5B65">
              <w:rPr>
                <w:sz w:val="22"/>
              </w:rPr>
              <w:t xml:space="preserve">The provision of additional conservatism in the </w:t>
            </w:r>
            <w:proofErr w:type="spellStart"/>
            <w:r w:rsidRPr="00DC5B65">
              <w:rPr>
                <w:sz w:val="22"/>
              </w:rPr>
              <w:t>BoD</w:t>
            </w:r>
            <w:proofErr w:type="spellEnd"/>
            <w:r w:rsidRPr="00DC5B65">
              <w:rPr>
                <w:sz w:val="22"/>
              </w:rPr>
              <w:t xml:space="preserve"> for SSCs to account for temporal changes in the DBE definition.</w:t>
            </w:r>
          </w:p>
        </w:tc>
      </w:tr>
      <w:tr w:rsidR="00C74620" w14:paraId="6A565640" w14:textId="77777777" w:rsidTr="000D6BF8">
        <w:trPr>
          <w:trHeight w:val="583"/>
        </w:trPr>
        <w:tc>
          <w:tcPr>
            <w:tcW w:w="3823" w:type="dxa"/>
            <w:vAlign w:val="center"/>
          </w:tcPr>
          <w:p w14:paraId="6A752B7C" w14:textId="77777777" w:rsidR="00C74620" w:rsidRPr="00DC5B65" w:rsidRDefault="00C74620" w:rsidP="00C74620">
            <w:pPr>
              <w:spacing w:after="0"/>
              <w:rPr>
                <w:bCs/>
                <w:sz w:val="22"/>
              </w:rPr>
            </w:pPr>
            <w:r w:rsidRPr="00DC5B65">
              <w:rPr>
                <w:bCs/>
                <w:sz w:val="22"/>
              </w:rPr>
              <w:t xml:space="preserve">Design Basis </w:t>
            </w:r>
          </w:p>
          <w:p w14:paraId="5B90D8E2" w14:textId="2C122A96" w:rsidR="00C74620" w:rsidRPr="00C74620" w:rsidRDefault="00C74620" w:rsidP="00C74620">
            <w:pPr>
              <w:pStyle w:val="Bulletlist1"/>
              <w:numPr>
                <w:ilvl w:val="0"/>
                <w:numId w:val="0"/>
              </w:numPr>
              <w:spacing w:before="120"/>
              <w:jc w:val="both"/>
              <w:rPr>
                <w:sz w:val="22"/>
              </w:rPr>
            </w:pPr>
            <w:r w:rsidRPr="00DC5B65">
              <w:rPr>
                <w:sz w:val="22"/>
              </w:rPr>
              <w:t>(DB)</w:t>
            </w:r>
          </w:p>
        </w:tc>
        <w:tc>
          <w:tcPr>
            <w:tcW w:w="5193" w:type="dxa"/>
          </w:tcPr>
          <w:p w14:paraId="5EDD496A" w14:textId="4FF87D9B" w:rsidR="00C74620" w:rsidRPr="00C74620" w:rsidRDefault="00C74620" w:rsidP="00C74620">
            <w:pPr>
              <w:spacing w:after="0"/>
              <w:rPr>
                <w:sz w:val="22"/>
              </w:rPr>
            </w:pPr>
            <w:r>
              <w:rPr>
                <w:sz w:val="22"/>
              </w:rPr>
              <w:t>The range of conditions and events that should be explicitly considered in the design of the facility, according to established criteria, such that the facility can withstand them without exceeding authorised limits by the planned operation of safety systems.</w:t>
            </w:r>
          </w:p>
        </w:tc>
      </w:tr>
      <w:tr w:rsidR="00C74620" w14:paraId="6D7072E8" w14:textId="77777777" w:rsidTr="000D6BF8">
        <w:trPr>
          <w:trHeight w:val="583"/>
        </w:trPr>
        <w:tc>
          <w:tcPr>
            <w:tcW w:w="3823" w:type="dxa"/>
            <w:vAlign w:val="center"/>
          </w:tcPr>
          <w:p w14:paraId="6524EFA1" w14:textId="77777777" w:rsidR="00C74620" w:rsidRPr="00DC5B65" w:rsidRDefault="00C74620" w:rsidP="00C74620">
            <w:pPr>
              <w:spacing w:after="0"/>
              <w:rPr>
                <w:bCs/>
                <w:sz w:val="22"/>
              </w:rPr>
            </w:pPr>
            <w:r w:rsidRPr="00DC5B65">
              <w:rPr>
                <w:bCs/>
                <w:sz w:val="22"/>
              </w:rPr>
              <w:t xml:space="preserve">Design Basis Analysis </w:t>
            </w:r>
          </w:p>
          <w:p w14:paraId="0D37C0ED" w14:textId="5509D006" w:rsidR="00C74620" w:rsidRPr="00C74620" w:rsidRDefault="00C74620" w:rsidP="00C74620">
            <w:pPr>
              <w:pStyle w:val="Bulletlist1"/>
              <w:numPr>
                <w:ilvl w:val="0"/>
                <w:numId w:val="0"/>
              </w:numPr>
              <w:spacing w:before="120"/>
              <w:jc w:val="both"/>
              <w:rPr>
                <w:sz w:val="22"/>
              </w:rPr>
            </w:pPr>
            <w:r w:rsidRPr="00DC5B65">
              <w:rPr>
                <w:sz w:val="22"/>
              </w:rPr>
              <w:t>(DBA)</w:t>
            </w:r>
          </w:p>
        </w:tc>
        <w:tc>
          <w:tcPr>
            <w:tcW w:w="5193" w:type="dxa"/>
          </w:tcPr>
          <w:p w14:paraId="2EF0F840" w14:textId="747E5C87" w:rsidR="00C74620" w:rsidRPr="00C74620" w:rsidRDefault="00C74620" w:rsidP="00C74620">
            <w:pPr>
              <w:spacing w:after="0"/>
              <w:rPr>
                <w:sz w:val="22"/>
              </w:rPr>
            </w:pPr>
            <w:r>
              <w:rPr>
                <w:sz w:val="22"/>
              </w:rPr>
              <w:t>A robust demonstration of the fault tolerance of the facility, and the effectiveness of its safety measures. It guides the engineering requirements of the design, including modifications, and determines limits to safe operations so that safety functions can be delivered reliably during all modes of operation and under reasonably foreseeable faults.</w:t>
            </w:r>
          </w:p>
        </w:tc>
      </w:tr>
      <w:tr w:rsidR="00C74620" w14:paraId="2637E4C6" w14:textId="77777777" w:rsidTr="000D6BF8">
        <w:trPr>
          <w:trHeight w:val="583"/>
        </w:trPr>
        <w:tc>
          <w:tcPr>
            <w:tcW w:w="3823" w:type="dxa"/>
            <w:vAlign w:val="center"/>
          </w:tcPr>
          <w:p w14:paraId="0DF52F50" w14:textId="7F0A4B1C" w:rsidR="00C74620" w:rsidRPr="00C74620" w:rsidRDefault="00C74620" w:rsidP="00C74620">
            <w:pPr>
              <w:pStyle w:val="Bulletlist1"/>
              <w:numPr>
                <w:ilvl w:val="0"/>
                <w:numId w:val="0"/>
              </w:numPr>
              <w:spacing w:before="120"/>
              <w:jc w:val="both"/>
              <w:rPr>
                <w:sz w:val="22"/>
              </w:rPr>
            </w:pPr>
            <w:r w:rsidRPr="00DC5B65">
              <w:rPr>
                <w:sz w:val="22"/>
              </w:rPr>
              <w:t>Design Basis Engineering Analysis</w:t>
            </w:r>
          </w:p>
        </w:tc>
        <w:tc>
          <w:tcPr>
            <w:tcW w:w="5193" w:type="dxa"/>
          </w:tcPr>
          <w:p w14:paraId="1224BB73" w14:textId="48F07100" w:rsidR="00C74620" w:rsidRPr="00C74620" w:rsidRDefault="00C74620" w:rsidP="00C74620">
            <w:pPr>
              <w:spacing w:after="0"/>
              <w:rPr>
                <w:sz w:val="22"/>
              </w:rPr>
            </w:pPr>
            <w:r>
              <w:rPr>
                <w:sz w:val="22"/>
              </w:rPr>
              <w:t>The deterministic design process applied by engineering disciplines for the substantiation of SSCs against design basis conditions and events.</w:t>
            </w:r>
          </w:p>
        </w:tc>
      </w:tr>
      <w:tr w:rsidR="00C74620" w14:paraId="15699C83" w14:textId="77777777" w:rsidTr="000D6BF8">
        <w:trPr>
          <w:trHeight w:val="583"/>
        </w:trPr>
        <w:tc>
          <w:tcPr>
            <w:tcW w:w="3823" w:type="dxa"/>
            <w:vAlign w:val="center"/>
          </w:tcPr>
          <w:p w14:paraId="63DF9634" w14:textId="77777777" w:rsidR="00C74620" w:rsidRPr="00DC5B65" w:rsidRDefault="00C74620" w:rsidP="00C74620">
            <w:pPr>
              <w:spacing w:after="0"/>
              <w:rPr>
                <w:bCs/>
                <w:sz w:val="22"/>
              </w:rPr>
            </w:pPr>
            <w:r w:rsidRPr="00DC5B65">
              <w:rPr>
                <w:bCs/>
                <w:sz w:val="22"/>
              </w:rPr>
              <w:t>Design Basis Event</w:t>
            </w:r>
          </w:p>
          <w:p w14:paraId="49504A09" w14:textId="13923577" w:rsidR="00C74620" w:rsidRPr="00C74620" w:rsidRDefault="00C74620" w:rsidP="00C74620">
            <w:pPr>
              <w:pStyle w:val="Bulletlist1"/>
              <w:numPr>
                <w:ilvl w:val="0"/>
                <w:numId w:val="0"/>
              </w:numPr>
              <w:spacing w:before="120"/>
              <w:jc w:val="both"/>
              <w:rPr>
                <w:sz w:val="22"/>
              </w:rPr>
            </w:pPr>
            <w:r w:rsidRPr="00DC5B65">
              <w:rPr>
                <w:sz w:val="22"/>
              </w:rPr>
              <w:t>(DBE)</w:t>
            </w:r>
          </w:p>
        </w:tc>
        <w:tc>
          <w:tcPr>
            <w:tcW w:w="5193" w:type="dxa"/>
          </w:tcPr>
          <w:p w14:paraId="28350766" w14:textId="6FCC5DD0" w:rsidR="00C74620" w:rsidRPr="00C74620" w:rsidRDefault="00C74620" w:rsidP="00C74620">
            <w:pPr>
              <w:spacing w:after="0"/>
              <w:rPr>
                <w:sz w:val="22"/>
              </w:rPr>
            </w:pPr>
            <w:r w:rsidRPr="00DC5B65">
              <w:rPr>
                <w:sz w:val="22"/>
              </w:rPr>
              <w:t>A conservatively defined 1 in 10</w:t>
            </w:r>
            <w:r w:rsidR="00B619DA">
              <w:rPr>
                <w:sz w:val="22"/>
              </w:rPr>
              <w:t>,</w:t>
            </w:r>
            <w:r w:rsidRPr="00DC5B65">
              <w:rPr>
                <w:sz w:val="22"/>
              </w:rPr>
              <w:t xml:space="preserve">000 year return period hazard definition that meets the intent of SAP EHA.4. This is the minimum level </w:t>
            </w:r>
            <w:r w:rsidRPr="005D5633">
              <w:rPr>
                <w:sz w:val="22"/>
              </w:rPr>
              <w:t xml:space="preserve">a </w:t>
            </w:r>
            <w:proofErr w:type="spellStart"/>
            <w:r w:rsidRPr="005D5633">
              <w:rPr>
                <w:sz w:val="22"/>
              </w:rPr>
              <w:t>BoD</w:t>
            </w:r>
            <w:proofErr w:type="spellEnd"/>
            <w:r w:rsidRPr="005D5633">
              <w:rPr>
                <w:sz w:val="22"/>
              </w:rPr>
              <w:t xml:space="preserve"> is expected to meet</w:t>
            </w:r>
            <w:r>
              <w:rPr>
                <w:sz w:val="22"/>
              </w:rPr>
              <w:t xml:space="preserve"> for design of SSCs</w:t>
            </w:r>
            <w:r w:rsidRPr="005D5633">
              <w:rPr>
                <w:sz w:val="22"/>
              </w:rPr>
              <w:t>.</w:t>
            </w:r>
          </w:p>
        </w:tc>
      </w:tr>
      <w:tr w:rsidR="00C74620" w14:paraId="7375CF50" w14:textId="77777777" w:rsidTr="000D6BF8">
        <w:trPr>
          <w:trHeight w:val="583"/>
        </w:trPr>
        <w:tc>
          <w:tcPr>
            <w:tcW w:w="3823" w:type="dxa"/>
            <w:vAlign w:val="center"/>
          </w:tcPr>
          <w:p w14:paraId="73E165A3" w14:textId="77777777" w:rsidR="00C74620" w:rsidRPr="00DC5B65" w:rsidRDefault="00C74620" w:rsidP="00C74620">
            <w:pPr>
              <w:spacing w:after="0"/>
              <w:rPr>
                <w:bCs/>
                <w:sz w:val="22"/>
              </w:rPr>
            </w:pPr>
            <w:r w:rsidRPr="00DC5B65">
              <w:rPr>
                <w:bCs/>
                <w:sz w:val="22"/>
              </w:rPr>
              <w:lastRenderedPageBreak/>
              <w:t>Design Extension Conditions</w:t>
            </w:r>
          </w:p>
          <w:p w14:paraId="42476901" w14:textId="4E79AB42" w:rsidR="00C74620" w:rsidRPr="00547634" w:rsidRDefault="00C74620" w:rsidP="00547634">
            <w:pPr>
              <w:pStyle w:val="Bulletlist1"/>
              <w:numPr>
                <w:ilvl w:val="0"/>
                <w:numId w:val="0"/>
              </w:numPr>
              <w:spacing w:before="120"/>
              <w:jc w:val="both"/>
              <w:rPr>
                <w:sz w:val="22"/>
              </w:rPr>
            </w:pPr>
            <w:r w:rsidRPr="00DC5B65">
              <w:rPr>
                <w:sz w:val="22"/>
              </w:rPr>
              <w:t>(DEC)</w:t>
            </w:r>
          </w:p>
        </w:tc>
        <w:tc>
          <w:tcPr>
            <w:tcW w:w="5193" w:type="dxa"/>
          </w:tcPr>
          <w:p w14:paraId="489411A5" w14:textId="7BAB7C37" w:rsidR="00C74620" w:rsidRPr="00547634" w:rsidRDefault="00C74620" w:rsidP="00547634">
            <w:pPr>
              <w:spacing w:after="0"/>
              <w:rPr>
                <w:sz w:val="22"/>
              </w:rPr>
            </w:pPr>
            <w:r>
              <w:rPr>
                <w:sz w:val="22"/>
              </w:rPr>
              <w:t xml:space="preserve">Accident conditions that are not considered for design basis accidents, but that are considered in the design process of the facility in accordance with best estimate methodology, and for which releases of radioactive material are kept within acceptable limits. </w:t>
            </w:r>
          </w:p>
        </w:tc>
      </w:tr>
      <w:tr w:rsidR="00C74620" w14:paraId="5AC306D7" w14:textId="77777777" w:rsidTr="000D6BF8">
        <w:trPr>
          <w:trHeight w:val="225"/>
        </w:trPr>
        <w:tc>
          <w:tcPr>
            <w:tcW w:w="3823" w:type="dxa"/>
            <w:vAlign w:val="center"/>
          </w:tcPr>
          <w:p w14:paraId="099F313E" w14:textId="105134D9" w:rsidR="00C74620" w:rsidRPr="00C74620" w:rsidRDefault="00C74620" w:rsidP="00547634">
            <w:pPr>
              <w:pStyle w:val="Bulletlist1"/>
              <w:numPr>
                <w:ilvl w:val="0"/>
                <w:numId w:val="0"/>
              </w:numPr>
              <w:spacing w:before="120"/>
              <w:jc w:val="both"/>
            </w:pPr>
            <w:r w:rsidRPr="00547634">
              <w:rPr>
                <w:bCs w:val="0"/>
                <w:iCs/>
                <w:sz w:val="22"/>
              </w:rPr>
              <w:t>Epistemic uncertainty</w:t>
            </w:r>
          </w:p>
        </w:tc>
        <w:tc>
          <w:tcPr>
            <w:tcW w:w="5193" w:type="dxa"/>
          </w:tcPr>
          <w:p w14:paraId="3B30D0B2" w14:textId="166524ED" w:rsidR="00C74620" w:rsidRPr="00547634" w:rsidRDefault="00C74620" w:rsidP="00547634">
            <w:pPr>
              <w:spacing w:after="0"/>
              <w:rPr>
                <w:sz w:val="22"/>
              </w:rPr>
            </w:pPr>
            <w:r w:rsidRPr="00547634">
              <w:rPr>
                <w:sz w:val="22"/>
              </w:rPr>
              <w:t>A lack of knowledge of a physical process (data and modelling)</w:t>
            </w:r>
            <w:r w:rsidRPr="005D5633">
              <w:rPr>
                <w:sz w:val="22"/>
              </w:rPr>
              <w:t xml:space="preserve"> </w:t>
            </w:r>
            <w:r>
              <w:rPr>
                <w:sz w:val="22"/>
              </w:rPr>
              <w:t>and is in theory reducible</w:t>
            </w:r>
            <w:r w:rsidRPr="005D5633">
              <w:rPr>
                <w:sz w:val="22"/>
              </w:rPr>
              <w:t>.</w:t>
            </w:r>
          </w:p>
        </w:tc>
      </w:tr>
      <w:tr w:rsidR="00C74620" w14:paraId="4FBBB88E" w14:textId="77777777" w:rsidTr="000D6BF8">
        <w:tc>
          <w:tcPr>
            <w:tcW w:w="3823" w:type="dxa"/>
            <w:vAlign w:val="center"/>
          </w:tcPr>
          <w:p w14:paraId="5E9314F2" w14:textId="77777777" w:rsidR="00C74620" w:rsidRPr="00DC5B65" w:rsidRDefault="00C74620" w:rsidP="00C74620">
            <w:pPr>
              <w:spacing w:after="0"/>
              <w:rPr>
                <w:bCs/>
                <w:sz w:val="22"/>
              </w:rPr>
            </w:pPr>
            <w:r w:rsidRPr="00DC5B65">
              <w:rPr>
                <w:bCs/>
                <w:sz w:val="22"/>
              </w:rPr>
              <w:t>Generic Design Assessment</w:t>
            </w:r>
          </w:p>
          <w:p w14:paraId="4EEC7DFB" w14:textId="4B977E4D" w:rsidR="00C74620" w:rsidRPr="00C74620" w:rsidRDefault="00C74620" w:rsidP="00C74620">
            <w:pPr>
              <w:rPr>
                <w:bCs/>
                <w:sz w:val="22"/>
              </w:rPr>
            </w:pPr>
            <w:r w:rsidRPr="00DC5B65">
              <w:rPr>
                <w:bCs/>
                <w:sz w:val="22"/>
              </w:rPr>
              <w:t>(GDA)</w:t>
            </w:r>
          </w:p>
        </w:tc>
        <w:tc>
          <w:tcPr>
            <w:tcW w:w="5193" w:type="dxa"/>
          </w:tcPr>
          <w:p w14:paraId="61A9F227" w14:textId="0DD54085" w:rsidR="00C74620" w:rsidRPr="00C74620" w:rsidRDefault="00C74620" w:rsidP="00C74620">
            <w:pPr>
              <w:spacing w:after="0"/>
              <w:rPr>
                <w:sz w:val="22"/>
              </w:rPr>
            </w:pPr>
            <w:r w:rsidRPr="00DC5B65">
              <w:rPr>
                <w:sz w:val="22"/>
              </w:rPr>
              <w:t>Is an ONR process for the assessment of a new design intended to be able to be sited at a large number of sites, with minimum changes in the basic design.</w:t>
            </w:r>
          </w:p>
        </w:tc>
      </w:tr>
      <w:tr w:rsidR="00C74620" w14:paraId="0CF2350C" w14:textId="77777777" w:rsidTr="000D6BF8">
        <w:tc>
          <w:tcPr>
            <w:tcW w:w="3823" w:type="dxa"/>
            <w:vAlign w:val="center"/>
          </w:tcPr>
          <w:p w14:paraId="033986ED" w14:textId="77777777" w:rsidR="00C74620" w:rsidRPr="00DC5B65" w:rsidRDefault="00C74620" w:rsidP="00C74620">
            <w:pPr>
              <w:spacing w:after="0"/>
              <w:rPr>
                <w:bCs/>
                <w:sz w:val="22"/>
              </w:rPr>
            </w:pPr>
            <w:r w:rsidRPr="00DC5B65">
              <w:rPr>
                <w:bCs/>
                <w:sz w:val="22"/>
              </w:rPr>
              <w:t>Generic Site Envelop (GSE)</w:t>
            </w:r>
          </w:p>
          <w:p w14:paraId="6FA3F91F" w14:textId="6E517F93" w:rsidR="00C74620" w:rsidRPr="00C74620" w:rsidRDefault="00C74620" w:rsidP="00C74620">
            <w:pPr>
              <w:rPr>
                <w:bCs/>
                <w:sz w:val="22"/>
              </w:rPr>
            </w:pPr>
          </w:p>
        </w:tc>
        <w:tc>
          <w:tcPr>
            <w:tcW w:w="5193" w:type="dxa"/>
          </w:tcPr>
          <w:p w14:paraId="00991CCA" w14:textId="41F0BCD1" w:rsidR="00C74620" w:rsidRPr="00C74620" w:rsidRDefault="00C74620" w:rsidP="00C74620">
            <w:pPr>
              <w:spacing w:after="0"/>
              <w:rPr>
                <w:sz w:val="22"/>
              </w:rPr>
            </w:pPr>
            <w:r w:rsidRPr="00DC5B65">
              <w:rPr>
                <w:sz w:val="22"/>
              </w:rPr>
              <w:t>A suite of external hazard event definitions defined for GDA and intended to envelope the potential site-specific external hazards.</w:t>
            </w:r>
          </w:p>
        </w:tc>
      </w:tr>
      <w:tr w:rsidR="00C74620" w14:paraId="3F24BBE2" w14:textId="77777777" w:rsidTr="000D6BF8">
        <w:tc>
          <w:tcPr>
            <w:tcW w:w="3823" w:type="dxa"/>
            <w:vAlign w:val="center"/>
          </w:tcPr>
          <w:p w14:paraId="42E9C1A9" w14:textId="79F4BE72" w:rsidR="00C74620" w:rsidRPr="00C74620" w:rsidRDefault="00C74620" w:rsidP="00C74620">
            <w:pPr>
              <w:rPr>
                <w:bCs/>
                <w:sz w:val="22"/>
              </w:rPr>
            </w:pPr>
            <w:r w:rsidRPr="00DC5B65">
              <w:rPr>
                <w:bCs/>
                <w:sz w:val="22"/>
              </w:rPr>
              <w:t>Margin</w:t>
            </w:r>
          </w:p>
        </w:tc>
        <w:tc>
          <w:tcPr>
            <w:tcW w:w="5193" w:type="dxa"/>
          </w:tcPr>
          <w:p w14:paraId="1CB74D7F" w14:textId="3D3B24E8" w:rsidR="00C74620" w:rsidRPr="00C74620" w:rsidRDefault="00C74620" w:rsidP="00C74620">
            <w:pPr>
              <w:spacing w:after="0"/>
              <w:rPr>
                <w:sz w:val="22"/>
              </w:rPr>
            </w:pPr>
            <w:r w:rsidRPr="00DC5B65">
              <w:rPr>
                <w:sz w:val="22"/>
              </w:rPr>
              <w:t>The difference between the value of an external hazard that the facility needs to meet, compared to a value that is higher</w:t>
            </w:r>
          </w:p>
        </w:tc>
      </w:tr>
      <w:tr w:rsidR="00C74620" w14:paraId="3850CE7C" w14:textId="77777777" w:rsidTr="000D6BF8">
        <w:tc>
          <w:tcPr>
            <w:tcW w:w="3823" w:type="dxa"/>
            <w:vAlign w:val="center"/>
          </w:tcPr>
          <w:p w14:paraId="56C66422" w14:textId="77777777" w:rsidR="00C74620" w:rsidRPr="00DC5B65" w:rsidRDefault="00C74620" w:rsidP="00C74620">
            <w:pPr>
              <w:spacing w:after="0"/>
              <w:rPr>
                <w:bCs/>
                <w:sz w:val="22"/>
              </w:rPr>
            </w:pPr>
            <w:r w:rsidRPr="00DC5B65">
              <w:rPr>
                <w:bCs/>
                <w:sz w:val="22"/>
              </w:rPr>
              <w:t xml:space="preserve">Original Design Basis Event </w:t>
            </w:r>
          </w:p>
          <w:p w14:paraId="7F489029" w14:textId="14BE49AD" w:rsidR="00C74620" w:rsidRPr="00C74620" w:rsidRDefault="00C74620" w:rsidP="00547634">
            <w:pPr>
              <w:spacing w:after="0"/>
              <w:rPr>
                <w:bCs/>
                <w:sz w:val="22"/>
              </w:rPr>
            </w:pPr>
            <w:r w:rsidRPr="00DC5B65">
              <w:rPr>
                <w:bCs/>
                <w:sz w:val="22"/>
              </w:rPr>
              <w:t>(</w:t>
            </w:r>
            <w:proofErr w:type="spellStart"/>
            <w:r w:rsidRPr="00DC5B65">
              <w:rPr>
                <w:bCs/>
                <w:sz w:val="22"/>
              </w:rPr>
              <w:t>oDBE</w:t>
            </w:r>
            <w:proofErr w:type="spellEnd"/>
            <w:r w:rsidRPr="00DC5B65">
              <w:rPr>
                <w:bCs/>
                <w:sz w:val="22"/>
              </w:rPr>
              <w:t>)</w:t>
            </w:r>
          </w:p>
        </w:tc>
        <w:tc>
          <w:tcPr>
            <w:tcW w:w="5193" w:type="dxa"/>
          </w:tcPr>
          <w:p w14:paraId="1DCF648A" w14:textId="4F967D8D" w:rsidR="00C74620" w:rsidRPr="00C74620" w:rsidRDefault="00C74620" w:rsidP="00C74620">
            <w:pPr>
              <w:spacing w:after="0"/>
              <w:rPr>
                <w:sz w:val="22"/>
              </w:rPr>
            </w:pPr>
            <w:r w:rsidRPr="00DC5B65">
              <w:rPr>
                <w:sz w:val="22"/>
              </w:rPr>
              <w:t>The original or first DBE definition in a facility’s lifecycle.</w:t>
            </w:r>
          </w:p>
        </w:tc>
      </w:tr>
      <w:tr w:rsidR="00C74620" w14:paraId="073D4A79" w14:textId="77777777" w:rsidTr="000D6BF8">
        <w:tc>
          <w:tcPr>
            <w:tcW w:w="3823" w:type="dxa"/>
            <w:vAlign w:val="center"/>
          </w:tcPr>
          <w:p w14:paraId="294836C3" w14:textId="55B06558" w:rsidR="00C74620" w:rsidRPr="00C52596" w:rsidRDefault="00C74620" w:rsidP="00C74620">
            <w:pPr>
              <w:spacing w:after="0"/>
              <w:rPr>
                <w:bCs/>
                <w:sz w:val="22"/>
              </w:rPr>
            </w:pPr>
            <w:r w:rsidRPr="00C52596">
              <w:rPr>
                <w:bCs/>
                <w:sz w:val="22"/>
              </w:rPr>
              <w:t>Probabilistic Safety A</w:t>
            </w:r>
            <w:r w:rsidR="00A8610E">
              <w:rPr>
                <w:bCs/>
                <w:sz w:val="22"/>
              </w:rPr>
              <w:t xml:space="preserve">nalysis </w:t>
            </w:r>
          </w:p>
          <w:p w14:paraId="599CFF07" w14:textId="5269B2A0" w:rsidR="00C74620" w:rsidRPr="00DC5B65" w:rsidRDefault="00C74620" w:rsidP="00C74620">
            <w:pPr>
              <w:rPr>
                <w:bCs/>
                <w:sz w:val="22"/>
              </w:rPr>
            </w:pPr>
            <w:r w:rsidRPr="00C52596">
              <w:rPr>
                <w:bCs/>
                <w:sz w:val="22"/>
              </w:rPr>
              <w:t>(PSA)</w:t>
            </w:r>
          </w:p>
        </w:tc>
        <w:tc>
          <w:tcPr>
            <w:tcW w:w="5193" w:type="dxa"/>
          </w:tcPr>
          <w:p w14:paraId="76F0997D" w14:textId="3BF69185" w:rsidR="00C74620" w:rsidRDefault="00C74620" w:rsidP="00C74620">
            <w:pPr>
              <w:spacing w:after="0"/>
              <w:rPr>
                <w:sz w:val="22"/>
              </w:rPr>
            </w:pPr>
            <w:r>
              <w:rPr>
                <w:sz w:val="22"/>
              </w:rPr>
              <w:t>A systematic analysis that identifies all important fault sequences which can lead to radiological consequences and evaluates their contribution to the level of risk represented by the facility.</w:t>
            </w:r>
          </w:p>
        </w:tc>
      </w:tr>
      <w:tr w:rsidR="00C74620" w14:paraId="442EAAF7" w14:textId="77777777" w:rsidTr="000D6BF8">
        <w:tc>
          <w:tcPr>
            <w:tcW w:w="3823" w:type="dxa"/>
            <w:vAlign w:val="center"/>
          </w:tcPr>
          <w:p w14:paraId="0F0E4869" w14:textId="440F1FA1" w:rsidR="00C74620" w:rsidRPr="00C74620" w:rsidRDefault="00C74620" w:rsidP="00C74620">
            <w:pPr>
              <w:rPr>
                <w:bCs/>
                <w:sz w:val="22"/>
              </w:rPr>
            </w:pPr>
            <w:r w:rsidRPr="00DC5B65">
              <w:rPr>
                <w:bCs/>
                <w:sz w:val="22"/>
              </w:rPr>
              <w:t>Return Period</w:t>
            </w:r>
          </w:p>
        </w:tc>
        <w:tc>
          <w:tcPr>
            <w:tcW w:w="5193" w:type="dxa"/>
          </w:tcPr>
          <w:p w14:paraId="31FCA40F" w14:textId="133D2B1F" w:rsidR="00C74620" w:rsidRPr="00C74620" w:rsidRDefault="00C74620" w:rsidP="00C74620">
            <w:pPr>
              <w:spacing w:after="0"/>
              <w:rPr>
                <w:sz w:val="22"/>
              </w:rPr>
            </w:pPr>
            <w:r>
              <w:rPr>
                <w:sz w:val="22"/>
              </w:rPr>
              <w:t xml:space="preserve">A recurrence interval representing an average or estimated time between events of a given severity. </w:t>
            </w:r>
          </w:p>
        </w:tc>
      </w:tr>
      <w:tr w:rsidR="00C74620" w14:paraId="0838B7C3" w14:textId="77777777" w:rsidTr="000D6BF8">
        <w:tc>
          <w:tcPr>
            <w:tcW w:w="3823" w:type="dxa"/>
            <w:vAlign w:val="center"/>
          </w:tcPr>
          <w:p w14:paraId="7DACFA95" w14:textId="77777777" w:rsidR="00C74620" w:rsidRPr="00DC5B65" w:rsidRDefault="00C74620" w:rsidP="00C74620">
            <w:pPr>
              <w:spacing w:after="0"/>
              <w:rPr>
                <w:bCs/>
                <w:sz w:val="22"/>
              </w:rPr>
            </w:pPr>
            <w:r w:rsidRPr="00DC5B65">
              <w:rPr>
                <w:bCs/>
                <w:sz w:val="22"/>
              </w:rPr>
              <w:t xml:space="preserve">Reviewed Design Basis Event </w:t>
            </w:r>
          </w:p>
          <w:p w14:paraId="4D61A590" w14:textId="4E829480" w:rsidR="00C74620" w:rsidRPr="00C74620" w:rsidRDefault="00C74620" w:rsidP="00547634">
            <w:pPr>
              <w:spacing w:after="0"/>
              <w:rPr>
                <w:bCs/>
                <w:sz w:val="22"/>
              </w:rPr>
            </w:pPr>
            <w:r w:rsidRPr="00DC5B65">
              <w:rPr>
                <w:bCs/>
                <w:sz w:val="22"/>
              </w:rPr>
              <w:t>(</w:t>
            </w:r>
            <w:proofErr w:type="spellStart"/>
            <w:r w:rsidRPr="00DC5B65">
              <w:rPr>
                <w:bCs/>
                <w:sz w:val="22"/>
              </w:rPr>
              <w:t>rDBE</w:t>
            </w:r>
            <w:proofErr w:type="spellEnd"/>
            <w:r w:rsidRPr="00DC5B65">
              <w:rPr>
                <w:bCs/>
                <w:sz w:val="22"/>
              </w:rPr>
              <w:t>)</w:t>
            </w:r>
          </w:p>
        </w:tc>
        <w:tc>
          <w:tcPr>
            <w:tcW w:w="5193" w:type="dxa"/>
          </w:tcPr>
          <w:p w14:paraId="36196B5E" w14:textId="1B2E4F0C" w:rsidR="00C74620" w:rsidRPr="00C74620" w:rsidRDefault="00C74620" w:rsidP="00C74620">
            <w:pPr>
              <w:spacing w:after="0"/>
              <w:rPr>
                <w:sz w:val="22"/>
              </w:rPr>
            </w:pPr>
            <w:r w:rsidRPr="00DC5B65">
              <w:rPr>
                <w:sz w:val="22"/>
              </w:rPr>
              <w:t xml:space="preserve">A reviewed DBE definition that is distinct from the </w:t>
            </w:r>
            <w:proofErr w:type="spellStart"/>
            <w:r w:rsidRPr="00DC5B65">
              <w:rPr>
                <w:sz w:val="22"/>
              </w:rPr>
              <w:t>oDBE</w:t>
            </w:r>
            <w:proofErr w:type="spellEnd"/>
            <w:r w:rsidRPr="00DC5B65">
              <w:rPr>
                <w:sz w:val="22"/>
              </w:rPr>
              <w:t xml:space="preserve"> that may be necessary during the life of the facility.</w:t>
            </w:r>
          </w:p>
        </w:tc>
      </w:tr>
      <w:tr w:rsidR="00C74620" w14:paraId="591CCFAF" w14:textId="77777777" w:rsidTr="000D6BF8">
        <w:tc>
          <w:tcPr>
            <w:tcW w:w="3823" w:type="dxa"/>
            <w:vAlign w:val="center"/>
          </w:tcPr>
          <w:p w14:paraId="12096B7A" w14:textId="77777777" w:rsidR="00C74620" w:rsidRPr="00E944C7" w:rsidRDefault="00C74620" w:rsidP="00C74620">
            <w:pPr>
              <w:spacing w:after="0"/>
              <w:rPr>
                <w:bCs/>
                <w:sz w:val="22"/>
              </w:rPr>
            </w:pPr>
            <w:r w:rsidRPr="00E944C7">
              <w:rPr>
                <w:bCs/>
                <w:sz w:val="22"/>
              </w:rPr>
              <w:t>Safe Shutdown Event</w:t>
            </w:r>
          </w:p>
          <w:p w14:paraId="02EE79AD" w14:textId="0E6CD5C7" w:rsidR="00C74620" w:rsidRPr="00C74620" w:rsidRDefault="00C74620" w:rsidP="00C74620">
            <w:pPr>
              <w:rPr>
                <w:bCs/>
                <w:sz w:val="22"/>
              </w:rPr>
            </w:pPr>
            <w:r w:rsidRPr="00E944C7">
              <w:rPr>
                <w:bCs/>
                <w:sz w:val="22"/>
              </w:rPr>
              <w:t>(SSE)</w:t>
            </w:r>
          </w:p>
        </w:tc>
        <w:tc>
          <w:tcPr>
            <w:tcW w:w="5193" w:type="dxa"/>
          </w:tcPr>
          <w:p w14:paraId="11BEA06A" w14:textId="0051FE73" w:rsidR="00C74620" w:rsidRPr="00C74620" w:rsidRDefault="00C74620" w:rsidP="00C74620">
            <w:pPr>
              <w:spacing w:after="0"/>
              <w:rPr>
                <w:sz w:val="22"/>
              </w:rPr>
            </w:pPr>
            <w:r>
              <w:rPr>
                <w:sz w:val="22"/>
              </w:rPr>
              <w:t>This is</w:t>
            </w:r>
            <w:r w:rsidRPr="00E944C7">
              <w:rPr>
                <w:sz w:val="22"/>
              </w:rPr>
              <w:t xml:space="preserve"> an external hazard definition that the plant can safely withstand that is typically less than the </w:t>
            </w:r>
            <w:proofErr w:type="spellStart"/>
            <w:r w:rsidRPr="00E944C7">
              <w:rPr>
                <w:sz w:val="22"/>
              </w:rPr>
              <w:t>oDBE</w:t>
            </w:r>
            <w:proofErr w:type="spellEnd"/>
            <w:r w:rsidRPr="00E944C7">
              <w:rPr>
                <w:sz w:val="22"/>
              </w:rPr>
              <w:t xml:space="preserve"> or a </w:t>
            </w:r>
            <w:proofErr w:type="spellStart"/>
            <w:r w:rsidRPr="00E944C7">
              <w:rPr>
                <w:sz w:val="22"/>
              </w:rPr>
              <w:t>rDBE</w:t>
            </w:r>
            <w:proofErr w:type="spellEnd"/>
          </w:p>
        </w:tc>
      </w:tr>
      <w:tr w:rsidR="00C74620" w14:paraId="7A4E1B80" w14:textId="77777777" w:rsidTr="000D6BF8">
        <w:tc>
          <w:tcPr>
            <w:tcW w:w="3823" w:type="dxa"/>
            <w:vAlign w:val="center"/>
          </w:tcPr>
          <w:p w14:paraId="649B3C5F" w14:textId="77777777" w:rsidR="00C74620" w:rsidRPr="003C3EDB" w:rsidRDefault="00C74620" w:rsidP="00C74620">
            <w:pPr>
              <w:spacing w:after="0"/>
              <w:rPr>
                <w:bCs/>
                <w:sz w:val="22"/>
              </w:rPr>
            </w:pPr>
            <w:r w:rsidRPr="003C3EDB">
              <w:rPr>
                <w:bCs/>
                <w:sz w:val="22"/>
              </w:rPr>
              <w:t xml:space="preserve">Severe Accident Analysis </w:t>
            </w:r>
          </w:p>
          <w:p w14:paraId="415860DD" w14:textId="3267E400" w:rsidR="00C74620" w:rsidRPr="00C74620" w:rsidRDefault="00C74620" w:rsidP="00C74620">
            <w:pPr>
              <w:rPr>
                <w:bCs/>
                <w:sz w:val="22"/>
              </w:rPr>
            </w:pPr>
            <w:r w:rsidRPr="003C3EDB">
              <w:rPr>
                <w:bCs/>
                <w:sz w:val="22"/>
              </w:rPr>
              <w:t>(SAA)</w:t>
            </w:r>
          </w:p>
        </w:tc>
        <w:tc>
          <w:tcPr>
            <w:tcW w:w="5193" w:type="dxa"/>
          </w:tcPr>
          <w:p w14:paraId="7688D486" w14:textId="56A2B3E8" w:rsidR="00C74620" w:rsidRPr="00C74620" w:rsidRDefault="00C74620" w:rsidP="00C74620">
            <w:pPr>
              <w:spacing w:after="0"/>
              <w:rPr>
                <w:sz w:val="22"/>
              </w:rPr>
            </w:pPr>
            <w:r>
              <w:rPr>
                <w:sz w:val="22"/>
              </w:rPr>
              <w:t>A consideration of states and scenarios that the DBA and PSA have justified as highly unlikely, that could lead to a severe accident, to determine whether further risk-reducing measures are reasonable.</w:t>
            </w:r>
          </w:p>
        </w:tc>
      </w:tr>
      <w:tr w:rsidR="00C74620" w14:paraId="6C96F9BD" w14:textId="77777777" w:rsidTr="000D6BF8">
        <w:tc>
          <w:tcPr>
            <w:tcW w:w="3823" w:type="dxa"/>
            <w:vAlign w:val="center"/>
          </w:tcPr>
          <w:p w14:paraId="06EA5F91" w14:textId="4758D595" w:rsidR="00C74620" w:rsidRPr="00547634" w:rsidRDefault="00C74620" w:rsidP="00C74620">
            <w:pPr>
              <w:rPr>
                <w:bCs/>
                <w:sz w:val="22"/>
              </w:rPr>
            </w:pPr>
            <w:r w:rsidRPr="00547634">
              <w:rPr>
                <w:bCs/>
                <w:sz w:val="22"/>
              </w:rPr>
              <w:t>Site Hazard Characterisation</w:t>
            </w:r>
          </w:p>
        </w:tc>
        <w:tc>
          <w:tcPr>
            <w:tcW w:w="5193" w:type="dxa"/>
          </w:tcPr>
          <w:p w14:paraId="68610202" w14:textId="63A3226C" w:rsidR="00C74620" w:rsidRPr="00547634" w:rsidRDefault="00C74620" w:rsidP="00547634">
            <w:pPr>
              <w:spacing w:after="0"/>
              <w:rPr>
                <w:sz w:val="22"/>
              </w:rPr>
            </w:pPr>
            <w:r w:rsidRPr="00547634">
              <w:rPr>
                <w:sz w:val="22"/>
              </w:rPr>
              <w:t>Sometimes referred to as site characterisation, is the definition of the derived site-specific external hazard and is often presented as curves of hazard severity vs return period</w:t>
            </w:r>
            <w:r>
              <w:rPr>
                <w:sz w:val="22"/>
              </w:rPr>
              <w:t>.</w:t>
            </w:r>
          </w:p>
        </w:tc>
      </w:tr>
    </w:tbl>
    <w:p w14:paraId="3CEC3A21" w14:textId="77777777" w:rsidR="003A2106" w:rsidRPr="003A2106" w:rsidRDefault="003A2106" w:rsidP="00547634"/>
    <w:p w14:paraId="5C3F187C" w14:textId="1EDA958F" w:rsidR="00132AFF" w:rsidRDefault="00CE6E85" w:rsidP="00132AFF">
      <w:pPr>
        <w:pStyle w:val="Caption"/>
        <w:keepNext/>
      </w:pPr>
      <w:r>
        <w:br w:type="page"/>
      </w:r>
      <w:r w:rsidR="00697EDB">
        <w:lastRenderedPageBreak/>
        <w:br/>
      </w:r>
      <w:bookmarkStart w:id="935" w:name="_Toc140137289"/>
      <w:r w:rsidR="00132AFF">
        <w:t xml:space="preserve">Table </w:t>
      </w:r>
      <w:fldSimple w:instr=" SEQ Table \* ARABIC ">
        <w:r w:rsidR="008B51F7">
          <w:rPr>
            <w:noProof/>
          </w:rPr>
          <w:t>1</w:t>
        </w:r>
      </w:fldSimple>
      <w:r w:rsidR="00132AFF">
        <w:t>: Categories of external hazards</w:t>
      </w:r>
      <w:bookmarkEnd w:id="935"/>
    </w:p>
    <w:tbl>
      <w:tblPr>
        <w:tblStyle w:val="TableGrid"/>
        <w:tblW w:w="9067" w:type="dxa"/>
        <w:jc w:val="center"/>
        <w:tblBorders>
          <w:top w:val="single" w:sz="4" w:space="0" w:color="999999" w:themeColor="text2" w:themeTint="66"/>
          <w:left w:val="single" w:sz="4" w:space="0" w:color="999999" w:themeColor="text2" w:themeTint="66"/>
          <w:bottom w:val="single" w:sz="4" w:space="0" w:color="999999" w:themeColor="text2" w:themeTint="66"/>
          <w:right w:val="single" w:sz="4" w:space="0" w:color="999999" w:themeColor="text2" w:themeTint="66"/>
          <w:insideH w:val="single" w:sz="4" w:space="0" w:color="999999" w:themeColor="text2" w:themeTint="66"/>
          <w:insideV w:val="single" w:sz="4" w:space="0" w:color="999999" w:themeColor="text2" w:themeTint="66"/>
        </w:tblBorders>
        <w:tblLook w:val="04A0" w:firstRow="1" w:lastRow="0" w:firstColumn="1" w:lastColumn="0" w:noHBand="0" w:noVBand="1"/>
      </w:tblPr>
      <w:tblGrid>
        <w:gridCol w:w="444"/>
        <w:gridCol w:w="418"/>
        <w:gridCol w:w="418"/>
        <w:gridCol w:w="1820"/>
        <w:gridCol w:w="4158"/>
        <w:gridCol w:w="1809"/>
      </w:tblGrid>
      <w:tr w:rsidR="00232654" w:rsidRPr="00C25736" w14:paraId="5E68D3B6" w14:textId="77777777">
        <w:trPr>
          <w:jc w:val="center"/>
        </w:trPr>
        <w:tc>
          <w:tcPr>
            <w:tcW w:w="3100" w:type="dxa"/>
            <w:gridSpan w:val="4"/>
            <w:shd w:val="clear" w:color="auto" w:fill="D4EFE5"/>
            <w:hideMark/>
          </w:tcPr>
          <w:p w14:paraId="7B9B2A1B" w14:textId="77777777" w:rsidR="00132AFF" w:rsidRPr="00DE4878" w:rsidRDefault="00132AFF">
            <w:pPr>
              <w:autoSpaceDE w:val="0"/>
              <w:autoSpaceDN w:val="0"/>
              <w:adjustRightInd w:val="0"/>
              <w:jc w:val="center"/>
              <w:rPr>
                <w:bCs/>
              </w:rPr>
            </w:pPr>
            <w:r w:rsidRPr="00DE4878">
              <w:rPr>
                <w:bCs/>
                <w:color w:val="000000"/>
              </w:rPr>
              <w:t>Plant fault initiator</w:t>
            </w:r>
          </w:p>
        </w:tc>
        <w:tc>
          <w:tcPr>
            <w:tcW w:w="4158" w:type="dxa"/>
            <w:shd w:val="clear" w:color="auto" w:fill="D4EFE5"/>
            <w:hideMark/>
          </w:tcPr>
          <w:p w14:paraId="0AAB3E94" w14:textId="77777777" w:rsidR="00132AFF" w:rsidRPr="00DE4878" w:rsidRDefault="00132AFF">
            <w:pPr>
              <w:autoSpaceDE w:val="0"/>
              <w:autoSpaceDN w:val="0"/>
              <w:adjustRightInd w:val="0"/>
              <w:jc w:val="center"/>
              <w:rPr>
                <w:bCs/>
              </w:rPr>
            </w:pPr>
            <w:r w:rsidRPr="00DE4878">
              <w:rPr>
                <w:bCs/>
                <w:color w:val="000000"/>
              </w:rPr>
              <w:t>Comment</w:t>
            </w:r>
          </w:p>
        </w:tc>
        <w:tc>
          <w:tcPr>
            <w:tcW w:w="1809" w:type="dxa"/>
            <w:shd w:val="clear" w:color="auto" w:fill="D4EFE5"/>
            <w:hideMark/>
          </w:tcPr>
          <w:p w14:paraId="668C757A" w14:textId="77777777" w:rsidR="00132AFF" w:rsidRPr="00DE4878" w:rsidRDefault="00132AFF">
            <w:pPr>
              <w:autoSpaceDE w:val="0"/>
              <w:autoSpaceDN w:val="0"/>
              <w:adjustRightInd w:val="0"/>
              <w:jc w:val="center"/>
              <w:rPr>
                <w:bCs/>
              </w:rPr>
            </w:pPr>
            <w:r w:rsidRPr="00DE4878">
              <w:rPr>
                <w:bCs/>
                <w:color w:val="000000"/>
              </w:rPr>
              <w:t>Covered by TAG 13</w:t>
            </w:r>
          </w:p>
        </w:tc>
      </w:tr>
      <w:tr w:rsidR="00427367" w:rsidRPr="00C25736" w14:paraId="72D20E06" w14:textId="77777777" w:rsidTr="000D6BF8">
        <w:trPr>
          <w:jc w:val="center"/>
        </w:trPr>
        <w:tc>
          <w:tcPr>
            <w:tcW w:w="444" w:type="dxa"/>
            <w:vAlign w:val="center"/>
            <w:hideMark/>
          </w:tcPr>
          <w:p w14:paraId="17CEF9C8" w14:textId="77777777" w:rsidR="00132AFF" w:rsidRPr="00DE4878" w:rsidRDefault="00132AFF">
            <w:pPr>
              <w:autoSpaceDE w:val="0"/>
              <w:autoSpaceDN w:val="0"/>
              <w:adjustRightInd w:val="0"/>
              <w:rPr>
                <w:b/>
                <w:sz w:val="22"/>
              </w:rPr>
            </w:pPr>
            <w:r w:rsidRPr="00DE4878">
              <w:rPr>
                <w:b/>
                <w:sz w:val="22"/>
              </w:rPr>
              <w:t>-</w:t>
            </w:r>
          </w:p>
        </w:tc>
        <w:tc>
          <w:tcPr>
            <w:tcW w:w="2656" w:type="dxa"/>
            <w:gridSpan w:val="3"/>
            <w:vAlign w:val="center"/>
            <w:hideMark/>
          </w:tcPr>
          <w:p w14:paraId="7A513655" w14:textId="77777777" w:rsidR="00132AFF" w:rsidRPr="00DE4878" w:rsidRDefault="00132AFF">
            <w:pPr>
              <w:autoSpaceDE w:val="0"/>
              <w:autoSpaceDN w:val="0"/>
              <w:adjustRightInd w:val="0"/>
              <w:rPr>
                <w:sz w:val="22"/>
              </w:rPr>
            </w:pPr>
            <w:r w:rsidRPr="00DE4878">
              <w:rPr>
                <w:sz w:val="22"/>
              </w:rPr>
              <w:t>Internal plant faults</w:t>
            </w:r>
          </w:p>
        </w:tc>
        <w:tc>
          <w:tcPr>
            <w:tcW w:w="4158" w:type="dxa"/>
            <w:vAlign w:val="center"/>
            <w:hideMark/>
          </w:tcPr>
          <w:p w14:paraId="189E626D" w14:textId="77777777" w:rsidR="00132AFF" w:rsidRPr="00DE4878" w:rsidRDefault="00132AFF">
            <w:pPr>
              <w:autoSpaceDE w:val="0"/>
              <w:autoSpaceDN w:val="0"/>
              <w:adjustRightInd w:val="0"/>
              <w:rPr>
                <w:sz w:val="22"/>
              </w:rPr>
            </w:pPr>
            <w:r w:rsidRPr="00DE4878">
              <w:rPr>
                <w:sz w:val="22"/>
              </w:rPr>
              <w:t>Man-made, internal to primary nuclear plant &amp; process</w:t>
            </w:r>
          </w:p>
        </w:tc>
        <w:tc>
          <w:tcPr>
            <w:tcW w:w="1809" w:type="dxa"/>
            <w:vAlign w:val="center"/>
            <w:hideMark/>
          </w:tcPr>
          <w:p w14:paraId="0F32B9B4" w14:textId="77777777" w:rsidR="00132AFF" w:rsidRPr="00DE4878" w:rsidRDefault="00132AFF">
            <w:pPr>
              <w:autoSpaceDE w:val="0"/>
              <w:autoSpaceDN w:val="0"/>
              <w:adjustRightInd w:val="0"/>
              <w:jc w:val="center"/>
              <w:rPr>
                <w:sz w:val="22"/>
              </w:rPr>
            </w:pPr>
            <w:r w:rsidRPr="00DE4878">
              <w:rPr>
                <w:sz w:val="22"/>
              </w:rPr>
              <w:t>N</w:t>
            </w:r>
          </w:p>
        </w:tc>
      </w:tr>
      <w:tr w:rsidR="00427367" w:rsidRPr="00C25736" w14:paraId="19924979" w14:textId="77777777" w:rsidTr="000D6BF8">
        <w:trPr>
          <w:jc w:val="center"/>
        </w:trPr>
        <w:tc>
          <w:tcPr>
            <w:tcW w:w="444" w:type="dxa"/>
            <w:vAlign w:val="center"/>
            <w:hideMark/>
          </w:tcPr>
          <w:p w14:paraId="483988C6" w14:textId="77777777" w:rsidR="00132AFF" w:rsidRPr="00DE4878" w:rsidRDefault="00132AFF">
            <w:pPr>
              <w:autoSpaceDE w:val="0"/>
              <w:autoSpaceDN w:val="0"/>
              <w:adjustRightInd w:val="0"/>
              <w:rPr>
                <w:b/>
                <w:sz w:val="22"/>
              </w:rPr>
            </w:pPr>
            <w:r w:rsidRPr="00DE4878">
              <w:rPr>
                <w:b/>
                <w:sz w:val="22"/>
              </w:rPr>
              <w:t>-</w:t>
            </w:r>
          </w:p>
        </w:tc>
        <w:tc>
          <w:tcPr>
            <w:tcW w:w="2656" w:type="dxa"/>
            <w:gridSpan w:val="3"/>
            <w:vAlign w:val="center"/>
            <w:hideMark/>
          </w:tcPr>
          <w:p w14:paraId="6240E034" w14:textId="77777777" w:rsidR="00132AFF" w:rsidRPr="00DE4878" w:rsidRDefault="00132AFF">
            <w:pPr>
              <w:autoSpaceDE w:val="0"/>
              <w:autoSpaceDN w:val="0"/>
              <w:adjustRightInd w:val="0"/>
              <w:rPr>
                <w:sz w:val="22"/>
              </w:rPr>
            </w:pPr>
            <w:r w:rsidRPr="00DE4878">
              <w:rPr>
                <w:sz w:val="22"/>
              </w:rPr>
              <w:t>Internal hazards</w:t>
            </w:r>
          </w:p>
        </w:tc>
        <w:tc>
          <w:tcPr>
            <w:tcW w:w="4158" w:type="dxa"/>
            <w:vAlign w:val="center"/>
            <w:hideMark/>
          </w:tcPr>
          <w:p w14:paraId="6DE627A5" w14:textId="77777777" w:rsidR="00132AFF" w:rsidRPr="00DE4878" w:rsidRDefault="00132AFF">
            <w:pPr>
              <w:autoSpaceDE w:val="0"/>
              <w:autoSpaceDN w:val="0"/>
              <w:adjustRightInd w:val="0"/>
              <w:rPr>
                <w:sz w:val="22"/>
              </w:rPr>
            </w:pPr>
            <w:r w:rsidRPr="00DE4878">
              <w:rPr>
                <w:sz w:val="22"/>
              </w:rPr>
              <w:t>Man-made, external to primary nuclear plant &amp; process, originates on-site</w:t>
            </w:r>
          </w:p>
        </w:tc>
        <w:tc>
          <w:tcPr>
            <w:tcW w:w="1809" w:type="dxa"/>
            <w:vAlign w:val="center"/>
            <w:hideMark/>
          </w:tcPr>
          <w:p w14:paraId="318BCF57" w14:textId="77777777" w:rsidR="00132AFF" w:rsidRPr="00DE4878" w:rsidRDefault="00132AFF">
            <w:pPr>
              <w:autoSpaceDE w:val="0"/>
              <w:autoSpaceDN w:val="0"/>
              <w:adjustRightInd w:val="0"/>
              <w:jc w:val="center"/>
              <w:rPr>
                <w:sz w:val="22"/>
              </w:rPr>
            </w:pPr>
            <w:r w:rsidRPr="00DE4878">
              <w:rPr>
                <w:sz w:val="22"/>
              </w:rPr>
              <w:t>N</w:t>
            </w:r>
          </w:p>
        </w:tc>
      </w:tr>
      <w:tr w:rsidR="00427367" w:rsidRPr="00C25736" w14:paraId="3B9459E4" w14:textId="77777777" w:rsidTr="000D6BF8">
        <w:trPr>
          <w:jc w:val="center"/>
        </w:trPr>
        <w:tc>
          <w:tcPr>
            <w:tcW w:w="444" w:type="dxa"/>
            <w:vMerge w:val="restart"/>
            <w:vAlign w:val="center"/>
            <w:hideMark/>
          </w:tcPr>
          <w:p w14:paraId="5A6869BE" w14:textId="77777777" w:rsidR="00132AFF" w:rsidRPr="00DE4878" w:rsidRDefault="00132AFF">
            <w:pPr>
              <w:autoSpaceDE w:val="0"/>
              <w:autoSpaceDN w:val="0"/>
              <w:adjustRightInd w:val="0"/>
              <w:rPr>
                <w:b/>
                <w:sz w:val="22"/>
              </w:rPr>
            </w:pPr>
            <w:r w:rsidRPr="00DE4878">
              <w:rPr>
                <w:b/>
                <w:sz w:val="22"/>
              </w:rPr>
              <w:t>-</w:t>
            </w:r>
          </w:p>
        </w:tc>
        <w:tc>
          <w:tcPr>
            <w:tcW w:w="2656" w:type="dxa"/>
            <w:gridSpan w:val="3"/>
            <w:vAlign w:val="center"/>
            <w:hideMark/>
          </w:tcPr>
          <w:p w14:paraId="72AD7251" w14:textId="77777777" w:rsidR="00132AFF" w:rsidRPr="00DE4878" w:rsidRDefault="00132AFF">
            <w:pPr>
              <w:autoSpaceDE w:val="0"/>
              <w:autoSpaceDN w:val="0"/>
              <w:adjustRightInd w:val="0"/>
              <w:rPr>
                <w:sz w:val="22"/>
              </w:rPr>
            </w:pPr>
            <w:r w:rsidRPr="00DE4878">
              <w:rPr>
                <w:sz w:val="22"/>
              </w:rPr>
              <w:t>External hazards</w:t>
            </w:r>
          </w:p>
        </w:tc>
        <w:tc>
          <w:tcPr>
            <w:tcW w:w="4158" w:type="dxa"/>
            <w:vAlign w:val="center"/>
            <w:hideMark/>
          </w:tcPr>
          <w:p w14:paraId="03077488" w14:textId="77777777" w:rsidR="00132AFF" w:rsidRPr="00DE4878" w:rsidRDefault="00132AFF">
            <w:pPr>
              <w:autoSpaceDE w:val="0"/>
              <w:autoSpaceDN w:val="0"/>
              <w:adjustRightInd w:val="0"/>
              <w:rPr>
                <w:sz w:val="22"/>
              </w:rPr>
            </w:pPr>
            <w:r w:rsidRPr="00DE4878">
              <w:rPr>
                <w:sz w:val="22"/>
              </w:rPr>
              <w:t>All other plant initiating events not covered above</w:t>
            </w:r>
          </w:p>
        </w:tc>
        <w:tc>
          <w:tcPr>
            <w:tcW w:w="1809" w:type="dxa"/>
            <w:shd w:val="clear" w:color="auto" w:fill="999999" w:themeFill="text2" w:themeFillTint="66"/>
            <w:vAlign w:val="center"/>
          </w:tcPr>
          <w:p w14:paraId="500E367C" w14:textId="77777777" w:rsidR="00132AFF" w:rsidRPr="00DE4878" w:rsidRDefault="00132AFF">
            <w:pPr>
              <w:autoSpaceDE w:val="0"/>
              <w:autoSpaceDN w:val="0"/>
              <w:adjustRightInd w:val="0"/>
              <w:jc w:val="center"/>
              <w:rPr>
                <w:sz w:val="22"/>
              </w:rPr>
            </w:pPr>
          </w:p>
        </w:tc>
      </w:tr>
      <w:tr w:rsidR="00427367" w:rsidRPr="00C25736" w14:paraId="7EBEBD72" w14:textId="77777777" w:rsidTr="000D6BF8">
        <w:trPr>
          <w:jc w:val="center"/>
        </w:trPr>
        <w:tc>
          <w:tcPr>
            <w:tcW w:w="0" w:type="auto"/>
            <w:vMerge/>
            <w:vAlign w:val="center"/>
            <w:hideMark/>
          </w:tcPr>
          <w:p w14:paraId="42CEEAD2" w14:textId="77777777" w:rsidR="00132AFF" w:rsidRPr="00DE4878" w:rsidRDefault="00132AFF">
            <w:pPr>
              <w:rPr>
                <w:b/>
                <w:sz w:val="22"/>
              </w:rPr>
            </w:pPr>
          </w:p>
        </w:tc>
        <w:tc>
          <w:tcPr>
            <w:tcW w:w="418" w:type="dxa"/>
            <w:vMerge w:val="restart"/>
            <w:vAlign w:val="center"/>
            <w:hideMark/>
          </w:tcPr>
          <w:p w14:paraId="171359D3" w14:textId="77777777" w:rsidR="00132AFF" w:rsidRPr="00DE4878" w:rsidRDefault="00132AFF">
            <w:pPr>
              <w:autoSpaceDE w:val="0"/>
              <w:autoSpaceDN w:val="0"/>
              <w:adjustRightInd w:val="0"/>
              <w:rPr>
                <w:b/>
                <w:sz w:val="22"/>
              </w:rPr>
            </w:pPr>
            <w:r w:rsidRPr="00DE4878">
              <w:rPr>
                <w:b/>
                <w:sz w:val="22"/>
              </w:rPr>
              <w:t>-</w:t>
            </w:r>
          </w:p>
        </w:tc>
        <w:tc>
          <w:tcPr>
            <w:tcW w:w="2238" w:type="dxa"/>
            <w:gridSpan w:val="2"/>
            <w:vAlign w:val="center"/>
            <w:hideMark/>
          </w:tcPr>
          <w:p w14:paraId="5C69BDD4" w14:textId="77777777" w:rsidR="00132AFF" w:rsidRPr="00DE4878" w:rsidRDefault="00132AFF">
            <w:pPr>
              <w:autoSpaceDE w:val="0"/>
              <w:autoSpaceDN w:val="0"/>
              <w:adjustRightInd w:val="0"/>
              <w:rPr>
                <w:sz w:val="22"/>
              </w:rPr>
            </w:pPr>
            <w:r w:rsidRPr="00DE4878">
              <w:rPr>
                <w:sz w:val="22"/>
              </w:rPr>
              <w:t>Natural hazards</w:t>
            </w:r>
          </w:p>
        </w:tc>
        <w:tc>
          <w:tcPr>
            <w:tcW w:w="4158" w:type="dxa"/>
            <w:vAlign w:val="center"/>
            <w:hideMark/>
          </w:tcPr>
          <w:p w14:paraId="5FA46779" w14:textId="77777777" w:rsidR="00132AFF" w:rsidRPr="00DE4878" w:rsidRDefault="00132AFF">
            <w:pPr>
              <w:autoSpaceDE w:val="0"/>
              <w:autoSpaceDN w:val="0"/>
              <w:adjustRightInd w:val="0"/>
              <w:rPr>
                <w:sz w:val="22"/>
              </w:rPr>
            </w:pPr>
            <w:r w:rsidRPr="00DE4878">
              <w:rPr>
                <w:sz w:val="22"/>
              </w:rPr>
              <w:t>Generally originate off-site, but not always</w:t>
            </w:r>
          </w:p>
        </w:tc>
        <w:tc>
          <w:tcPr>
            <w:tcW w:w="1809" w:type="dxa"/>
            <w:shd w:val="clear" w:color="auto" w:fill="999999" w:themeFill="text2" w:themeFillTint="66"/>
            <w:vAlign w:val="center"/>
          </w:tcPr>
          <w:p w14:paraId="412277A8" w14:textId="77777777" w:rsidR="00132AFF" w:rsidRPr="00DE4878" w:rsidRDefault="00132AFF">
            <w:pPr>
              <w:autoSpaceDE w:val="0"/>
              <w:autoSpaceDN w:val="0"/>
              <w:adjustRightInd w:val="0"/>
              <w:jc w:val="center"/>
              <w:rPr>
                <w:sz w:val="22"/>
              </w:rPr>
            </w:pPr>
          </w:p>
        </w:tc>
      </w:tr>
      <w:tr w:rsidR="00427367" w:rsidRPr="00C25736" w14:paraId="1EAD6CC2" w14:textId="77777777" w:rsidTr="000D6BF8">
        <w:trPr>
          <w:jc w:val="center"/>
        </w:trPr>
        <w:tc>
          <w:tcPr>
            <w:tcW w:w="0" w:type="auto"/>
            <w:vMerge/>
            <w:vAlign w:val="center"/>
            <w:hideMark/>
          </w:tcPr>
          <w:p w14:paraId="79D2F071" w14:textId="77777777" w:rsidR="00132AFF" w:rsidRPr="00DE4878" w:rsidRDefault="00132AFF">
            <w:pPr>
              <w:rPr>
                <w:b/>
                <w:sz w:val="22"/>
              </w:rPr>
            </w:pPr>
          </w:p>
        </w:tc>
        <w:tc>
          <w:tcPr>
            <w:tcW w:w="0" w:type="auto"/>
            <w:vMerge/>
            <w:vAlign w:val="center"/>
            <w:hideMark/>
          </w:tcPr>
          <w:p w14:paraId="2C5F1B35" w14:textId="77777777" w:rsidR="00132AFF" w:rsidRPr="00DE4878" w:rsidRDefault="00132AFF">
            <w:pPr>
              <w:rPr>
                <w:b/>
                <w:sz w:val="22"/>
              </w:rPr>
            </w:pPr>
          </w:p>
        </w:tc>
        <w:tc>
          <w:tcPr>
            <w:tcW w:w="418" w:type="dxa"/>
            <w:vAlign w:val="center"/>
            <w:hideMark/>
          </w:tcPr>
          <w:p w14:paraId="57A39958" w14:textId="77777777" w:rsidR="00132AFF" w:rsidRPr="00DE4878" w:rsidRDefault="00132AFF">
            <w:pPr>
              <w:autoSpaceDE w:val="0"/>
              <w:autoSpaceDN w:val="0"/>
              <w:adjustRightInd w:val="0"/>
              <w:rPr>
                <w:b/>
                <w:sz w:val="22"/>
              </w:rPr>
            </w:pPr>
            <w:r w:rsidRPr="00DE4878">
              <w:rPr>
                <w:b/>
                <w:sz w:val="22"/>
              </w:rPr>
              <w:t>-</w:t>
            </w:r>
          </w:p>
        </w:tc>
        <w:tc>
          <w:tcPr>
            <w:tcW w:w="1820" w:type="dxa"/>
            <w:vAlign w:val="center"/>
            <w:hideMark/>
          </w:tcPr>
          <w:p w14:paraId="3A3E9DAF" w14:textId="77777777" w:rsidR="00132AFF" w:rsidRPr="00DE4878" w:rsidRDefault="00132AFF">
            <w:pPr>
              <w:autoSpaceDE w:val="0"/>
              <w:autoSpaceDN w:val="0"/>
              <w:adjustRightInd w:val="0"/>
              <w:rPr>
                <w:sz w:val="22"/>
              </w:rPr>
            </w:pPr>
            <w:r w:rsidRPr="00DE4878">
              <w:rPr>
                <w:sz w:val="22"/>
              </w:rPr>
              <w:t>Discrete</w:t>
            </w:r>
          </w:p>
        </w:tc>
        <w:tc>
          <w:tcPr>
            <w:tcW w:w="4158" w:type="dxa"/>
            <w:vAlign w:val="center"/>
            <w:hideMark/>
          </w:tcPr>
          <w:p w14:paraId="0F341ED0" w14:textId="77777777" w:rsidR="00132AFF" w:rsidRPr="00DE4878" w:rsidRDefault="00132AFF">
            <w:pPr>
              <w:autoSpaceDE w:val="0"/>
              <w:autoSpaceDN w:val="0"/>
              <w:adjustRightInd w:val="0"/>
              <w:rPr>
                <w:sz w:val="22"/>
              </w:rPr>
            </w:pPr>
            <w:r w:rsidRPr="00DE4878">
              <w:rPr>
                <w:sz w:val="22"/>
              </w:rPr>
              <w:t>Hazard defined at one or more discrete frequency / severity combinations</w:t>
            </w:r>
          </w:p>
        </w:tc>
        <w:tc>
          <w:tcPr>
            <w:tcW w:w="1809" w:type="dxa"/>
            <w:vAlign w:val="center"/>
            <w:hideMark/>
          </w:tcPr>
          <w:p w14:paraId="5D8EDC0A" w14:textId="77777777" w:rsidR="00132AFF" w:rsidRPr="00DE4878" w:rsidRDefault="00132AFF">
            <w:pPr>
              <w:autoSpaceDE w:val="0"/>
              <w:autoSpaceDN w:val="0"/>
              <w:adjustRightInd w:val="0"/>
              <w:jc w:val="center"/>
              <w:rPr>
                <w:sz w:val="22"/>
              </w:rPr>
            </w:pPr>
            <w:r w:rsidRPr="00DE4878">
              <w:rPr>
                <w:sz w:val="22"/>
              </w:rPr>
              <w:t>Y</w:t>
            </w:r>
          </w:p>
        </w:tc>
      </w:tr>
      <w:tr w:rsidR="00427367" w:rsidRPr="00C25736" w14:paraId="037DC56D" w14:textId="77777777" w:rsidTr="000D6BF8">
        <w:trPr>
          <w:jc w:val="center"/>
        </w:trPr>
        <w:tc>
          <w:tcPr>
            <w:tcW w:w="0" w:type="auto"/>
            <w:vMerge/>
            <w:vAlign w:val="center"/>
            <w:hideMark/>
          </w:tcPr>
          <w:p w14:paraId="254CA029" w14:textId="77777777" w:rsidR="00132AFF" w:rsidRPr="00DE4878" w:rsidRDefault="00132AFF">
            <w:pPr>
              <w:rPr>
                <w:b/>
                <w:sz w:val="22"/>
              </w:rPr>
            </w:pPr>
          </w:p>
        </w:tc>
        <w:tc>
          <w:tcPr>
            <w:tcW w:w="0" w:type="auto"/>
            <w:vMerge/>
            <w:vAlign w:val="center"/>
            <w:hideMark/>
          </w:tcPr>
          <w:p w14:paraId="07A9130C" w14:textId="77777777" w:rsidR="00132AFF" w:rsidRPr="00DE4878" w:rsidRDefault="00132AFF">
            <w:pPr>
              <w:rPr>
                <w:b/>
                <w:sz w:val="22"/>
              </w:rPr>
            </w:pPr>
          </w:p>
        </w:tc>
        <w:tc>
          <w:tcPr>
            <w:tcW w:w="418" w:type="dxa"/>
            <w:vAlign w:val="center"/>
            <w:hideMark/>
          </w:tcPr>
          <w:p w14:paraId="7C4C7824" w14:textId="77777777" w:rsidR="00132AFF" w:rsidRPr="00DE4878" w:rsidRDefault="00132AFF">
            <w:pPr>
              <w:autoSpaceDE w:val="0"/>
              <w:autoSpaceDN w:val="0"/>
              <w:adjustRightInd w:val="0"/>
              <w:rPr>
                <w:b/>
                <w:sz w:val="22"/>
              </w:rPr>
            </w:pPr>
            <w:r w:rsidRPr="00DE4878">
              <w:rPr>
                <w:b/>
                <w:sz w:val="22"/>
              </w:rPr>
              <w:t>-</w:t>
            </w:r>
          </w:p>
        </w:tc>
        <w:tc>
          <w:tcPr>
            <w:tcW w:w="1820" w:type="dxa"/>
            <w:vAlign w:val="center"/>
            <w:hideMark/>
          </w:tcPr>
          <w:p w14:paraId="1CA9F38B" w14:textId="77777777" w:rsidR="00132AFF" w:rsidRPr="00DE4878" w:rsidRDefault="00132AFF">
            <w:pPr>
              <w:autoSpaceDE w:val="0"/>
              <w:autoSpaceDN w:val="0"/>
              <w:adjustRightInd w:val="0"/>
              <w:rPr>
                <w:sz w:val="22"/>
              </w:rPr>
            </w:pPr>
            <w:r w:rsidRPr="00DE4878">
              <w:rPr>
                <w:sz w:val="22"/>
              </w:rPr>
              <w:t>Non-discrete</w:t>
            </w:r>
          </w:p>
        </w:tc>
        <w:tc>
          <w:tcPr>
            <w:tcW w:w="4158" w:type="dxa"/>
            <w:vAlign w:val="center"/>
            <w:hideMark/>
          </w:tcPr>
          <w:p w14:paraId="3EF0D5B7" w14:textId="77777777" w:rsidR="00132AFF" w:rsidRPr="00DE4878" w:rsidRDefault="00132AFF">
            <w:pPr>
              <w:autoSpaceDE w:val="0"/>
              <w:autoSpaceDN w:val="0"/>
              <w:adjustRightInd w:val="0"/>
              <w:rPr>
                <w:sz w:val="22"/>
              </w:rPr>
            </w:pPr>
            <w:r w:rsidRPr="00DE4878">
              <w:rPr>
                <w:sz w:val="22"/>
              </w:rPr>
              <w:t>Hazard defined by a hazard curve</w:t>
            </w:r>
          </w:p>
        </w:tc>
        <w:tc>
          <w:tcPr>
            <w:tcW w:w="1809" w:type="dxa"/>
            <w:vAlign w:val="center"/>
            <w:hideMark/>
          </w:tcPr>
          <w:p w14:paraId="3843AC7E" w14:textId="77777777" w:rsidR="00132AFF" w:rsidRPr="00DE4878" w:rsidRDefault="00132AFF">
            <w:pPr>
              <w:autoSpaceDE w:val="0"/>
              <w:autoSpaceDN w:val="0"/>
              <w:adjustRightInd w:val="0"/>
              <w:jc w:val="center"/>
              <w:rPr>
                <w:sz w:val="22"/>
              </w:rPr>
            </w:pPr>
            <w:r w:rsidRPr="00DE4878">
              <w:rPr>
                <w:sz w:val="22"/>
              </w:rPr>
              <w:t>Y</w:t>
            </w:r>
          </w:p>
        </w:tc>
      </w:tr>
      <w:tr w:rsidR="004A7095" w:rsidRPr="00C25736" w14:paraId="52532741" w14:textId="77777777" w:rsidTr="000D6BF8">
        <w:trPr>
          <w:jc w:val="center"/>
        </w:trPr>
        <w:tc>
          <w:tcPr>
            <w:tcW w:w="0" w:type="auto"/>
            <w:vMerge/>
            <w:vAlign w:val="center"/>
            <w:hideMark/>
          </w:tcPr>
          <w:p w14:paraId="1EA300B7" w14:textId="77777777" w:rsidR="00132AFF" w:rsidRPr="00DE4878" w:rsidRDefault="00132AFF">
            <w:pPr>
              <w:rPr>
                <w:b/>
                <w:sz w:val="22"/>
              </w:rPr>
            </w:pPr>
          </w:p>
        </w:tc>
        <w:tc>
          <w:tcPr>
            <w:tcW w:w="418" w:type="dxa"/>
            <w:vMerge w:val="restart"/>
            <w:vAlign w:val="center"/>
            <w:hideMark/>
          </w:tcPr>
          <w:p w14:paraId="6E5F2E31" w14:textId="77777777" w:rsidR="00132AFF" w:rsidRPr="00DE4878" w:rsidRDefault="00132AFF">
            <w:pPr>
              <w:autoSpaceDE w:val="0"/>
              <w:autoSpaceDN w:val="0"/>
              <w:adjustRightInd w:val="0"/>
              <w:rPr>
                <w:b/>
                <w:sz w:val="22"/>
              </w:rPr>
            </w:pPr>
            <w:r w:rsidRPr="00DE4878">
              <w:rPr>
                <w:b/>
                <w:sz w:val="22"/>
              </w:rPr>
              <w:t>-</w:t>
            </w:r>
          </w:p>
        </w:tc>
        <w:tc>
          <w:tcPr>
            <w:tcW w:w="6396" w:type="dxa"/>
            <w:gridSpan w:val="3"/>
            <w:vAlign w:val="center"/>
            <w:hideMark/>
          </w:tcPr>
          <w:p w14:paraId="547BF31A" w14:textId="77777777" w:rsidR="00132AFF" w:rsidRPr="00DE4878" w:rsidRDefault="00132AFF">
            <w:pPr>
              <w:autoSpaceDE w:val="0"/>
              <w:autoSpaceDN w:val="0"/>
              <w:adjustRightInd w:val="0"/>
              <w:rPr>
                <w:sz w:val="22"/>
              </w:rPr>
            </w:pPr>
            <w:r w:rsidRPr="00DE4878">
              <w:rPr>
                <w:sz w:val="22"/>
              </w:rPr>
              <w:t>Man-made hazards</w:t>
            </w:r>
          </w:p>
        </w:tc>
        <w:tc>
          <w:tcPr>
            <w:tcW w:w="1809" w:type="dxa"/>
            <w:shd w:val="clear" w:color="auto" w:fill="999999" w:themeFill="text2" w:themeFillTint="66"/>
            <w:vAlign w:val="center"/>
          </w:tcPr>
          <w:p w14:paraId="322A1C77" w14:textId="77777777" w:rsidR="00132AFF" w:rsidRPr="00DE4878" w:rsidRDefault="00132AFF">
            <w:pPr>
              <w:autoSpaceDE w:val="0"/>
              <w:autoSpaceDN w:val="0"/>
              <w:adjustRightInd w:val="0"/>
              <w:jc w:val="center"/>
              <w:rPr>
                <w:sz w:val="22"/>
              </w:rPr>
            </w:pPr>
          </w:p>
        </w:tc>
      </w:tr>
      <w:tr w:rsidR="00427367" w:rsidRPr="00C25736" w14:paraId="4990FBF5" w14:textId="77777777" w:rsidTr="000D6BF8">
        <w:trPr>
          <w:jc w:val="center"/>
        </w:trPr>
        <w:tc>
          <w:tcPr>
            <w:tcW w:w="0" w:type="auto"/>
            <w:vMerge/>
            <w:vAlign w:val="center"/>
            <w:hideMark/>
          </w:tcPr>
          <w:p w14:paraId="5E58D0D3" w14:textId="77777777" w:rsidR="00132AFF" w:rsidRPr="00DE4878" w:rsidRDefault="00132AFF">
            <w:pPr>
              <w:rPr>
                <w:b/>
                <w:sz w:val="22"/>
              </w:rPr>
            </w:pPr>
          </w:p>
        </w:tc>
        <w:tc>
          <w:tcPr>
            <w:tcW w:w="0" w:type="auto"/>
            <w:vMerge/>
            <w:vAlign w:val="center"/>
            <w:hideMark/>
          </w:tcPr>
          <w:p w14:paraId="10501F0C" w14:textId="77777777" w:rsidR="00132AFF" w:rsidRPr="00DE4878" w:rsidRDefault="00132AFF">
            <w:pPr>
              <w:rPr>
                <w:b/>
                <w:sz w:val="22"/>
              </w:rPr>
            </w:pPr>
          </w:p>
        </w:tc>
        <w:tc>
          <w:tcPr>
            <w:tcW w:w="418" w:type="dxa"/>
            <w:vAlign w:val="center"/>
            <w:hideMark/>
          </w:tcPr>
          <w:p w14:paraId="6CC3D484" w14:textId="77777777" w:rsidR="00132AFF" w:rsidRPr="00DE4878" w:rsidRDefault="00132AFF">
            <w:pPr>
              <w:autoSpaceDE w:val="0"/>
              <w:autoSpaceDN w:val="0"/>
              <w:adjustRightInd w:val="0"/>
              <w:rPr>
                <w:b/>
                <w:sz w:val="22"/>
              </w:rPr>
            </w:pPr>
            <w:r w:rsidRPr="00DE4878">
              <w:rPr>
                <w:b/>
                <w:sz w:val="22"/>
              </w:rPr>
              <w:t>-</w:t>
            </w:r>
          </w:p>
        </w:tc>
        <w:tc>
          <w:tcPr>
            <w:tcW w:w="1820" w:type="dxa"/>
            <w:vAlign w:val="center"/>
            <w:hideMark/>
          </w:tcPr>
          <w:p w14:paraId="2FBCBEE5" w14:textId="77777777" w:rsidR="00132AFF" w:rsidRPr="00DE4878" w:rsidRDefault="00132AFF">
            <w:pPr>
              <w:autoSpaceDE w:val="0"/>
              <w:autoSpaceDN w:val="0"/>
              <w:adjustRightInd w:val="0"/>
              <w:rPr>
                <w:sz w:val="22"/>
              </w:rPr>
            </w:pPr>
            <w:r w:rsidRPr="00DE4878">
              <w:rPr>
                <w:sz w:val="22"/>
              </w:rPr>
              <w:t>Accidental</w:t>
            </w:r>
          </w:p>
        </w:tc>
        <w:tc>
          <w:tcPr>
            <w:tcW w:w="4158" w:type="dxa"/>
            <w:vAlign w:val="center"/>
            <w:hideMark/>
          </w:tcPr>
          <w:p w14:paraId="76F4233E" w14:textId="77777777" w:rsidR="00132AFF" w:rsidRPr="00DE4878" w:rsidRDefault="00132AFF">
            <w:pPr>
              <w:autoSpaceDE w:val="0"/>
              <w:autoSpaceDN w:val="0"/>
              <w:adjustRightInd w:val="0"/>
              <w:rPr>
                <w:sz w:val="22"/>
              </w:rPr>
            </w:pPr>
            <w:r w:rsidRPr="00DE4878">
              <w:rPr>
                <w:sz w:val="22"/>
              </w:rPr>
              <w:t>Originates off-site</w:t>
            </w:r>
          </w:p>
        </w:tc>
        <w:tc>
          <w:tcPr>
            <w:tcW w:w="1809" w:type="dxa"/>
            <w:vAlign w:val="center"/>
            <w:hideMark/>
          </w:tcPr>
          <w:p w14:paraId="0EF8E961" w14:textId="77777777" w:rsidR="00132AFF" w:rsidRPr="00DE4878" w:rsidRDefault="00132AFF">
            <w:pPr>
              <w:autoSpaceDE w:val="0"/>
              <w:autoSpaceDN w:val="0"/>
              <w:adjustRightInd w:val="0"/>
              <w:jc w:val="center"/>
              <w:rPr>
                <w:sz w:val="22"/>
              </w:rPr>
            </w:pPr>
            <w:r w:rsidRPr="00DE4878">
              <w:rPr>
                <w:sz w:val="22"/>
              </w:rPr>
              <w:t>Y</w:t>
            </w:r>
          </w:p>
        </w:tc>
      </w:tr>
      <w:tr w:rsidR="00427367" w:rsidRPr="00C25736" w14:paraId="463E25F9" w14:textId="77777777" w:rsidTr="000D6BF8">
        <w:trPr>
          <w:jc w:val="center"/>
        </w:trPr>
        <w:tc>
          <w:tcPr>
            <w:tcW w:w="0" w:type="auto"/>
            <w:vMerge/>
            <w:vAlign w:val="center"/>
            <w:hideMark/>
          </w:tcPr>
          <w:p w14:paraId="5A048B30" w14:textId="77777777" w:rsidR="00132AFF" w:rsidRPr="00DE4878" w:rsidRDefault="00132AFF">
            <w:pPr>
              <w:rPr>
                <w:b/>
                <w:sz w:val="22"/>
              </w:rPr>
            </w:pPr>
          </w:p>
        </w:tc>
        <w:tc>
          <w:tcPr>
            <w:tcW w:w="0" w:type="auto"/>
            <w:vMerge/>
            <w:vAlign w:val="center"/>
            <w:hideMark/>
          </w:tcPr>
          <w:p w14:paraId="7B5C9643" w14:textId="77777777" w:rsidR="00132AFF" w:rsidRPr="00DE4878" w:rsidRDefault="00132AFF">
            <w:pPr>
              <w:rPr>
                <w:b/>
                <w:sz w:val="22"/>
              </w:rPr>
            </w:pPr>
          </w:p>
        </w:tc>
        <w:tc>
          <w:tcPr>
            <w:tcW w:w="418" w:type="dxa"/>
            <w:vAlign w:val="center"/>
            <w:hideMark/>
          </w:tcPr>
          <w:p w14:paraId="29FD82C6" w14:textId="77777777" w:rsidR="00132AFF" w:rsidRPr="00DE4878" w:rsidRDefault="00132AFF">
            <w:pPr>
              <w:autoSpaceDE w:val="0"/>
              <w:autoSpaceDN w:val="0"/>
              <w:adjustRightInd w:val="0"/>
              <w:rPr>
                <w:b/>
                <w:sz w:val="22"/>
              </w:rPr>
            </w:pPr>
            <w:r w:rsidRPr="00DE4878">
              <w:rPr>
                <w:b/>
                <w:sz w:val="22"/>
              </w:rPr>
              <w:t>-</w:t>
            </w:r>
          </w:p>
        </w:tc>
        <w:tc>
          <w:tcPr>
            <w:tcW w:w="1820" w:type="dxa"/>
            <w:vAlign w:val="center"/>
            <w:hideMark/>
          </w:tcPr>
          <w:p w14:paraId="7D8EB846" w14:textId="77777777" w:rsidR="00132AFF" w:rsidRPr="00DE4878" w:rsidRDefault="00132AFF">
            <w:pPr>
              <w:autoSpaceDE w:val="0"/>
              <w:autoSpaceDN w:val="0"/>
              <w:adjustRightInd w:val="0"/>
              <w:rPr>
                <w:sz w:val="22"/>
              </w:rPr>
            </w:pPr>
            <w:r w:rsidRPr="00DE4878">
              <w:rPr>
                <w:sz w:val="22"/>
              </w:rPr>
              <w:t>Malicious</w:t>
            </w:r>
          </w:p>
        </w:tc>
        <w:tc>
          <w:tcPr>
            <w:tcW w:w="4158" w:type="dxa"/>
            <w:vAlign w:val="center"/>
            <w:hideMark/>
          </w:tcPr>
          <w:p w14:paraId="6740472B" w14:textId="77777777" w:rsidR="00132AFF" w:rsidRPr="00DE4878" w:rsidRDefault="00132AFF">
            <w:pPr>
              <w:autoSpaceDE w:val="0"/>
              <w:autoSpaceDN w:val="0"/>
              <w:adjustRightInd w:val="0"/>
              <w:rPr>
                <w:sz w:val="22"/>
              </w:rPr>
            </w:pPr>
            <w:r w:rsidRPr="00DE4878">
              <w:rPr>
                <w:sz w:val="22"/>
              </w:rPr>
              <w:t>Originates from malign intent either on or off-site</w:t>
            </w:r>
          </w:p>
        </w:tc>
        <w:tc>
          <w:tcPr>
            <w:tcW w:w="1809" w:type="dxa"/>
            <w:vAlign w:val="center"/>
            <w:hideMark/>
          </w:tcPr>
          <w:p w14:paraId="27F732A3" w14:textId="6AB17BE2" w:rsidR="00132AFF" w:rsidRPr="00DE4878" w:rsidRDefault="00EF1065">
            <w:pPr>
              <w:autoSpaceDE w:val="0"/>
              <w:autoSpaceDN w:val="0"/>
              <w:adjustRightInd w:val="0"/>
              <w:jc w:val="center"/>
              <w:rPr>
                <w:sz w:val="22"/>
              </w:rPr>
            </w:pPr>
            <w:r>
              <w:rPr>
                <w:sz w:val="22"/>
              </w:rPr>
              <w:t>Y</w:t>
            </w:r>
          </w:p>
        </w:tc>
      </w:tr>
    </w:tbl>
    <w:p w14:paraId="29DFD46A" w14:textId="77777777" w:rsidR="00132AFF" w:rsidRDefault="00132AFF" w:rsidP="00132AFF">
      <w:pPr>
        <w:tabs>
          <w:tab w:val="left" w:pos="1440"/>
        </w:tabs>
        <w:spacing w:line="240" w:lineRule="auto"/>
        <w:contextualSpacing/>
      </w:pPr>
    </w:p>
    <w:p w14:paraId="0AE4A826" w14:textId="77777777" w:rsidR="00132AFF" w:rsidRDefault="00132AFF" w:rsidP="00132AFF">
      <w:pPr>
        <w:tabs>
          <w:tab w:val="left" w:pos="1440"/>
        </w:tabs>
        <w:spacing w:line="240" w:lineRule="auto"/>
        <w:contextualSpacing/>
      </w:pPr>
    </w:p>
    <w:p w14:paraId="011371C8" w14:textId="77777777" w:rsidR="00132AFF" w:rsidRDefault="00132AFF" w:rsidP="00132AFF">
      <w:pPr>
        <w:tabs>
          <w:tab w:val="left" w:pos="1440"/>
        </w:tabs>
        <w:spacing w:line="240" w:lineRule="auto"/>
        <w:contextualSpacing/>
      </w:pPr>
    </w:p>
    <w:p w14:paraId="6200AD11" w14:textId="77777777" w:rsidR="00132AFF" w:rsidRDefault="00132AFF" w:rsidP="00132AFF">
      <w:pPr>
        <w:tabs>
          <w:tab w:val="left" w:pos="1440"/>
        </w:tabs>
        <w:spacing w:line="240" w:lineRule="auto"/>
        <w:contextualSpacing/>
      </w:pPr>
    </w:p>
    <w:p w14:paraId="4EFC53D8" w14:textId="77777777" w:rsidR="00132AFF" w:rsidRDefault="00132AFF" w:rsidP="00132AFF">
      <w:pPr>
        <w:tabs>
          <w:tab w:val="left" w:pos="1440"/>
        </w:tabs>
        <w:spacing w:line="240" w:lineRule="auto"/>
        <w:contextualSpacing/>
      </w:pPr>
    </w:p>
    <w:p w14:paraId="412975A3" w14:textId="77777777" w:rsidR="00132AFF" w:rsidRDefault="00132AFF" w:rsidP="00132AFF">
      <w:pPr>
        <w:tabs>
          <w:tab w:val="left" w:pos="1440"/>
        </w:tabs>
        <w:spacing w:line="240" w:lineRule="auto"/>
        <w:contextualSpacing/>
      </w:pPr>
    </w:p>
    <w:p w14:paraId="6E92C4D4" w14:textId="77777777" w:rsidR="00132AFF" w:rsidRDefault="00132AFF" w:rsidP="00132AFF">
      <w:pPr>
        <w:tabs>
          <w:tab w:val="left" w:pos="1440"/>
        </w:tabs>
        <w:spacing w:line="240" w:lineRule="auto"/>
        <w:contextualSpacing/>
      </w:pPr>
    </w:p>
    <w:p w14:paraId="0F95F852" w14:textId="77777777" w:rsidR="00132AFF" w:rsidRDefault="00132AFF" w:rsidP="00132AFF">
      <w:pPr>
        <w:tabs>
          <w:tab w:val="left" w:pos="1440"/>
        </w:tabs>
        <w:spacing w:line="240" w:lineRule="auto"/>
        <w:contextualSpacing/>
      </w:pPr>
    </w:p>
    <w:p w14:paraId="07642CA5" w14:textId="77777777" w:rsidR="00132AFF" w:rsidRDefault="00132AFF" w:rsidP="00132AFF">
      <w:pPr>
        <w:tabs>
          <w:tab w:val="left" w:pos="1440"/>
        </w:tabs>
        <w:spacing w:line="240" w:lineRule="auto"/>
        <w:contextualSpacing/>
      </w:pPr>
    </w:p>
    <w:p w14:paraId="29117B07" w14:textId="77777777" w:rsidR="00132AFF" w:rsidRDefault="00132AFF" w:rsidP="00132AFF">
      <w:pPr>
        <w:tabs>
          <w:tab w:val="left" w:pos="1440"/>
        </w:tabs>
        <w:spacing w:line="240" w:lineRule="auto"/>
        <w:contextualSpacing/>
      </w:pPr>
    </w:p>
    <w:p w14:paraId="1EA98127" w14:textId="77777777" w:rsidR="00132AFF" w:rsidRDefault="00132AFF" w:rsidP="00132AFF">
      <w:pPr>
        <w:tabs>
          <w:tab w:val="left" w:pos="1440"/>
        </w:tabs>
        <w:spacing w:line="240" w:lineRule="auto"/>
        <w:contextualSpacing/>
      </w:pPr>
    </w:p>
    <w:p w14:paraId="67CC8530" w14:textId="77777777" w:rsidR="00132AFF" w:rsidRDefault="00132AFF" w:rsidP="00132AFF">
      <w:pPr>
        <w:tabs>
          <w:tab w:val="left" w:pos="1440"/>
        </w:tabs>
        <w:spacing w:line="240" w:lineRule="auto"/>
        <w:contextualSpacing/>
      </w:pPr>
    </w:p>
    <w:p w14:paraId="2C1E8257" w14:textId="77777777" w:rsidR="00132AFF" w:rsidRDefault="00132AFF" w:rsidP="00132AFF">
      <w:pPr>
        <w:tabs>
          <w:tab w:val="left" w:pos="1440"/>
        </w:tabs>
        <w:spacing w:line="240" w:lineRule="auto"/>
        <w:contextualSpacing/>
      </w:pPr>
    </w:p>
    <w:p w14:paraId="297B1FC5" w14:textId="77777777" w:rsidR="00132AFF" w:rsidRDefault="00132AFF" w:rsidP="00132AFF">
      <w:pPr>
        <w:tabs>
          <w:tab w:val="left" w:pos="1440"/>
        </w:tabs>
        <w:spacing w:line="240" w:lineRule="auto"/>
        <w:contextualSpacing/>
      </w:pPr>
    </w:p>
    <w:p w14:paraId="737E8C13" w14:textId="77777777" w:rsidR="00132AFF" w:rsidRDefault="00132AFF" w:rsidP="00132AFF">
      <w:pPr>
        <w:tabs>
          <w:tab w:val="left" w:pos="1440"/>
        </w:tabs>
        <w:spacing w:line="240" w:lineRule="auto"/>
        <w:contextualSpacing/>
      </w:pPr>
    </w:p>
    <w:p w14:paraId="58D0A7FE" w14:textId="77777777" w:rsidR="00132AFF" w:rsidRDefault="00132AFF" w:rsidP="00132AFF">
      <w:pPr>
        <w:tabs>
          <w:tab w:val="left" w:pos="1440"/>
        </w:tabs>
        <w:spacing w:line="240" w:lineRule="auto"/>
        <w:contextualSpacing/>
      </w:pPr>
    </w:p>
    <w:p w14:paraId="57C9951D" w14:textId="77777777" w:rsidR="00132AFF" w:rsidRDefault="00132AFF" w:rsidP="00132AFF">
      <w:pPr>
        <w:tabs>
          <w:tab w:val="left" w:pos="1440"/>
        </w:tabs>
        <w:spacing w:line="240" w:lineRule="auto"/>
        <w:contextualSpacing/>
      </w:pPr>
    </w:p>
    <w:p w14:paraId="6B6A4B34" w14:textId="77777777" w:rsidR="00132AFF" w:rsidRDefault="00132AFF" w:rsidP="00132AFF">
      <w:pPr>
        <w:tabs>
          <w:tab w:val="left" w:pos="1440"/>
        </w:tabs>
        <w:spacing w:line="240" w:lineRule="auto"/>
        <w:contextualSpacing/>
      </w:pPr>
    </w:p>
    <w:p w14:paraId="67D409A4" w14:textId="77777777" w:rsidR="00132AFF" w:rsidRDefault="00132AFF" w:rsidP="00132AFF">
      <w:pPr>
        <w:tabs>
          <w:tab w:val="left" w:pos="1440"/>
        </w:tabs>
        <w:spacing w:line="240" w:lineRule="auto"/>
        <w:contextualSpacing/>
      </w:pPr>
    </w:p>
    <w:p w14:paraId="4C82CD3E" w14:textId="0558D953" w:rsidR="00132AFF" w:rsidRDefault="00132AFF" w:rsidP="00132AFF">
      <w:pPr>
        <w:pStyle w:val="Caption"/>
        <w:keepNext/>
      </w:pPr>
      <w:bookmarkStart w:id="936" w:name="_Toc140137290"/>
      <w:r>
        <w:lastRenderedPageBreak/>
        <w:t xml:space="preserve">Table </w:t>
      </w:r>
      <w:fldSimple w:instr=" SEQ Table \* ARABIC ">
        <w:r w:rsidR="008B51F7">
          <w:rPr>
            <w:noProof/>
          </w:rPr>
          <w:t>2</w:t>
        </w:r>
      </w:fldSimple>
      <w:r>
        <w:t xml:space="preserve">: </w:t>
      </w:r>
      <w:r w:rsidR="00371531">
        <w:t>Example list of e</w:t>
      </w:r>
      <w:r>
        <w:t>xternal hazards relevant to nuclear sites in the UK</w:t>
      </w:r>
      <w:bookmarkEnd w:id="936"/>
    </w:p>
    <w:tbl>
      <w:tblPr>
        <w:tblStyle w:val="TableGrid"/>
        <w:tblW w:w="9214" w:type="dxa"/>
        <w:tblInd w:w="-147" w:type="dxa"/>
        <w:tblBorders>
          <w:top w:val="single" w:sz="4" w:space="0" w:color="999999" w:themeColor="text2" w:themeTint="66"/>
          <w:left w:val="single" w:sz="4" w:space="0" w:color="999999" w:themeColor="text2" w:themeTint="66"/>
          <w:bottom w:val="single" w:sz="4" w:space="0" w:color="999999" w:themeColor="text2" w:themeTint="66"/>
          <w:right w:val="single" w:sz="4" w:space="0" w:color="999999" w:themeColor="text2" w:themeTint="66"/>
          <w:insideH w:val="single" w:sz="4" w:space="0" w:color="999999" w:themeColor="text2" w:themeTint="66"/>
          <w:insideV w:val="single" w:sz="4" w:space="0" w:color="999999" w:themeColor="text2" w:themeTint="66"/>
        </w:tblBorders>
        <w:tblLook w:val="04A0" w:firstRow="1" w:lastRow="0" w:firstColumn="1" w:lastColumn="0" w:noHBand="0" w:noVBand="1"/>
      </w:tblPr>
      <w:tblGrid>
        <w:gridCol w:w="2836"/>
        <w:gridCol w:w="6378"/>
      </w:tblGrid>
      <w:tr w:rsidR="009E66CE" w:rsidRPr="00C25736" w14:paraId="1F077848" w14:textId="77777777" w:rsidTr="00AC182F">
        <w:tc>
          <w:tcPr>
            <w:tcW w:w="2836" w:type="dxa"/>
            <w:shd w:val="clear" w:color="auto" w:fill="D4EFE5"/>
            <w:hideMark/>
          </w:tcPr>
          <w:p w14:paraId="5108963E" w14:textId="77777777" w:rsidR="00132AFF" w:rsidRPr="00DE4878" w:rsidRDefault="00132AFF">
            <w:pPr>
              <w:autoSpaceDE w:val="0"/>
              <w:autoSpaceDN w:val="0"/>
              <w:adjustRightInd w:val="0"/>
              <w:jc w:val="center"/>
              <w:rPr>
                <w:bCs/>
              </w:rPr>
            </w:pPr>
            <w:r w:rsidRPr="00DE4878">
              <w:rPr>
                <w:bCs/>
              </w:rPr>
              <w:t>Hazard Category</w:t>
            </w:r>
          </w:p>
        </w:tc>
        <w:tc>
          <w:tcPr>
            <w:tcW w:w="6378" w:type="dxa"/>
            <w:shd w:val="clear" w:color="auto" w:fill="D4EFE5"/>
            <w:hideMark/>
          </w:tcPr>
          <w:p w14:paraId="5178B6BE" w14:textId="79A203D2" w:rsidR="00132AFF" w:rsidRPr="00DE4878" w:rsidRDefault="00132AFF">
            <w:pPr>
              <w:autoSpaceDE w:val="0"/>
              <w:autoSpaceDN w:val="0"/>
              <w:adjustRightInd w:val="0"/>
              <w:jc w:val="center"/>
              <w:rPr>
                <w:bCs/>
              </w:rPr>
            </w:pPr>
            <w:r w:rsidRPr="00DE4878">
              <w:rPr>
                <w:bCs/>
              </w:rPr>
              <w:t>Hazards</w:t>
            </w:r>
            <w:r w:rsidR="001018BB">
              <w:rPr>
                <w:bCs/>
              </w:rPr>
              <w:t>*</w:t>
            </w:r>
          </w:p>
        </w:tc>
      </w:tr>
      <w:tr w:rsidR="00287362" w:rsidRPr="00C25736" w14:paraId="5202BBA7" w14:textId="77777777" w:rsidTr="000D6BF8">
        <w:trPr>
          <w:trHeight w:val="113"/>
        </w:trPr>
        <w:tc>
          <w:tcPr>
            <w:tcW w:w="2836" w:type="dxa"/>
            <w:vAlign w:val="center"/>
            <w:hideMark/>
          </w:tcPr>
          <w:p w14:paraId="7C9E3326" w14:textId="77777777" w:rsidR="00132AFF" w:rsidRPr="00DE4878" w:rsidRDefault="00132AFF">
            <w:pPr>
              <w:autoSpaceDE w:val="0"/>
              <w:autoSpaceDN w:val="0"/>
              <w:adjustRightInd w:val="0"/>
              <w:rPr>
                <w:sz w:val="22"/>
              </w:rPr>
            </w:pPr>
            <w:r w:rsidRPr="00DE4878">
              <w:rPr>
                <w:sz w:val="22"/>
              </w:rPr>
              <w:t>Seism</w:t>
            </w:r>
            <w:r>
              <w:rPr>
                <w:sz w:val="22"/>
              </w:rPr>
              <w:t>otectonic</w:t>
            </w:r>
          </w:p>
        </w:tc>
        <w:tc>
          <w:tcPr>
            <w:tcW w:w="6378" w:type="dxa"/>
            <w:hideMark/>
          </w:tcPr>
          <w:p w14:paraId="5C1D4691" w14:textId="77777777" w:rsidR="00132AFF" w:rsidRDefault="00132AFF">
            <w:pPr>
              <w:autoSpaceDE w:val="0"/>
              <w:autoSpaceDN w:val="0"/>
              <w:adjustRightInd w:val="0"/>
              <w:spacing w:after="0" w:line="240" w:lineRule="auto"/>
              <w:rPr>
                <w:sz w:val="22"/>
              </w:rPr>
            </w:pPr>
            <w:r>
              <w:rPr>
                <w:sz w:val="22"/>
              </w:rPr>
              <w:t>Strong</w:t>
            </w:r>
            <w:r w:rsidRPr="00DC5A78">
              <w:rPr>
                <w:sz w:val="22"/>
              </w:rPr>
              <w:t xml:space="preserve"> </w:t>
            </w:r>
            <w:r>
              <w:rPr>
                <w:sz w:val="22"/>
              </w:rPr>
              <w:t>g</w:t>
            </w:r>
            <w:r w:rsidRPr="00DC5A78">
              <w:rPr>
                <w:sz w:val="22"/>
              </w:rPr>
              <w:t xml:space="preserve">round </w:t>
            </w:r>
            <w:r>
              <w:rPr>
                <w:sz w:val="22"/>
              </w:rPr>
              <w:t>m</w:t>
            </w:r>
            <w:r w:rsidRPr="00DC5A78">
              <w:rPr>
                <w:sz w:val="22"/>
              </w:rPr>
              <w:t>otion</w:t>
            </w:r>
          </w:p>
          <w:p w14:paraId="6A291BFD" w14:textId="77777777" w:rsidR="00132AFF" w:rsidRDefault="00132AFF">
            <w:pPr>
              <w:autoSpaceDE w:val="0"/>
              <w:autoSpaceDN w:val="0"/>
              <w:adjustRightInd w:val="0"/>
              <w:spacing w:after="0" w:line="240" w:lineRule="auto"/>
              <w:rPr>
                <w:sz w:val="22"/>
              </w:rPr>
            </w:pPr>
            <w:r>
              <w:rPr>
                <w:sz w:val="22"/>
              </w:rPr>
              <w:t>Capable faulting</w:t>
            </w:r>
          </w:p>
          <w:p w14:paraId="4623A7A7" w14:textId="77777777" w:rsidR="00132AFF" w:rsidRDefault="00132AFF">
            <w:pPr>
              <w:autoSpaceDE w:val="0"/>
              <w:autoSpaceDN w:val="0"/>
              <w:adjustRightInd w:val="0"/>
              <w:spacing w:after="0" w:line="240" w:lineRule="auto"/>
              <w:rPr>
                <w:sz w:val="22"/>
              </w:rPr>
            </w:pPr>
            <w:r>
              <w:rPr>
                <w:sz w:val="22"/>
              </w:rPr>
              <w:t>Liquefaction / dynamic compaction</w:t>
            </w:r>
          </w:p>
          <w:p w14:paraId="60E39D57" w14:textId="77777777" w:rsidR="00132AFF" w:rsidRDefault="00132AFF">
            <w:pPr>
              <w:autoSpaceDE w:val="0"/>
              <w:autoSpaceDN w:val="0"/>
              <w:adjustRightInd w:val="0"/>
              <w:spacing w:after="0" w:line="240" w:lineRule="auto"/>
              <w:rPr>
                <w:sz w:val="22"/>
              </w:rPr>
            </w:pPr>
            <w:r>
              <w:rPr>
                <w:sz w:val="22"/>
              </w:rPr>
              <w:t>Ground deformation</w:t>
            </w:r>
          </w:p>
          <w:p w14:paraId="1717ED1F" w14:textId="77777777" w:rsidR="00132AFF" w:rsidRDefault="00132AFF">
            <w:pPr>
              <w:autoSpaceDE w:val="0"/>
              <w:autoSpaceDN w:val="0"/>
              <w:adjustRightInd w:val="0"/>
              <w:spacing w:after="0" w:line="240" w:lineRule="auto"/>
              <w:rPr>
                <w:sz w:val="22"/>
              </w:rPr>
            </w:pPr>
            <w:r>
              <w:rPr>
                <w:sz w:val="22"/>
              </w:rPr>
              <w:t>Tsunami generation</w:t>
            </w:r>
          </w:p>
          <w:p w14:paraId="0BF081ED" w14:textId="77777777" w:rsidR="00132AFF" w:rsidRDefault="00132AFF">
            <w:pPr>
              <w:autoSpaceDE w:val="0"/>
              <w:autoSpaceDN w:val="0"/>
              <w:adjustRightInd w:val="0"/>
              <w:spacing w:after="0" w:line="240" w:lineRule="auto"/>
              <w:rPr>
                <w:sz w:val="22"/>
              </w:rPr>
            </w:pPr>
            <w:r>
              <w:rPr>
                <w:sz w:val="22"/>
              </w:rPr>
              <w:t>Volcano</w:t>
            </w:r>
          </w:p>
          <w:p w14:paraId="24B51566" w14:textId="77777777" w:rsidR="00132AFF" w:rsidRPr="00DE4878" w:rsidRDefault="00132AFF">
            <w:pPr>
              <w:autoSpaceDE w:val="0"/>
              <w:autoSpaceDN w:val="0"/>
              <w:adjustRightInd w:val="0"/>
              <w:rPr>
                <w:sz w:val="22"/>
              </w:rPr>
            </w:pPr>
          </w:p>
        </w:tc>
      </w:tr>
      <w:tr w:rsidR="00287362" w:rsidRPr="00C25736" w14:paraId="11748179" w14:textId="77777777" w:rsidTr="000D6BF8">
        <w:trPr>
          <w:trHeight w:val="113"/>
        </w:trPr>
        <w:tc>
          <w:tcPr>
            <w:tcW w:w="2836" w:type="dxa"/>
            <w:vAlign w:val="center"/>
            <w:hideMark/>
          </w:tcPr>
          <w:p w14:paraId="4DE5C817" w14:textId="77777777" w:rsidR="00132AFF" w:rsidRPr="00DE4878" w:rsidRDefault="00132AFF">
            <w:pPr>
              <w:autoSpaceDE w:val="0"/>
              <w:autoSpaceDN w:val="0"/>
              <w:adjustRightInd w:val="0"/>
              <w:rPr>
                <w:sz w:val="22"/>
              </w:rPr>
            </w:pPr>
            <w:r w:rsidRPr="00DE4878">
              <w:rPr>
                <w:sz w:val="22"/>
              </w:rPr>
              <w:t>Flooding and Hydrological</w:t>
            </w:r>
          </w:p>
        </w:tc>
        <w:tc>
          <w:tcPr>
            <w:tcW w:w="6378" w:type="dxa"/>
            <w:hideMark/>
          </w:tcPr>
          <w:p w14:paraId="0339ECB5" w14:textId="77777777" w:rsidR="00132AFF" w:rsidRDefault="00132AFF">
            <w:pPr>
              <w:autoSpaceDE w:val="0"/>
              <w:autoSpaceDN w:val="0"/>
              <w:adjustRightInd w:val="0"/>
              <w:spacing w:after="0"/>
              <w:rPr>
                <w:sz w:val="22"/>
              </w:rPr>
            </w:pPr>
            <w:r>
              <w:rPr>
                <w:sz w:val="22"/>
              </w:rPr>
              <w:t>Fluvial</w:t>
            </w:r>
          </w:p>
          <w:p w14:paraId="603A80C4" w14:textId="77777777" w:rsidR="00132AFF" w:rsidRDefault="00132AFF">
            <w:pPr>
              <w:autoSpaceDE w:val="0"/>
              <w:autoSpaceDN w:val="0"/>
              <w:adjustRightInd w:val="0"/>
              <w:spacing w:after="0"/>
              <w:rPr>
                <w:sz w:val="22"/>
              </w:rPr>
            </w:pPr>
            <w:r>
              <w:rPr>
                <w:sz w:val="22"/>
              </w:rPr>
              <w:t>Pluvial</w:t>
            </w:r>
          </w:p>
          <w:p w14:paraId="3F6AD511" w14:textId="77777777" w:rsidR="00132AFF" w:rsidRDefault="00132AFF">
            <w:pPr>
              <w:autoSpaceDE w:val="0"/>
              <w:autoSpaceDN w:val="0"/>
              <w:adjustRightInd w:val="0"/>
              <w:spacing w:after="0"/>
              <w:rPr>
                <w:sz w:val="22"/>
              </w:rPr>
            </w:pPr>
            <w:r w:rsidRPr="00DC5A78">
              <w:rPr>
                <w:sz w:val="22"/>
              </w:rPr>
              <w:t>Tidal</w:t>
            </w:r>
            <w:r>
              <w:rPr>
                <w:sz w:val="22"/>
              </w:rPr>
              <w:t xml:space="preserve"> Effects</w:t>
            </w:r>
          </w:p>
          <w:p w14:paraId="007CD34F" w14:textId="77777777" w:rsidR="00132AFF" w:rsidRDefault="00132AFF">
            <w:pPr>
              <w:autoSpaceDE w:val="0"/>
              <w:autoSpaceDN w:val="0"/>
              <w:adjustRightInd w:val="0"/>
              <w:spacing w:after="0"/>
              <w:rPr>
                <w:sz w:val="22"/>
              </w:rPr>
            </w:pPr>
            <w:r w:rsidRPr="00DC5A78">
              <w:rPr>
                <w:sz w:val="22"/>
              </w:rPr>
              <w:t>Storm surge</w:t>
            </w:r>
          </w:p>
          <w:p w14:paraId="4FC320EA" w14:textId="77777777" w:rsidR="00132AFF" w:rsidRDefault="00132AFF">
            <w:pPr>
              <w:autoSpaceDE w:val="0"/>
              <w:autoSpaceDN w:val="0"/>
              <w:adjustRightInd w:val="0"/>
              <w:spacing w:after="0"/>
              <w:rPr>
                <w:sz w:val="22"/>
              </w:rPr>
            </w:pPr>
            <w:r>
              <w:rPr>
                <w:sz w:val="22"/>
              </w:rPr>
              <w:t>Wind generated w</w:t>
            </w:r>
            <w:r w:rsidRPr="00DC5A78">
              <w:rPr>
                <w:sz w:val="22"/>
              </w:rPr>
              <w:t>aves</w:t>
            </w:r>
          </w:p>
          <w:p w14:paraId="0BD29916" w14:textId="77777777" w:rsidR="00132AFF" w:rsidRDefault="00132AFF">
            <w:pPr>
              <w:autoSpaceDE w:val="0"/>
              <w:autoSpaceDN w:val="0"/>
              <w:adjustRightInd w:val="0"/>
              <w:spacing w:after="0"/>
              <w:rPr>
                <w:sz w:val="22"/>
              </w:rPr>
            </w:pPr>
            <w:r w:rsidRPr="00DC5A78">
              <w:rPr>
                <w:sz w:val="22"/>
              </w:rPr>
              <w:t>Seiche</w:t>
            </w:r>
          </w:p>
          <w:p w14:paraId="2947AB66" w14:textId="77777777" w:rsidR="00132AFF" w:rsidRDefault="00132AFF">
            <w:pPr>
              <w:autoSpaceDE w:val="0"/>
              <w:autoSpaceDN w:val="0"/>
              <w:adjustRightInd w:val="0"/>
              <w:spacing w:after="0"/>
              <w:rPr>
                <w:sz w:val="22"/>
              </w:rPr>
            </w:pPr>
            <w:r w:rsidRPr="00DC5A78">
              <w:rPr>
                <w:sz w:val="22"/>
              </w:rPr>
              <w:t>Tsunami</w:t>
            </w:r>
          </w:p>
          <w:p w14:paraId="3D8729B1" w14:textId="77777777" w:rsidR="00132AFF" w:rsidRDefault="00132AFF">
            <w:pPr>
              <w:autoSpaceDE w:val="0"/>
              <w:autoSpaceDN w:val="0"/>
              <w:adjustRightInd w:val="0"/>
              <w:spacing w:after="0"/>
              <w:rPr>
                <w:sz w:val="22"/>
              </w:rPr>
            </w:pPr>
            <w:r w:rsidRPr="00DC5A78">
              <w:rPr>
                <w:sz w:val="22"/>
              </w:rPr>
              <w:t xml:space="preserve">Dam </w:t>
            </w:r>
            <w:r>
              <w:rPr>
                <w:sz w:val="22"/>
              </w:rPr>
              <w:t xml:space="preserve">/ watercourse </w:t>
            </w:r>
            <w:r w:rsidRPr="00DC5A78">
              <w:rPr>
                <w:sz w:val="22"/>
              </w:rPr>
              <w:t>failure</w:t>
            </w:r>
          </w:p>
          <w:p w14:paraId="055749A4" w14:textId="77777777" w:rsidR="00132AFF" w:rsidRDefault="00132AFF">
            <w:pPr>
              <w:autoSpaceDE w:val="0"/>
              <w:autoSpaceDN w:val="0"/>
              <w:adjustRightInd w:val="0"/>
              <w:spacing w:after="0"/>
              <w:rPr>
                <w:sz w:val="22"/>
              </w:rPr>
            </w:pPr>
            <w:r w:rsidRPr="00DC5A78">
              <w:rPr>
                <w:sz w:val="22"/>
              </w:rPr>
              <w:t>Ground run-off</w:t>
            </w:r>
          </w:p>
          <w:p w14:paraId="00B0BFFF" w14:textId="77777777" w:rsidR="00132AFF" w:rsidRDefault="00132AFF">
            <w:pPr>
              <w:autoSpaceDE w:val="0"/>
              <w:autoSpaceDN w:val="0"/>
              <w:adjustRightInd w:val="0"/>
              <w:spacing w:after="0"/>
              <w:rPr>
                <w:sz w:val="22"/>
              </w:rPr>
            </w:pPr>
            <w:r w:rsidRPr="00DC5A78">
              <w:rPr>
                <w:sz w:val="22"/>
              </w:rPr>
              <w:t>Ground water</w:t>
            </w:r>
          </w:p>
          <w:p w14:paraId="36B40D5C" w14:textId="4C53D6E3" w:rsidR="00D96CD7" w:rsidRDefault="00D96CD7">
            <w:pPr>
              <w:autoSpaceDE w:val="0"/>
              <w:autoSpaceDN w:val="0"/>
              <w:adjustRightInd w:val="0"/>
              <w:spacing w:after="0"/>
              <w:rPr>
                <w:sz w:val="22"/>
              </w:rPr>
            </w:pPr>
            <w:r>
              <w:rPr>
                <w:sz w:val="22"/>
              </w:rPr>
              <w:t>Saline ingress</w:t>
            </w:r>
          </w:p>
          <w:p w14:paraId="17C23B95" w14:textId="77777777" w:rsidR="00132AFF" w:rsidRPr="00DE4878" w:rsidRDefault="00132AFF">
            <w:pPr>
              <w:autoSpaceDE w:val="0"/>
              <w:autoSpaceDN w:val="0"/>
              <w:adjustRightInd w:val="0"/>
              <w:rPr>
                <w:sz w:val="22"/>
              </w:rPr>
            </w:pPr>
          </w:p>
        </w:tc>
      </w:tr>
      <w:tr w:rsidR="00287362" w:rsidRPr="00C25736" w14:paraId="20A36C5C" w14:textId="77777777" w:rsidTr="000D6BF8">
        <w:trPr>
          <w:trHeight w:val="113"/>
        </w:trPr>
        <w:tc>
          <w:tcPr>
            <w:tcW w:w="2836" w:type="dxa"/>
            <w:vAlign w:val="center"/>
            <w:hideMark/>
          </w:tcPr>
          <w:p w14:paraId="3D97C2BB" w14:textId="77777777" w:rsidR="00132AFF" w:rsidRPr="00DE4878" w:rsidRDefault="00132AFF">
            <w:pPr>
              <w:autoSpaceDE w:val="0"/>
              <w:autoSpaceDN w:val="0"/>
              <w:adjustRightInd w:val="0"/>
              <w:rPr>
                <w:sz w:val="22"/>
              </w:rPr>
            </w:pPr>
            <w:r w:rsidRPr="00DE4878">
              <w:rPr>
                <w:sz w:val="22"/>
              </w:rPr>
              <w:t>Meteorological</w:t>
            </w:r>
          </w:p>
        </w:tc>
        <w:tc>
          <w:tcPr>
            <w:tcW w:w="6378" w:type="dxa"/>
            <w:hideMark/>
          </w:tcPr>
          <w:p w14:paraId="021651DF" w14:textId="77777777" w:rsidR="00132AFF" w:rsidRDefault="00132AFF">
            <w:pPr>
              <w:autoSpaceDE w:val="0"/>
              <w:autoSpaceDN w:val="0"/>
              <w:adjustRightInd w:val="0"/>
              <w:spacing w:after="0"/>
              <w:rPr>
                <w:sz w:val="22"/>
              </w:rPr>
            </w:pPr>
            <w:r>
              <w:rPr>
                <w:sz w:val="22"/>
              </w:rPr>
              <w:t>Extreme w</w:t>
            </w:r>
            <w:r w:rsidRPr="00DC5A78">
              <w:rPr>
                <w:sz w:val="22"/>
              </w:rPr>
              <w:t>ind (tornado</w:t>
            </w:r>
            <w:r>
              <w:rPr>
                <w:sz w:val="22"/>
              </w:rPr>
              <w:t xml:space="preserve"> and windblown debris</w:t>
            </w:r>
            <w:r w:rsidRPr="00DC5A78">
              <w:rPr>
                <w:sz w:val="22"/>
              </w:rPr>
              <w:t>)</w:t>
            </w:r>
          </w:p>
          <w:p w14:paraId="2D4F9036" w14:textId="77777777" w:rsidR="00132AFF" w:rsidRDefault="00132AFF">
            <w:pPr>
              <w:autoSpaceDE w:val="0"/>
              <w:autoSpaceDN w:val="0"/>
              <w:adjustRightInd w:val="0"/>
              <w:spacing w:after="0"/>
              <w:rPr>
                <w:sz w:val="22"/>
              </w:rPr>
            </w:pPr>
            <w:r>
              <w:rPr>
                <w:sz w:val="22"/>
              </w:rPr>
              <w:t>Extreme rainfall</w:t>
            </w:r>
          </w:p>
          <w:p w14:paraId="605C23EF" w14:textId="60CD6F01" w:rsidR="00132AFF" w:rsidRDefault="00132AFF">
            <w:pPr>
              <w:autoSpaceDE w:val="0"/>
              <w:autoSpaceDN w:val="0"/>
              <w:adjustRightInd w:val="0"/>
              <w:spacing w:after="0"/>
              <w:rPr>
                <w:sz w:val="22"/>
              </w:rPr>
            </w:pPr>
            <w:r>
              <w:rPr>
                <w:sz w:val="22"/>
              </w:rPr>
              <w:t xml:space="preserve">Extremes of </w:t>
            </w:r>
            <w:r w:rsidR="00EE6C17">
              <w:rPr>
                <w:sz w:val="22"/>
              </w:rPr>
              <w:t>enthalpy (</w:t>
            </w:r>
            <w:r w:rsidRPr="00DE4878">
              <w:rPr>
                <w:sz w:val="22"/>
              </w:rPr>
              <w:t>air temperature</w:t>
            </w:r>
            <w:r>
              <w:rPr>
                <w:sz w:val="22"/>
              </w:rPr>
              <w:t xml:space="preserve"> &amp; humidity</w:t>
            </w:r>
            <w:r w:rsidR="00EE6C17">
              <w:rPr>
                <w:sz w:val="22"/>
              </w:rPr>
              <w:t>)</w:t>
            </w:r>
          </w:p>
          <w:p w14:paraId="49DB8122" w14:textId="77777777" w:rsidR="00132AFF" w:rsidRDefault="00132AFF">
            <w:pPr>
              <w:autoSpaceDE w:val="0"/>
              <w:autoSpaceDN w:val="0"/>
              <w:adjustRightInd w:val="0"/>
              <w:spacing w:after="0"/>
              <w:rPr>
                <w:sz w:val="22"/>
              </w:rPr>
            </w:pPr>
            <w:r>
              <w:rPr>
                <w:sz w:val="22"/>
              </w:rPr>
              <w:t>Air pressure</w:t>
            </w:r>
          </w:p>
          <w:p w14:paraId="04F5D21E" w14:textId="77777777" w:rsidR="00132AFF" w:rsidRDefault="00132AFF">
            <w:pPr>
              <w:autoSpaceDE w:val="0"/>
              <w:autoSpaceDN w:val="0"/>
              <w:adjustRightInd w:val="0"/>
              <w:spacing w:after="0"/>
              <w:rPr>
                <w:sz w:val="22"/>
              </w:rPr>
            </w:pPr>
            <w:r>
              <w:rPr>
                <w:sz w:val="22"/>
              </w:rPr>
              <w:t>Extremes of s</w:t>
            </w:r>
            <w:r w:rsidRPr="00DC5A78">
              <w:rPr>
                <w:sz w:val="22"/>
              </w:rPr>
              <w:t>ea</w:t>
            </w:r>
            <w:r>
              <w:rPr>
                <w:sz w:val="22"/>
              </w:rPr>
              <w:t xml:space="preserve"> / river</w:t>
            </w:r>
            <w:r w:rsidRPr="00DC5A78">
              <w:rPr>
                <w:sz w:val="22"/>
              </w:rPr>
              <w:t xml:space="preserve"> temperature</w:t>
            </w:r>
          </w:p>
          <w:p w14:paraId="658A776D" w14:textId="77777777" w:rsidR="00132AFF" w:rsidRDefault="00132AFF">
            <w:pPr>
              <w:autoSpaceDE w:val="0"/>
              <w:autoSpaceDN w:val="0"/>
              <w:adjustRightInd w:val="0"/>
              <w:spacing w:after="0"/>
              <w:rPr>
                <w:sz w:val="22"/>
              </w:rPr>
            </w:pPr>
            <w:r w:rsidRPr="00DC5A78">
              <w:rPr>
                <w:sz w:val="22"/>
              </w:rPr>
              <w:t>Snow</w:t>
            </w:r>
          </w:p>
          <w:p w14:paraId="0C148916" w14:textId="77777777" w:rsidR="00132AFF" w:rsidRDefault="00132AFF">
            <w:pPr>
              <w:autoSpaceDE w:val="0"/>
              <w:autoSpaceDN w:val="0"/>
              <w:adjustRightInd w:val="0"/>
              <w:spacing w:after="0"/>
              <w:rPr>
                <w:sz w:val="22"/>
              </w:rPr>
            </w:pPr>
            <w:r w:rsidRPr="00DC5A78">
              <w:rPr>
                <w:sz w:val="22"/>
              </w:rPr>
              <w:t xml:space="preserve">Icing – </w:t>
            </w:r>
            <w:r w:rsidRPr="002B1A93">
              <w:rPr>
                <w:sz w:val="22"/>
              </w:rPr>
              <w:t>e.g.</w:t>
            </w:r>
            <w:r>
              <w:rPr>
                <w:sz w:val="22"/>
              </w:rPr>
              <w:t>,</w:t>
            </w:r>
            <w:r w:rsidRPr="00DC5A78">
              <w:rPr>
                <w:sz w:val="22"/>
              </w:rPr>
              <w:t xml:space="preserve"> </w:t>
            </w:r>
            <w:proofErr w:type="spellStart"/>
            <w:r w:rsidRPr="00DC5A78">
              <w:rPr>
                <w:sz w:val="22"/>
              </w:rPr>
              <w:t>frazil</w:t>
            </w:r>
            <w:proofErr w:type="spellEnd"/>
            <w:r w:rsidRPr="00DC5A78">
              <w:rPr>
                <w:sz w:val="22"/>
              </w:rPr>
              <w:t>, rime</w:t>
            </w:r>
          </w:p>
          <w:p w14:paraId="0ADBC778" w14:textId="77777777" w:rsidR="00132AFF" w:rsidRDefault="00132AFF">
            <w:pPr>
              <w:autoSpaceDE w:val="0"/>
              <w:autoSpaceDN w:val="0"/>
              <w:adjustRightInd w:val="0"/>
              <w:spacing w:after="0"/>
              <w:rPr>
                <w:sz w:val="22"/>
              </w:rPr>
            </w:pPr>
            <w:r w:rsidRPr="00DC5A78">
              <w:rPr>
                <w:sz w:val="22"/>
              </w:rPr>
              <w:t>Hail</w:t>
            </w:r>
          </w:p>
          <w:p w14:paraId="2C7FFC18" w14:textId="77777777" w:rsidR="00132AFF" w:rsidRDefault="00132AFF">
            <w:pPr>
              <w:autoSpaceDE w:val="0"/>
              <w:autoSpaceDN w:val="0"/>
              <w:adjustRightInd w:val="0"/>
              <w:spacing w:after="0"/>
              <w:rPr>
                <w:sz w:val="22"/>
              </w:rPr>
            </w:pPr>
            <w:r>
              <w:rPr>
                <w:sz w:val="22"/>
              </w:rPr>
              <w:t>Mist / fog</w:t>
            </w:r>
            <w:r w:rsidRPr="00DC5A78">
              <w:rPr>
                <w:sz w:val="22"/>
              </w:rPr>
              <w:t xml:space="preserve"> – cause of icing</w:t>
            </w:r>
          </w:p>
          <w:p w14:paraId="44F6F2B8" w14:textId="69FB18CE" w:rsidR="00132AFF" w:rsidRDefault="00132AFF">
            <w:pPr>
              <w:autoSpaceDE w:val="0"/>
              <w:autoSpaceDN w:val="0"/>
              <w:adjustRightInd w:val="0"/>
              <w:spacing w:after="0"/>
              <w:rPr>
                <w:sz w:val="22"/>
              </w:rPr>
            </w:pPr>
            <w:r w:rsidRPr="00DC5A78">
              <w:rPr>
                <w:sz w:val="22"/>
              </w:rPr>
              <w:t>Lightning</w:t>
            </w:r>
            <w:r w:rsidR="00214410">
              <w:rPr>
                <w:sz w:val="22"/>
              </w:rPr>
              <w:t xml:space="preserve"> (</w:t>
            </w:r>
            <w:r w:rsidR="00FD621C">
              <w:rPr>
                <w:sz w:val="22"/>
              </w:rPr>
              <w:t>direct current and e</w:t>
            </w:r>
            <w:r w:rsidR="00FD621C" w:rsidRPr="00DC5A78">
              <w:rPr>
                <w:sz w:val="22"/>
              </w:rPr>
              <w:t>lectromagnetic interference</w:t>
            </w:r>
            <w:r w:rsidR="004E15C1">
              <w:rPr>
                <w:sz w:val="22"/>
              </w:rPr>
              <w:t xml:space="preserve"> effects</w:t>
            </w:r>
            <w:r w:rsidR="00FD621C">
              <w:rPr>
                <w:sz w:val="22"/>
              </w:rPr>
              <w:t>)</w:t>
            </w:r>
          </w:p>
          <w:p w14:paraId="50CA5A0E" w14:textId="77777777" w:rsidR="00132AFF" w:rsidRDefault="00132AFF">
            <w:pPr>
              <w:autoSpaceDE w:val="0"/>
              <w:autoSpaceDN w:val="0"/>
              <w:adjustRightInd w:val="0"/>
              <w:spacing w:after="0"/>
              <w:rPr>
                <w:sz w:val="22"/>
              </w:rPr>
            </w:pPr>
            <w:r>
              <w:rPr>
                <w:sz w:val="22"/>
              </w:rPr>
              <w:t xml:space="preserve">Extreme </w:t>
            </w:r>
            <w:r w:rsidRPr="00DC5A78">
              <w:rPr>
                <w:sz w:val="22"/>
              </w:rPr>
              <w:t>Drought</w:t>
            </w:r>
          </w:p>
          <w:p w14:paraId="7DEDA36C" w14:textId="025F86C0" w:rsidR="00132AFF" w:rsidRPr="00DE4878" w:rsidRDefault="00132AFF">
            <w:pPr>
              <w:autoSpaceDE w:val="0"/>
              <w:autoSpaceDN w:val="0"/>
              <w:adjustRightInd w:val="0"/>
              <w:spacing w:after="0"/>
              <w:rPr>
                <w:sz w:val="22"/>
              </w:rPr>
            </w:pPr>
          </w:p>
        </w:tc>
      </w:tr>
      <w:tr w:rsidR="00287362" w:rsidRPr="00C25736" w14:paraId="3BF401D4" w14:textId="77777777" w:rsidTr="000D6BF8">
        <w:trPr>
          <w:trHeight w:val="113"/>
        </w:trPr>
        <w:tc>
          <w:tcPr>
            <w:tcW w:w="2836" w:type="dxa"/>
            <w:vAlign w:val="center"/>
            <w:hideMark/>
          </w:tcPr>
          <w:p w14:paraId="3880BE4B" w14:textId="77777777" w:rsidR="00132AFF" w:rsidRPr="00DE4878" w:rsidRDefault="00132AFF">
            <w:pPr>
              <w:autoSpaceDE w:val="0"/>
              <w:autoSpaceDN w:val="0"/>
              <w:adjustRightInd w:val="0"/>
              <w:rPr>
                <w:sz w:val="22"/>
              </w:rPr>
            </w:pPr>
            <w:r w:rsidRPr="00DE4878">
              <w:rPr>
                <w:sz w:val="22"/>
              </w:rPr>
              <w:t>Biological</w:t>
            </w:r>
          </w:p>
        </w:tc>
        <w:tc>
          <w:tcPr>
            <w:tcW w:w="6378" w:type="dxa"/>
            <w:hideMark/>
          </w:tcPr>
          <w:p w14:paraId="3E1117EA" w14:textId="77777777" w:rsidR="00132AFF" w:rsidRDefault="00132AFF">
            <w:pPr>
              <w:autoSpaceDE w:val="0"/>
              <w:autoSpaceDN w:val="0"/>
              <w:adjustRightInd w:val="0"/>
              <w:spacing w:after="0"/>
              <w:rPr>
                <w:sz w:val="22"/>
              </w:rPr>
            </w:pPr>
            <w:r w:rsidRPr="00DE4878">
              <w:rPr>
                <w:sz w:val="22"/>
              </w:rPr>
              <w:t>Seaweed</w:t>
            </w:r>
          </w:p>
          <w:p w14:paraId="30CF4F97" w14:textId="77777777" w:rsidR="00132AFF" w:rsidRDefault="00132AFF">
            <w:pPr>
              <w:autoSpaceDE w:val="0"/>
              <w:autoSpaceDN w:val="0"/>
              <w:adjustRightInd w:val="0"/>
              <w:spacing w:after="0"/>
              <w:rPr>
                <w:sz w:val="22"/>
              </w:rPr>
            </w:pPr>
            <w:r w:rsidRPr="00DC5A78">
              <w:rPr>
                <w:sz w:val="22"/>
              </w:rPr>
              <w:t>Fish / jellyfish</w:t>
            </w:r>
          </w:p>
          <w:p w14:paraId="1C2D16B2" w14:textId="77777777" w:rsidR="00132AFF" w:rsidRDefault="00132AFF">
            <w:pPr>
              <w:autoSpaceDE w:val="0"/>
              <w:autoSpaceDN w:val="0"/>
              <w:adjustRightInd w:val="0"/>
              <w:spacing w:after="0"/>
              <w:rPr>
                <w:sz w:val="22"/>
              </w:rPr>
            </w:pPr>
            <w:r w:rsidRPr="00DC5A78">
              <w:rPr>
                <w:sz w:val="22"/>
              </w:rPr>
              <w:t>Marine growth</w:t>
            </w:r>
            <w:r>
              <w:rPr>
                <w:sz w:val="22"/>
              </w:rPr>
              <w:t xml:space="preserve"> / crustaceans</w:t>
            </w:r>
          </w:p>
          <w:p w14:paraId="08CC5F0B" w14:textId="77777777" w:rsidR="00132AFF" w:rsidRDefault="00132AFF">
            <w:pPr>
              <w:autoSpaceDE w:val="0"/>
              <w:autoSpaceDN w:val="0"/>
              <w:adjustRightInd w:val="0"/>
              <w:spacing w:after="0"/>
              <w:rPr>
                <w:sz w:val="22"/>
              </w:rPr>
            </w:pPr>
            <w:r>
              <w:rPr>
                <w:sz w:val="22"/>
              </w:rPr>
              <w:t>Birds</w:t>
            </w:r>
          </w:p>
          <w:p w14:paraId="2FCC4DB5" w14:textId="77777777" w:rsidR="00132AFF" w:rsidRDefault="00132AFF">
            <w:pPr>
              <w:autoSpaceDE w:val="0"/>
              <w:autoSpaceDN w:val="0"/>
              <w:adjustRightInd w:val="0"/>
              <w:spacing w:after="0"/>
              <w:rPr>
                <w:sz w:val="22"/>
              </w:rPr>
            </w:pPr>
            <w:r w:rsidRPr="00DC5A78">
              <w:rPr>
                <w:sz w:val="22"/>
              </w:rPr>
              <w:t>Corrosion promoter</w:t>
            </w:r>
          </w:p>
          <w:p w14:paraId="149863FB" w14:textId="77777777" w:rsidR="00867322" w:rsidRDefault="00867322">
            <w:pPr>
              <w:autoSpaceDE w:val="0"/>
              <w:autoSpaceDN w:val="0"/>
              <w:adjustRightInd w:val="0"/>
              <w:spacing w:after="0"/>
              <w:rPr>
                <w:sz w:val="22"/>
              </w:rPr>
            </w:pPr>
            <w:r>
              <w:rPr>
                <w:sz w:val="22"/>
              </w:rPr>
              <w:t>Airborne swarms</w:t>
            </w:r>
          </w:p>
          <w:p w14:paraId="2366DB33" w14:textId="395CFF1C" w:rsidR="00867322" w:rsidRPr="00DE4878" w:rsidRDefault="00867322">
            <w:pPr>
              <w:autoSpaceDE w:val="0"/>
              <w:autoSpaceDN w:val="0"/>
              <w:adjustRightInd w:val="0"/>
              <w:spacing w:after="0"/>
              <w:rPr>
                <w:sz w:val="22"/>
              </w:rPr>
            </w:pPr>
            <w:r>
              <w:rPr>
                <w:sz w:val="22"/>
              </w:rPr>
              <w:t>Infes</w:t>
            </w:r>
            <w:r w:rsidR="00C559BB">
              <w:rPr>
                <w:sz w:val="22"/>
              </w:rPr>
              <w:t>tation</w:t>
            </w:r>
          </w:p>
        </w:tc>
      </w:tr>
      <w:tr w:rsidR="00287362" w:rsidRPr="00C25736" w14:paraId="6D9D1F8B" w14:textId="77777777" w:rsidTr="000D6BF8">
        <w:trPr>
          <w:trHeight w:val="113"/>
        </w:trPr>
        <w:tc>
          <w:tcPr>
            <w:tcW w:w="2836" w:type="dxa"/>
            <w:vAlign w:val="center"/>
            <w:hideMark/>
          </w:tcPr>
          <w:p w14:paraId="1AF6F4BD" w14:textId="77777777" w:rsidR="00132AFF" w:rsidRPr="00DE4878" w:rsidRDefault="00132AFF">
            <w:pPr>
              <w:autoSpaceDE w:val="0"/>
              <w:autoSpaceDN w:val="0"/>
              <w:adjustRightInd w:val="0"/>
              <w:rPr>
                <w:sz w:val="22"/>
              </w:rPr>
            </w:pPr>
            <w:r w:rsidRPr="00DE4878">
              <w:rPr>
                <w:sz w:val="22"/>
              </w:rPr>
              <w:t>Geological</w:t>
            </w:r>
          </w:p>
        </w:tc>
        <w:tc>
          <w:tcPr>
            <w:tcW w:w="6378" w:type="dxa"/>
            <w:hideMark/>
          </w:tcPr>
          <w:p w14:paraId="0F17BE85" w14:textId="77777777" w:rsidR="00132AFF" w:rsidRDefault="00132AFF">
            <w:pPr>
              <w:autoSpaceDE w:val="0"/>
              <w:autoSpaceDN w:val="0"/>
              <w:adjustRightInd w:val="0"/>
              <w:spacing w:after="0"/>
              <w:rPr>
                <w:sz w:val="22"/>
              </w:rPr>
            </w:pPr>
            <w:r w:rsidRPr="00DE4878">
              <w:rPr>
                <w:sz w:val="22"/>
              </w:rPr>
              <w:t>Settlement</w:t>
            </w:r>
            <w:r>
              <w:rPr>
                <w:sz w:val="22"/>
              </w:rPr>
              <w:t xml:space="preserve"> / Ground Heave</w:t>
            </w:r>
          </w:p>
          <w:p w14:paraId="1CF4AF36" w14:textId="77777777" w:rsidR="00132AFF" w:rsidRDefault="00132AFF">
            <w:pPr>
              <w:autoSpaceDE w:val="0"/>
              <w:autoSpaceDN w:val="0"/>
              <w:adjustRightInd w:val="0"/>
              <w:spacing w:after="0"/>
              <w:rPr>
                <w:sz w:val="22"/>
              </w:rPr>
            </w:pPr>
            <w:r w:rsidRPr="00DC5A78">
              <w:rPr>
                <w:sz w:val="22"/>
              </w:rPr>
              <w:t>Landslide</w:t>
            </w:r>
          </w:p>
          <w:p w14:paraId="71F27B9D" w14:textId="77777777" w:rsidR="00132AFF" w:rsidRDefault="00132AFF">
            <w:pPr>
              <w:autoSpaceDE w:val="0"/>
              <w:autoSpaceDN w:val="0"/>
              <w:adjustRightInd w:val="0"/>
              <w:spacing w:after="0"/>
              <w:rPr>
                <w:sz w:val="22"/>
              </w:rPr>
            </w:pPr>
            <w:r w:rsidRPr="00DC5A78">
              <w:rPr>
                <w:sz w:val="22"/>
              </w:rPr>
              <w:t>Subsidence</w:t>
            </w:r>
          </w:p>
          <w:p w14:paraId="7E7D1D6F" w14:textId="77777777" w:rsidR="00132AFF" w:rsidRDefault="00132AFF">
            <w:pPr>
              <w:autoSpaceDE w:val="0"/>
              <w:autoSpaceDN w:val="0"/>
              <w:adjustRightInd w:val="0"/>
              <w:spacing w:after="0"/>
              <w:rPr>
                <w:sz w:val="22"/>
              </w:rPr>
            </w:pPr>
            <w:r w:rsidRPr="00DC5A78">
              <w:rPr>
                <w:sz w:val="22"/>
              </w:rPr>
              <w:t>Water erosion / deposition</w:t>
            </w:r>
          </w:p>
          <w:p w14:paraId="20DF1EA4" w14:textId="77777777" w:rsidR="00132AFF" w:rsidRDefault="00132AFF">
            <w:pPr>
              <w:autoSpaceDE w:val="0"/>
              <w:autoSpaceDN w:val="0"/>
              <w:adjustRightInd w:val="0"/>
              <w:spacing w:after="0"/>
              <w:rPr>
                <w:sz w:val="22"/>
              </w:rPr>
            </w:pPr>
            <w:r w:rsidRPr="00DC5A78">
              <w:rPr>
                <w:sz w:val="22"/>
              </w:rPr>
              <w:t>Volcanic ash</w:t>
            </w:r>
          </w:p>
          <w:p w14:paraId="2AA74209" w14:textId="77777777" w:rsidR="00132AFF" w:rsidRPr="00DE4878" w:rsidRDefault="00132AFF">
            <w:pPr>
              <w:autoSpaceDE w:val="0"/>
              <w:autoSpaceDN w:val="0"/>
              <w:adjustRightInd w:val="0"/>
              <w:spacing w:after="0"/>
              <w:rPr>
                <w:sz w:val="22"/>
              </w:rPr>
            </w:pPr>
          </w:p>
        </w:tc>
      </w:tr>
      <w:tr w:rsidR="00287362" w:rsidRPr="00C25736" w14:paraId="6E9F2850" w14:textId="77777777" w:rsidTr="000D6BF8">
        <w:trPr>
          <w:trHeight w:val="113"/>
        </w:trPr>
        <w:tc>
          <w:tcPr>
            <w:tcW w:w="2836" w:type="dxa"/>
            <w:vAlign w:val="center"/>
            <w:hideMark/>
          </w:tcPr>
          <w:p w14:paraId="3FD01441" w14:textId="77777777" w:rsidR="00132AFF" w:rsidRPr="00DE4878" w:rsidRDefault="00132AFF">
            <w:pPr>
              <w:autoSpaceDE w:val="0"/>
              <w:autoSpaceDN w:val="0"/>
              <w:adjustRightInd w:val="0"/>
              <w:spacing w:after="0"/>
              <w:rPr>
                <w:sz w:val="22"/>
              </w:rPr>
            </w:pPr>
            <w:r w:rsidRPr="00DE4878">
              <w:rPr>
                <w:sz w:val="22"/>
              </w:rPr>
              <w:t>Fire</w:t>
            </w:r>
          </w:p>
        </w:tc>
        <w:tc>
          <w:tcPr>
            <w:tcW w:w="6378" w:type="dxa"/>
            <w:hideMark/>
          </w:tcPr>
          <w:p w14:paraId="2CA5C5B9" w14:textId="671B00D2" w:rsidR="00132AFF" w:rsidRPr="00DE4878" w:rsidRDefault="00132AFF">
            <w:pPr>
              <w:autoSpaceDE w:val="0"/>
              <w:autoSpaceDN w:val="0"/>
              <w:adjustRightInd w:val="0"/>
              <w:spacing w:after="0"/>
              <w:rPr>
                <w:sz w:val="22"/>
              </w:rPr>
            </w:pPr>
            <w:r w:rsidRPr="00DE4878">
              <w:rPr>
                <w:sz w:val="22"/>
              </w:rPr>
              <w:t xml:space="preserve">Forest fire, wildfire, burning of </w:t>
            </w:r>
            <w:r w:rsidR="009E25AF">
              <w:rPr>
                <w:sz w:val="22"/>
              </w:rPr>
              <w:t xml:space="preserve">coal </w:t>
            </w:r>
            <w:r w:rsidR="00B92EF3">
              <w:rPr>
                <w:sz w:val="22"/>
              </w:rPr>
              <w:t>strata,</w:t>
            </w:r>
            <w:r w:rsidR="00C23A47">
              <w:rPr>
                <w:sz w:val="22"/>
              </w:rPr>
              <w:t xml:space="preserve"> landfill,</w:t>
            </w:r>
            <w:r w:rsidR="00B92EF3">
              <w:rPr>
                <w:sz w:val="22"/>
              </w:rPr>
              <w:t xml:space="preserve"> </w:t>
            </w:r>
            <w:r w:rsidRPr="00DE4878">
              <w:rPr>
                <w:sz w:val="22"/>
              </w:rPr>
              <w:t>turf or peat</w:t>
            </w:r>
          </w:p>
        </w:tc>
      </w:tr>
      <w:tr w:rsidR="00287362" w:rsidRPr="00C25736" w14:paraId="629D6E91" w14:textId="77777777" w:rsidTr="000D6BF8">
        <w:trPr>
          <w:trHeight w:val="113"/>
        </w:trPr>
        <w:tc>
          <w:tcPr>
            <w:tcW w:w="2836" w:type="dxa"/>
            <w:vAlign w:val="center"/>
            <w:hideMark/>
          </w:tcPr>
          <w:p w14:paraId="6ADA8AA8" w14:textId="77777777" w:rsidR="00132AFF" w:rsidRPr="00DE4878" w:rsidRDefault="00132AFF">
            <w:pPr>
              <w:autoSpaceDE w:val="0"/>
              <w:autoSpaceDN w:val="0"/>
              <w:adjustRightInd w:val="0"/>
              <w:rPr>
                <w:sz w:val="22"/>
              </w:rPr>
            </w:pPr>
            <w:r w:rsidRPr="00DE4878">
              <w:rPr>
                <w:sz w:val="22"/>
              </w:rPr>
              <w:t>Man Made</w:t>
            </w:r>
          </w:p>
        </w:tc>
        <w:tc>
          <w:tcPr>
            <w:tcW w:w="6378" w:type="dxa"/>
            <w:hideMark/>
          </w:tcPr>
          <w:p w14:paraId="5D064A23" w14:textId="77777777" w:rsidR="00132AFF" w:rsidRDefault="00132AFF">
            <w:pPr>
              <w:autoSpaceDE w:val="0"/>
              <w:autoSpaceDN w:val="0"/>
              <w:adjustRightInd w:val="0"/>
              <w:spacing w:after="0"/>
              <w:rPr>
                <w:sz w:val="22"/>
              </w:rPr>
            </w:pPr>
            <w:r w:rsidRPr="00DE4878">
              <w:rPr>
                <w:sz w:val="22"/>
              </w:rPr>
              <w:t>Aircraft impact (accidental and malicious)</w:t>
            </w:r>
          </w:p>
          <w:p w14:paraId="55570B56" w14:textId="77777777" w:rsidR="00132AFF" w:rsidRDefault="00132AFF">
            <w:pPr>
              <w:autoSpaceDE w:val="0"/>
              <w:autoSpaceDN w:val="0"/>
              <w:adjustRightInd w:val="0"/>
              <w:spacing w:after="0"/>
              <w:rPr>
                <w:sz w:val="22"/>
              </w:rPr>
            </w:pPr>
            <w:r w:rsidRPr="00DC5A78">
              <w:rPr>
                <w:sz w:val="22"/>
              </w:rPr>
              <w:t>Hazards from nearby industrial sites – airborne</w:t>
            </w:r>
          </w:p>
          <w:p w14:paraId="075ACE4B" w14:textId="77777777" w:rsidR="00132AFF" w:rsidRDefault="00132AFF">
            <w:pPr>
              <w:autoSpaceDE w:val="0"/>
              <w:autoSpaceDN w:val="0"/>
              <w:adjustRightInd w:val="0"/>
              <w:spacing w:after="0"/>
              <w:rPr>
                <w:sz w:val="22"/>
              </w:rPr>
            </w:pPr>
            <w:r w:rsidRPr="00DC5A78">
              <w:rPr>
                <w:sz w:val="22"/>
              </w:rPr>
              <w:t>Hazards from adjacent nuclear sites</w:t>
            </w:r>
          </w:p>
          <w:p w14:paraId="41A8C3E0" w14:textId="11CEE59F" w:rsidR="00132AFF" w:rsidRDefault="00132AFF">
            <w:pPr>
              <w:autoSpaceDE w:val="0"/>
              <w:autoSpaceDN w:val="0"/>
              <w:adjustRightInd w:val="0"/>
              <w:spacing w:after="0"/>
              <w:rPr>
                <w:sz w:val="22"/>
              </w:rPr>
            </w:pPr>
            <w:r w:rsidRPr="00DC5A78">
              <w:rPr>
                <w:sz w:val="22"/>
              </w:rPr>
              <w:t xml:space="preserve">Hazards from industrial activity – underground </w:t>
            </w:r>
            <w:r w:rsidRPr="006B13A9">
              <w:rPr>
                <w:sz w:val="22"/>
              </w:rPr>
              <w:t>e.g.,</w:t>
            </w:r>
            <w:r w:rsidRPr="00DC5A78">
              <w:rPr>
                <w:sz w:val="22"/>
              </w:rPr>
              <w:t xml:space="preserve"> mining</w:t>
            </w:r>
            <w:r>
              <w:rPr>
                <w:sz w:val="22"/>
              </w:rPr>
              <w:t xml:space="preserve"> (inactive or active)</w:t>
            </w:r>
            <w:r w:rsidR="00703A80">
              <w:rPr>
                <w:sz w:val="22"/>
              </w:rPr>
              <w:t xml:space="preserve"> or cooling water e.g., contamination of watercourse</w:t>
            </w:r>
          </w:p>
          <w:p w14:paraId="026F3DCC" w14:textId="77777777" w:rsidR="00132AFF" w:rsidRDefault="00132AFF">
            <w:pPr>
              <w:autoSpaceDE w:val="0"/>
              <w:autoSpaceDN w:val="0"/>
              <w:adjustRightInd w:val="0"/>
              <w:spacing w:after="0"/>
              <w:rPr>
                <w:sz w:val="22"/>
              </w:rPr>
            </w:pPr>
            <w:r>
              <w:rPr>
                <w:sz w:val="22"/>
              </w:rPr>
              <w:lastRenderedPageBreak/>
              <w:t>Fires</w:t>
            </w:r>
          </w:p>
          <w:p w14:paraId="00A27149" w14:textId="77777777" w:rsidR="00132AFF" w:rsidRDefault="00132AFF">
            <w:pPr>
              <w:autoSpaceDE w:val="0"/>
              <w:autoSpaceDN w:val="0"/>
              <w:adjustRightInd w:val="0"/>
              <w:spacing w:after="0"/>
              <w:rPr>
                <w:sz w:val="22"/>
              </w:rPr>
            </w:pPr>
            <w:r>
              <w:rPr>
                <w:sz w:val="22"/>
              </w:rPr>
              <w:t>Missiles</w:t>
            </w:r>
          </w:p>
          <w:p w14:paraId="72E0BD82" w14:textId="77777777" w:rsidR="00132AFF" w:rsidRDefault="00132AFF">
            <w:pPr>
              <w:autoSpaceDE w:val="0"/>
              <w:autoSpaceDN w:val="0"/>
              <w:adjustRightInd w:val="0"/>
              <w:spacing w:after="0"/>
              <w:rPr>
                <w:sz w:val="22"/>
              </w:rPr>
            </w:pPr>
            <w:r w:rsidRPr="00DC5A78">
              <w:rPr>
                <w:sz w:val="22"/>
              </w:rPr>
              <w:t>Hazards from local road, rail and marine transport</w:t>
            </w:r>
          </w:p>
          <w:p w14:paraId="32D319B6" w14:textId="77777777" w:rsidR="00132AFF" w:rsidRDefault="00132AFF">
            <w:pPr>
              <w:autoSpaceDE w:val="0"/>
              <w:autoSpaceDN w:val="0"/>
              <w:adjustRightInd w:val="0"/>
              <w:spacing w:after="0"/>
              <w:rPr>
                <w:sz w:val="22"/>
              </w:rPr>
            </w:pPr>
            <w:r w:rsidRPr="00DC5A78">
              <w:rPr>
                <w:sz w:val="22"/>
              </w:rPr>
              <w:t>Electromagnetic interference</w:t>
            </w:r>
          </w:p>
          <w:p w14:paraId="678E1ABB" w14:textId="77777777" w:rsidR="00132AFF" w:rsidRDefault="00132AFF">
            <w:pPr>
              <w:autoSpaceDE w:val="0"/>
              <w:autoSpaceDN w:val="0"/>
              <w:adjustRightInd w:val="0"/>
              <w:spacing w:after="0"/>
              <w:rPr>
                <w:sz w:val="22"/>
              </w:rPr>
            </w:pPr>
            <w:r w:rsidRPr="00DC5A78">
              <w:rPr>
                <w:sz w:val="22"/>
              </w:rPr>
              <w:t>Hazards from local pipelines</w:t>
            </w:r>
          </w:p>
          <w:p w14:paraId="51A459F0" w14:textId="77777777" w:rsidR="00132AFF" w:rsidRDefault="00132AFF">
            <w:pPr>
              <w:autoSpaceDE w:val="0"/>
              <w:autoSpaceDN w:val="0"/>
              <w:adjustRightInd w:val="0"/>
              <w:spacing w:after="0"/>
              <w:rPr>
                <w:sz w:val="22"/>
              </w:rPr>
            </w:pPr>
            <w:r>
              <w:rPr>
                <w:sz w:val="22"/>
              </w:rPr>
              <w:t>Space Debris</w:t>
            </w:r>
          </w:p>
          <w:p w14:paraId="291B3C82" w14:textId="77777777" w:rsidR="00132AFF" w:rsidRDefault="00132AFF">
            <w:pPr>
              <w:autoSpaceDE w:val="0"/>
              <w:autoSpaceDN w:val="0"/>
              <w:adjustRightInd w:val="0"/>
              <w:spacing w:after="0"/>
              <w:rPr>
                <w:sz w:val="22"/>
              </w:rPr>
            </w:pPr>
            <w:r>
              <w:rPr>
                <w:sz w:val="22"/>
              </w:rPr>
              <w:t>Unexploded Ordnance</w:t>
            </w:r>
          </w:p>
          <w:p w14:paraId="14ED056C" w14:textId="77777777" w:rsidR="00132AFF" w:rsidRDefault="00132AFF">
            <w:pPr>
              <w:autoSpaceDE w:val="0"/>
              <w:autoSpaceDN w:val="0"/>
              <w:adjustRightInd w:val="0"/>
              <w:spacing w:after="0"/>
              <w:rPr>
                <w:sz w:val="22"/>
              </w:rPr>
            </w:pPr>
            <w:r w:rsidRPr="00DC5A78">
              <w:rPr>
                <w:sz w:val="22"/>
              </w:rPr>
              <w:t>Malicious activity</w:t>
            </w:r>
            <w:r w:rsidRPr="00DC5A78">
              <w:rPr>
                <w:sz w:val="22"/>
                <w:vertAlign w:val="superscript"/>
              </w:rPr>
              <w:t>+</w:t>
            </w:r>
          </w:p>
          <w:p w14:paraId="63F5AA91" w14:textId="77777777" w:rsidR="00132AFF" w:rsidRPr="00DE4878" w:rsidRDefault="00132AFF">
            <w:pPr>
              <w:autoSpaceDE w:val="0"/>
              <w:autoSpaceDN w:val="0"/>
              <w:adjustRightInd w:val="0"/>
              <w:rPr>
                <w:sz w:val="22"/>
              </w:rPr>
            </w:pPr>
          </w:p>
        </w:tc>
      </w:tr>
      <w:tr w:rsidR="00287362" w:rsidRPr="00C25736" w14:paraId="0332D68E" w14:textId="77777777" w:rsidTr="000D6BF8">
        <w:trPr>
          <w:trHeight w:val="113"/>
        </w:trPr>
        <w:tc>
          <w:tcPr>
            <w:tcW w:w="2836" w:type="dxa"/>
            <w:vAlign w:val="center"/>
            <w:hideMark/>
          </w:tcPr>
          <w:p w14:paraId="4CA78E1C" w14:textId="77777777" w:rsidR="00132AFF" w:rsidRPr="00DE4878" w:rsidRDefault="00132AFF">
            <w:pPr>
              <w:autoSpaceDE w:val="0"/>
              <w:autoSpaceDN w:val="0"/>
              <w:adjustRightInd w:val="0"/>
              <w:rPr>
                <w:sz w:val="22"/>
              </w:rPr>
            </w:pPr>
            <w:r w:rsidRPr="00DE4878">
              <w:rPr>
                <w:sz w:val="22"/>
              </w:rPr>
              <w:lastRenderedPageBreak/>
              <w:t>Other</w:t>
            </w:r>
          </w:p>
        </w:tc>
        <w:tc>
          <w:tcPr>
            <w:tcW w:w="6378" w:type="dxa"/>
            <w:hideMark/>
          </w:tcPr>
          <w:p w14:paraId="5303B56B" w14:textId="77777777" w:rsidR="00132AFF" w:rsidRDefault="00132AFF">
            <w:pPr>
              <w:autoSpaceDE w:val="0"/>
              <w:autoSpaceDN w:val="0"/>
              <w:adjustRightInd w:val="0"/>
              <w:spacing w:after="0"/>
              <w:rPr>
                <w:sz w:val="22"/>
              </w:rPr>
            </w:pPr>
            <w:r w:rsidRPr="00DE4878">
              <w:rPr>
                <w:sz w:val="22"/>
              </w:rPr>
              <w:t>Solar activity</w:t>
            </w:r>
          </w:p>
          <w:p w14:paraId="50539D44" w14:textId="77777777" w:rsidR="00132AFF" w:rsidRDefault="00132AFF">
            <w:pPr>
              <w:autoSpaceDE w:val="0"/>
              <w:autoSpaceDN w:val="0"/>
              <w:adjustRightInd w:val="0"/>
              <w:spacing w:after="0"/>
              <w:rPr>
                <w:sz w:val="22"/>
              </w:rPr>
            </w:pPr>
            <w:r>
              <w:rPr>
                <w:sz w:val="22"/>
              </w:rPr>
              <w:t>Meteorite</w:t>
            </w:r>
          </w:p>
          <w:p w14:paraId="32C519EA" w14:textId="77777777" w:rsidR="00132AFF" w:rsidRDefault="00132AFF">
            <w:pPr>
              <w:autoSpaceDE w:val="0"/>
              <w:autoSpaceDN w:val="0"/>
              <w:adjustRightInd w:val="0"/>
              <w:spacing w:after="0"/>
              <w:rPr>
                <w:sz w:val="22"/>
              </w:rPr>
            </w:pPr>
            <w:r w:rsidRPr="00DC5A78">
              <w:rPr>
                <w:sz w:val="22"/>
              </w:rPr>
              <w:t>EHs resulting from naturally occurring gases</w:t>
            </w:r>
          </w:p>
          <w:p w14:paraId="1B14ACB8" w14:textId="3FD89533" w:rsidR="00132AFF" w:rsidRPr="00DE4878" w:rsidRDefault="00132AFF">
            <w:pPr>
              <w:autoSpaceDE w:val="0"/>
              <w:autoSpaceDN w:val="0"/>
              <w:adjustRightInd w:val="0"/>
              <w:spacing w:after="0"/>
              <w:rPr>
                <w:sz w:val="22"/>
              </w:rPr>
            </w:pPr>
          </w:p>
        </w:tc>
      </w:tr>
    </w:tbl>
    <w:p w14:paraId="686A8BA6" w14:textId="274298F4" w:rsidR="00C57C25" w:rsidRPr="00175F54" w:rsidRDefault="00132AFF" w:rsidP="00175F54">
      <w:pPr>
        <w:numPr>
          <w:ilvl w:val="0"/>
          <w:numId w:val="57"/>
        </w:numPr>
        <w:tabs>
          <w:tab w:val="left" w:pos="720"/>
        </w:tabs>
        <w:spacing w:line="240" w:lineRule="auto"/>
        <w:ind w:left="426"/>
        <w:contextualSpacing/>
        <w:rPr>
          <w:rFonts w:eastAsia="Times New Roman" w:cs="Times New Roman"/>
          <w:sz w:val="20"/>
          <w:szCs w:val="20"/>
        </w:rPr>
      </w:pPr>
      <w:r w:rsidRPr="00175F54">
        <w:rPr>
          <w:rFonts w:eastAsia="Times New Roman" w:cs="Times New Roman"/>
          <w:sz w:val="20"/>
          <w:szCs w:val="20"/>
        </w:rPr>
        <w:t>This is an indicative summary of EHs known at the time of publication likely to be relevant to nuclear facilities. Other hazards may emerge in the future as knowledge of potential hazards advances, or environmental conditions change.</w:t>
      </w:r>
      <w:r w:rsidR="00175F54" w:rsidRPr="00175F54">
        <w:rPr>
          <w:rFonts w:eastAsia="Times New Roman" w:cs="Times New Roman"/>
          <w:sz w:val="20"/>
          <w:szCs w:val="20"/>
        </w:rPr>
        <w:t xml:space="preserve"> Furthermore, </w:t>
      </w:r>
      <w:r w:rsidR="00175F54">
        <w:rPr>
          <w:rFonts w:eastAsia="Times New Roman" w:cs="Times New Roman"/>
          <w:sz w:val="20"/>
          <w:szCs w:val="20"/>
        </w:rPr>
        <w:t>i</w:t>
      </w:r>
      <w:r w:rsidR="00A46157" w:rsidRPr="000D6BF8">
        <w:rPr>
          <w:rFonts w:eastAsia="Times New Roman"/>
          <w:sz w:val="20"/>
          <w:szCs w:val="20"/>
        </w:rPr>
        <w:t xml:space="preserve">nspectors should note that although some of the above hazards may not </w:t>
      </w:r>
      <w:r w:rsidR="00C57C25" w:rsidRPr="000D6BF8">
        <w:rPr>
          <w:rFonts w:eastAsia="Times New Roman"/>
          <w:sz w:val="20"/>
          <w:szCs w:val="20"/>
        </w:rPr>
        <w:t xml:space="preserve">have a direct impact on the facility, </w:t>
      </w:r>
      <w:r w:rsidR="00A46157" w:rsidRPr="000D6BF8">
        <w:rPr>
          <w:rFonts w:eastAsia="Times New Roman"/>
          <w:sz w:val="20"/>
          <w:szCs w:val="20"/>
        </w:rPr>
        <w:t>they</w:t>
      </w:r>
      <w:r w:rsidR="00C57C25" w:rsidRPr="000D6BF8">
        <w:rPr>
          <w:rFonts w:eastAsia="Times New Roman"/>
          <w:sz w:val="20"/>
          <w:szCs w:val="20"/>
        </w:rPr>
        <w:t xml:space="preserve"> could cause or exacerbate accidents through their wider systemic and cascading impacts.</w:t>
      </w:r>
    </w:p>
    <w:p w14:paraId="359757BD" w14:textId="0E7BBA56" w:rsidR="00132AFF" w:rsidRPr="00DE4878" w:rsidRDefault="00132AFF" w:rsidP="00132AFF">
      <w:pPr>
        <w:numPr>
          <w:ilvl w:val="0"/>
          <w:numId w:val="58"/>
        </w:numPr>
        <w:autoSpaceDE w:val="0"/>
        <w:autoSpaceDN w:val="0"/>
        <w:adjustRightInd w:val="0"/>
        <w:spacing w:after="0" w:line="240" w:lineRule="auto"/>
        <w:ind w:left="426"/>
        <w:contextualSpacing/>
        <w:rPr>
          <w:rFonts w:eastAsia="Times New Roman"/>
          <w:sz w:val="20"/>
          <w:szCs w:val="20"/>
        </w:rPr>
      </w:pPr>
      <w:r w:rsidRPr="00DE4878">
        <w:rPr>
          <w:rFonts w:eastAsia="Times New Roman"/>
          <w:sz w:val="20"/>
          <w:szCs w:val="20"/>
        </w:rPr>
        <w:t>These EHs refer to malicious activities</w:t>
      </w:r>
      <w:r w:rsidR="00EA334F">
        <w:rPr>
          <w:rFonts w:eastAsia="Times New Roman"/>
          <w:sz w:val="20"/>
          <w:szCs w:val="20"/>
        </w:rPr>
        <w:t xml:space="preserve"> other than aircraft impact,</w:t>
      </w:r>
      <w:r w:rsidRPr="00DE4878">
        <w:rPr>
          <w:rFonts w:eastAsia="Times New Roman"/>
          <w:sz w:val="20"/>
          <w:szCs w:val="20"/>
        </w:rPr>
        <w:t xml:space="preserve"> and are not covered further in this guide, refer to paragraph </w:t>
      </w:r>
      <w:r w:rsidRPr="00DE4878">
        <w:rPr>
          <w:rFonts w:eastAsia="Times New Roman"/>
          <w:sz w:val="20"/>
          <w:szCs w:val="20"/>
        </w:rPr>
        <w:fldChar w:fldCharType="begin"/>
      </w:r>
      <w:r w:rsidRPr="00DE4878">
        <w:rPr>
          <w:rFonts w:eastAsia="Times New Roman"/>
          <w:sz w:val="20"/>
          <w:szCs w:val="20"/>
        </w:rPr>
        <w:instrText xml:space="preserve"> REF _Ref502895437 \r \h  \* MERGEFORMAT </w:instrText>
      </w:r>
      <w:r w:rsidRPr="00DE4878">
        <w:rPr>
          <w:rFonts w:eastAsia="Times New Roman"/>
          <w:sz w:val="20"/>
          <w:szCs w:val="20"/>
        </w:rPr>
      </w:r>
      <w:r w:rsidRPr="00DE4878">
        <w:rPr>
          <w:rFonts w:eastAsia="Times New Roman"/>
          <w:sz w:val="20"/>
          <w:szCs w:val="20"/>
        </w:rPr>
        <w:fldChar w:fldCharType="separate"/>
      </w:r>
      <w:r w:rsidR="008B51F7">
        <w:rPr>
          <w:rFonts w:eastAsia="Times New Roman"/>
          <w:sz w:val="20"/>
          <w:szCs w:val="20"/>
        </w:rPr>
        <w:t>16</w:t>
      </w:r>
      <w:r w:rsidRPr="00DE4878">
        <w:rPr>
          <w:rFonts w:eastAsia="Times New Roman"/>
          <w:sz w:val="20"/>
          <w:szCs w:val="20"/>
        </w:rPr>
        <w:fldChar w:fldCharType="end"/>
      </w:r>
      <w:r w:rsidRPr="00DE4878">
        <w:rPr>
          <w:rFonts w:eastAsia="Times New Roman"/>
          <w:sz w:val="20"/>
          <w:szCs w:val="20"/>
        </w:rPr>
        <w:t>.</w:t>
      </w:r>
    </w:p>
    <w:p w14:paraId="0A0DC4F5" w14:textId="77777777" w:rsidR="00132AFF" w:rsidRDefault="00132AFF" w:rsidP="00132AFF">
      <w:pPr>
        <w:autoSpaceDE w:val="0"/>
        <w:autoSpaceDN w:val="0"/>
        <w:adjustRightInd w:val="0"/>
        <w:spacing w:after="0" w:line="240" w:lineRule="auto"/>
        <w:contextualSpacing/>
        <w:rPr>
          <w:rFonts w:eastAsia="Times New Roman"/>
        </w:rPr>
      </w:pPr>
    </w:p>
    <w:p w14:paraId="4D498F92" w14:textId="77777777" w:rsidR="00132AFF" w:rsidRDefault="00132AFF" w:rsidP="00132AFF">
      <w:pPr>
        <w:autoSpaceDE w:val="0"/>
        <w:autoSpaceDN w:val="0"/>
        <w:adjustRightInd w:val="0"/>
        <w:spacing w:after="0" w:line="240" w:lineRule="auto"/>
        <w:contextualSpacing/>
        <w:rPr>
          <w:rFonts w:eastAsia="Times New Roman"/>
        </w:rPr>
      </w:pPr>
    </w:p>
    <w:p w14:paraId="1A15A018" w14:textId="77777777" w:rsidR="00132AFF" w:rsidRDefault="00132AFF" w:rsidP="00132AFF">
      <w:pPr>
        <w:autoSpaceDE w:val="0"/>
        <w:autoSpaceDN w:val="0"/>
        <w:adjustRightInd w:val="0"/>
        <w:spacing w:after="0" w:line="240" w:lineRule="auto"/>
        <w:contextualSpacing/>
        <w:rPr>
          <w:rFonts w:eastAsia="Times New Roman"/>
        </w:rPr>
      </w:pPr>
    </w:p>
    <w:p w14:paraId="4AAB7A35" w14:textId="77777777" w:rsidR="00132AFF" w:rsidRDefault="00132AFF" w:rsidP="00132AFF">
      <w:pPr>
        <w:autoSpaceDE w:val="0"/>
        <w:autoSpaceDN w:val="0"/>
        <w:adjustRightInd w:val="0"/>
        <w:spacing w:after="0" w:line="240" w:lineRule="auto"/>
        <w:contextualSpacing/>
        <w:rPr>
          <w:rFonts w:eastAsia="Times New Roman"/>
        </w:rPr>
      </w:pPr>
    </w:p>
    <w:p w14:paraId="2F7C13A7" w14:textId="77777777" w:rsidR="00132AFF" w:rsidRDefault="00132AFF" w:rsidP="00132AFF">
      <w:pPr>
        <w:autoSpaceDE w:val="0"/>
        <w:autoSpaceDN w:val="0"/>
        <w:adjustRightInd w:val="0"/>
        <w:spacing w:after="0" w:line="240" w:lineRule="auto"/>
        <w:contextualSpacing/>
        <w:rPr>
          <w:rFonts w:eastAsia="Times New Roman"/>
        </w:rPr>
      </w:pPr>
    </w:p>
    <w:p w14:paraId="460AC3B0" w14:textId="77777777" w:rsidR="00132AFF" w:rsidRDefault="00132AFF" w:rsidP="00132AFF">
      <w:pPr>
        <w:autoSpaceDE w:val="0"/>
        <w:autoSpaceDN w:val="0"/>
        <w:adjustRightInd w:val="0"/>
        <w:spacing w:after="0" w:line="240" w:lineRule="auto"/>
        <w:contextualSpacing/>
        <w:rPr>
          <w:rFonts w:eastAsia="Times New Roman"/>
        </w:rPr>
      </w:pPr>
    </w:p>
    <w:p w14:paraId="2601FE7F" w14:textId="77777777" w:rsidR="00132AFF" w:rsidRDefault="00132AFF" w:rsidP="00132AFF">
      <w:pPr>
        <w:autoSpaceDE w:val="0"/>
        <w:autoSpaceDN w:val="0"/>
        <w:adjustRightInd w:val="0"/>
        <w:spacing w:after="0" w:line="240" w:lineRule="auto"/>
        <w:contextualSpacing/>
        <w:rPr>
          <w:rFonts w:eastAsia="Times New Roman"/>
        </w:rPr>
      </w:pPr>
    </w:p>
    <w:p w14:paraId="358D1385" w14:textId="77777777" w:rsidR="00132AFF" w:rsidRDefault="00132AFF" w:rsidP="00132AFF">
      <w:pPr>
        <w:autoSpaceDE w:val="0"/>
        <w:autoSpaceDN w:val="0"/>
        <w:adjustRightInd w:val="0"/>
        <w:spacing w:after="0" w:line="240" w:lineRule="auto"/>
        <w:contextualSpacing/>
        <w:rPr>
          <w:rFonts w:eastAsia="Times New Roman"/>
        </w:rPr>
      </w:pPr>
    </w:p>
    <w:p w14:paraId="0032B6CD" w14:textId="77777777" w:rsidR="00132AFF" w:rsidRDefault="00132AFF" w:rsidP="00132AFF">
      <w:pPr>
        <w:autoSpaceDE w:val="0"/>
        <w:autoSpaceDN w:val="0"/>
        <w:adjustRightInd w:val="0"/>
        <w:spacing w:after="0" w:line="240" w:lineRule="auto"/>
        <w:contextualSpacing/>
        <w:rPr>
          <w:rFonts w:eastAsia="Times New Roman"/>
        </w:rPr>
      </w:pPr>
    </w:p>
    <w:p w14:paraId="349B9603" w14:textId="77777777" w:rsidR="00132AFF" w:rsidRDefault="00132AFF" w:rsidP="00132AFF">
      <w:pPr>
        <w:autoSpaceDE w:val="0"/>
        <w:autoSpaceDN w:val="0"/>
        <w:adjustRightInd w:val="0"/>
        <w:spacing w:after="0" w:line="240" w:lineRule="auto"/>
        <w:contextualSpacing/>
        <w:rPr>
          <w:rFonts w:eastAsia="Times New Roman"/>
        </w:rPr>
      </w:pPr>
    </w:p>
    <w:p w14:paraId="4FD6CC21" w14:textId="77777777" w:rsidR="00132AFF" w:rsidRDefault="00132AFF" w:rsidP="00132AFF">
      <w:pPr>
        <w:autoSpaceDE w:val="0"/>
        <w:autoSpaceDN w:val="0"/>
        <w:adjustRightInd w:val="0"/>
        <w:spacing w:after="0" w:line="240" w:lineRule="auto"/>
        <w:contextualSpacing/>
        <w:rPr>
          <w:rFonts w:eastAsia="Times New Roman"/>
        </w:rPr>
      </w:pPr>
    </w:p>
    <w:p w14:paraId="7E61EA72" w14:textId="77777777" w:rsidR="00132AFF" w:rsidRDefault="00132AFF" w:rsidP="00132AFF">
      <w:pPr>
        <w:autoSpaceDE w:val="0"/>
        <w:autoSpaceDN w:val="0"/>
        <w:adjustRightInd w:val="0"/>
        <w:spacing w:after="0" w:line="240" w:lineRule="auto"/>
        <w:contextualSpacing/>
        <w:rPr>
          <w:rFonts w:eastAsia="Times New Roman"/>
        </w:rPr>
      </w:pPr>
    </w:p>
    <w:p w14:paraId="0D6C1D2A" w14:textId="77777777" w:rsidR="00132AFF" w:rsidRDefault="00132AFF" w:rsidP="00132AFF">
      <w:pPr>
        <w:autoSpaceDE w:val="0"/>
        <w:autoSpaceDN w:val="0"/>
        <w:adjustRightInd w:val="0"/>
        <w:spacing w:after="0" w:line="240" w:lineRule="auto"/>
        <w:contextualSpacing/>
        <w:rPr>
          <w:rFonts w:eastAsia="Times New Roman"/>
        </w:rPr>
      </w:pPr>
    </w:p>
    <w:p w14:paraId="07A79094" w14:textId="77777777" w:rsidR="00132AFF" w:rsidRDefault="00132AFF" w:rsidP="00132AFF">
      <w:pPr>
        <w:autoSpaceDE w:val="0"/>
        <w:autoSpaceDN w:val="0"/>
        <w:adjustRightInd w:val="0"/>
        <w:spacing w:after="0" w:line="240" w:lineRule="auto"/>
        <w:contextualSpacing/>
        <w:rPr>
          <w:rFonts w:eastAsia="Times New Roman"/>
        </w:rPr>
      </w:pPr>
    </w:p>
    <w:p w14:paraId="426239B5" w14:textId="77777777" w:rsidR="00132AFF" w:rsidRDefault="00132AFF" w:rsidP="00132AFF">
      <w:pPr>
        <w:autoSpaceDE w:val="0"/>
        <w:autoSpaceDN w:val="0"/>
        <w:adjustRightInd w:val="0"/>
        <w:spacing w:after="0" w:line="240" w:lineRule="auto"/>
        <w:contextualSpacing/>
        <w:rPr>
          <w:rFonts w:eastAsia="Times New Roman"/>
        </w:rPr>
      </w:pPr>
    </w:p>
    <w:p w14:paraId="4D4CBA95" w14:textId="77777777" w:rsidR="00132AFF" w:rsidRDefault="00132AFF" w:rsidP="00132AFF">
      <w:pPr>
        <w:autoSpaceDE w:val="0"/>
        <w:autoSpaceDN w:val="0"/>
        <w:adjustRightInd w:val="0"/>
        <w:spacing w:after="0" w:line="240" w:lineRule="auto"/>
        <w:contextualSpacing/>
        <w:rPr>
          <w:rFonts w:eastAsia="Times New Roman"/>
        </w:rPr>
      </w:pPr>
    </w:p>
    <w:p w14:paraId="139EBA34" w14:textId="77777777" w:rsidR="00132AFF" w:rsidRDefault="00132AFF" w:rsidP="00132AFF">
      <w:pPr>
        <w:autoSpaceDE w:val="0"/>
        <w:autoSpaceDN w:val="0"/>
        <w:adjustRightInd w:val="0"/>
        <w:spacing w:after="0" w:line="240" w:lineRule="auto"/>
        <w:contextualSpacing/>
        <w:rPr>
          <w:rFonts w:eastAsia="Times New Roman"/>
        </w:rPr>
      </w:pPr>
    </w:p>
    <w:p w14:paraId="4B5A08B9" w14:textId="77777777" w:rsidR="00132AFF" w:rsidRDefault="00132AFF" w:rsidP="00132AFF">
      <w:pPr>
        <w:autoSpaceDE w:val="0"/>
        <w:autoSpaceDN w:val="0"/>
        <w:adjustRightInd w:val="0"/>
        <w:spacing w:after="0" w:line="240" w:lineRule="auto"/>
        <w:contextualSpacing/>
        <w:rPr>
          <w:rFonts w:eastAsia="Times New Roman"/>
        </w:rPr>
      </w:pPr>
    </w:p>
    <w:p w14:paraId="580D8503" w14:textId="77777777" w:rsidR="00132AFF" w:rsidRDefault="00132AFF" w:rsidP="00132AFF">
      <w:pPr>
        <w:autoSpaceDE w:val="0"/>
        <w:autoSpaceDN w:val="0"/>
        <w:adjustRightInd w:val="0"/>
        <w:spacing w:after="0" w:line="240" w:lineRule="auto"/>
        <w:contextualSpacing/>
        <w:rPr>
          <w:rFonts w:eastAsia="Times New Roman"/>
        </w:rPr>
      </w:pPr>
    </w:p>
    <w:p w14:paraId="19B49BD5" w14:textId="77777777" w:rsidR="00132AFF" w:rsidRDefault="00132AFF" w:rsidP="00132AFF">
      <w:pPr>
        <w:autoSpaceDE w:val="0"/>
        <w:autoSpaceDN w:val="0"/>
        <w:adjustRightInd w:val="0"/>
        <w:spacing w:after="0" w:line="240" w:lineRule="auto"/>
        <w:contextualSpacing/>
        <w:rPr>
          <w:rFonts w:eastAsia="Times New Roman"/>
        </w:rPr>
      </w:pPr>
    </w:p>
    <w:p w14:paraId="40CB08C1" w14:textId="77777777" w:rsidR="00132AFF" w:rsidRDefault="00132AFF" w:rsidP="00132AFF">
      <w:pPr>
        <w:autoSpaceDE w:val="0"/>
        <w:autoSpaceDN w:val="0"/>
        <w:adjustRightInd w:val="0"/>
        <w:spacing w:after="0" w:line="240" w:lineRule="auto"/>
        <w:contextualSpacing/>
        <w:rPr>
          <w:rFonts w:eastAsia="Times New Roman"/>
        </w:rPr>
      </w:pPr>
    </w:p>
    <w:p w14:paraId="481BADCD" w14:textId="77777777" w:rsidR="00132AFF" w:rsidRDefault="00132AFF" w:rsidP="00132AFF">
      <w:pPr>
        <w:autoSpaceDE w:val="0"/>
        <w:autoSpaceDN w:val="0"/>
        <w:adjustRightInd w:val="0"/>
        <w:spacing w:after="0" w:line="240" w:lineRule="auto"/>
        <w:contextualSpacing/>
        <w:rPr>
          <w:rFonts w:eastAsia="Times New Roman"/>
        </w:rPr>
      </w:pPr>
    </w:p>
    <w:p w14:paraId="68E77B92" w14:textId="77777777" w:rsidR="00132AFF" w:rsidRDefault="00132AFF" w:rsidP="00132AFF">
      <w:pPr>
        <w:autoSpaceDE w:val="0"/>
        <w:autoSpaceDN w:val="0"/>
        <w:adjustRightInd w:val="0"/>
        <w:spacing w:after="0" w:line="240" w:lineRule="auto"/>
        <w:contextualSpacing/>
        <w:rPr>
          <w:rFonts w:eastAsia="Times New Roman"/>
        </w:rPr>
      </w:pPr>
    </w:p>
    <w:p w14:paraId="137C71AC" w14:textId="77777777" w:rsidR="00132AFF" w:rsidRDefault="00132AFF" w:rsidP="00132AFF">
      <w:pPr>
        <w:autoSpaceDE w:val="0"/>
        <w:autoSpaceDN w:val="0"/>
        <w:adjustRightInd w:val="0"/>
        <w:spacing w:after="0" w:line="240" w:lineRule="auto"/>
        <w:contextualSpacing/>
        <w:rPr>
          <w:rFonts w:eastAsia="Times New Roman"/>
        </w:rPr>
      </w:pPr>
    </w:p>
    <w:p w14:paraId="2821A0F6" w14:textId="77777777" w:rsidR="00132AFF" w:rsidRDefault="00132AFF" w:rsidP="00132AFF">
      <w:pPr>
        <w:autoSpaceDE w:val="0"/>
        <w:autoSpaceDN w:val="0"/>
        <w:adjustRightInd w:val="0"/>
        <w:spacing w:after="0" w:line="240" w:lineRule="auto"/>
        <w:contextualSpacing/>
        <w:rPr>
          <w:rFonts w:eastAsia="Times New Roman"/>
        </w:rPr>
      </w:pPr>
    </w:p>
    <w:p w14:paraId="2D28D02A" w14:textId="77777777" w:rsidR="00132AFF" w:rsidRDefault="00132AFF" w:rsidP="00132AFF">
      <w:pPr>
        <w:autoSpaceDE w:val="0"/>
        <w:autoSpaceDN w:val="0"/>
        <w:adjustRightInd w:val="0"/>
        <w:spacing w:after="0" w:line="240" w:lineRule="auto"/>
        <w:contextualSpacing/>
        <w:rPr>
          <w:rFonts w:eastAsia="Times New Roman"/>
        </w:rPr>
      </w:pPr>
    </w:p>
    <w:p w14:paraId="11C6AA16" w14:textId="77777777" w:rsidR="00132AFF" w:rsidRDefault="00132AFF" w:rsidP="00132AFF">
      <w:pPr>
        <w:autoSpaceDE w:val="0"/>
        <w:autoSpaceDN w:val="0"/>
        <w:adjustRightInd w:val="0"/>
        <w:spacing w:after="0" w:line="240" w:lineRule="auto"/>
        <w:contextualSpacing/>
        <w:rPr>
          <w:rFonts w:eastAsia="Times New Roman"/>
        </w:rPr>
      </w:pPr>
    </w:p>
    <w:p w14:paraId="0D77C4C5" w14:textId="77777777" w:rsidR="00132AFF" w:rsidRDefault="00132AFF" w:rsidP="00132AFF">
      <w:pPr>
        <w:autoSpaceDE w:val="0"/>
        <w:autoSpaceDN w:val="0"/>
        <w:adjustRightInd w:val="0"/>
        <w:spacing w:after="0" w:line="240" w:lineRule="auto"/>
        <w:contextualSpacing/>
        <w:rPr>
          <w:rFonts w:eastAsia="Times New Roman"/>
        </w:rPr>
      </w:pPr>
    </w:p>
    <w:p w14:paraId="46C46493" w14:textId="77777777" w:rsidR="00132AFF" w:rsidRDefault="00132AFF" w:rsidP="00132AFF">
      <w:pPr>
        <w:autoSpaceDE w:val="0"/>
        <w:autoSpaceDN w:val="0"/>
        <w:adjustRightInd w:val="0"/>
        <w:spacing w:after="0" w:line="240" w:lineRule="auto"/>
        <w:contextualSpacing/>
        <w:rPr>
          <w:rFonts w:eastAsia="Times New Roman"/>
        </w:rPr>
      </w:pPr>
    </w:p>
    <w:p w14:paraId="77533F47" w14:textId="77777777" w:rsidR="00132AFF" w:rsidRDefault="00132AFF" w:rsidP="00132AFF">
      <w:pPr>
        <w:autoSpaceDE w:val="0"/>
        <w:autoSpaceDN w:val="0"/>
        <w:adjustRightInd w:val="0"/>
        <w:spacing w:after="0" w:line="240" w:lineRule="auto"/>
        <w:contextualSpacing/>
        <w:rPr>
          <w:rFonts w:eastAsia="Times New Roman"/>
        </w:rPr>
      </w:pPr>
    </w:p>
    <w:p w14:paraId="4FAF8BDD" w14:textId="77777777" w:rsidR="00132AFF" w:rsidRDefault="00132AFF" w:rsidP="00132AFF">
      <w:pPr>
        <w:autoSpaceDE w:val="0"/>
        <w:autoSpaceDN w:val="0"/>
        <w:adjustRightInd w:val="0"/>
        <w:spacing w:after="0" w:line="240" w:lineRule="auto"/>
        <w:contextualSpacing/>
        <w:rPr>
          <w:rFonts w:eastAsia="Times New Roman"/>
        </w:rPr>
      </w:pPr>
    </w:p>
    <w:p w14:paraId="1C958DE8" w14:textId="77777777" w:rsidR="00132AFF" w:rsidRDefault="00132AFF" w:rsidP="00132AFF">
      <w:pPr>
        <w:autoSpaceDE w:val="0"/>
        <w:autoSpaceDN w:val="0"/>
        <w:adjustRightInd w:val="0"/>
        <w:spacing w:after="0" w:line="240" w:lineRule="auto"/>
        <w:contextualSpacing/>
        <w:rPr>
          <w:rFonts w:eastAsia="Times New Roman"/>
        </w:rPr>
      </w:pPr>
    </w:p>
    <w:p w14:paraId="3071B0FC" w14:textId="77777777" w:rsidR="00132AFF" w:rsidRDefault="00132AFF" w:rsidP="00132AFF">
      <w:pPr>
        <w:autoSpaceDE w:val="0"/>
        <w:autoSpaceDN w:val="0"/>
        <w:adjustRightInd w:val="0"/>
        <w:spacing w:after="0" w:line="240" w:lineRule="auto"/>
        <w:contextualSpacing/>
        <w:rPr>
          <w:rFonts w:eastAsia="Times New Roman"/>
        </w:rPr>
      </w:pPr>
    </w:p>
    <w:p w14:paraId="149F73C3" w14:textId="77777777" w:rsidR="00132AFF" w:rsidRDefault="00132AFF" w:rsidP="00132AFF">
      <w:pPr>
        <w:autoSpaceDE w:val="0"/>
        <w:autoSpaceDN w:val="0"/>
        <w:adjustRightInd w:val="0"/>
        <w:spacing w:after="0" w:line="240" w:lineRule="auto"/>
        <w:contextualSpacing/>
        <w:rPr>
          <w:rFonts w:eastAsia="Times New Roman"/>
        </w:rPr>
      </w:pPr>
    </w:p>
    <w:p w14:paraId="4428CCDE" w14:textId="65EFF921" w:rsidR="00132AFF" w:rsidRDefault="00132AFF" w:rsidP="00132AFF">
      <w:pPr>
        <w:pStyle w:val="Caption"/>
        <w:keepNext/>
      </w:pPr>
      <w:bookmarkStart w:id="937" w:name="_Toc140137291"/>
      <w:r>
        <w:lastRenderedPageBreak/>
        <w:t xml:space="preserve">Table </w:t>
      </w:r>
      <w:fldSimple w:instr=" SEQ Table \* ARABIC ">
        <w:r w:rsidR="008B51F7">
          <w:rPr>
            <w:noProof/>
          </w:rPr>
          <w:t>3</w:t>
        </w:r>
      </w:fldSimple>
      <w:r>
        <w:t>: Interfaces between external hazards and other disciplines</w:t>
      </w:r>
      <w:bookmarkEnd w:id="937"/>
    </w:p>
    <w:tbl>
      <w:tblPr>
        <w:tblStyle w:val="TableGrid"/>
        <w:tblW w:w="0" w:type="auto"/>
        <w:jc w:val="center"/>
        <w:tblBorders>
          <w:top w:val="single" w:sz="4" w:space="0" w:color="999999" w:themeColor="text2" w:themeTint="66"/>
          <w:left w:val="single" w:sz="4" w:space="0" w:color="999999" w:themeColor="text2" w:themeTint="66"/>
          <w:bottom w:val="single" w:sz="4" w:space="0" w:color="999999" w:themeColor="text2" w:themeTint="66"/>
          <w:right w:val="single" w:sz="4" w:space="0" w:color="999999" w:themeColor="text2" w:themeTint="66"/>
          <w:insideH w:val="single" w:sz="4" w:space="0" w:color="999999" w:themeColor="text2" w:themeTint="66"/>
          <w:insideV w:val="single" w:sz="4" w:space="0" w:color="999999" w:themeColor="text2" w:themeTint="66"/>
        </w:tblBorders>
        <w:tblLook w:val="04A0" w:firstRow="1" w:lastRow="0" w:firstColumn="1" w:lastColumn="0" w:noHBand="0" w:noVBand="1"/>
      </w:tblPr>
      <w:tblGrid>
        <w:gridCol w:w="2901"/>
        <w:gridCol w:w="5651"/>
      </w:tblGrid>
      <w:tr w:rsidR="00132AFF" w:rsidRPr="00C25736" w14:paraId="7379D979" w14:textId="77777777">
        <w:trPr>
          <w:jc w:val="center"/>
        </w:trPr>
        <w:tc>
          <w:tcPr>
            <w:tcW w:w="2901" w:type="dxa"/>
            <w:shd w:val="clear" w:color="auto" w:fill="D4EFE5"/>
            <w:hideMark/>
          </w:tcPr>
          <w:p w14:paraId="6C482FFF" w14:textId="77777777" w:rsidR="00132AFF" w:rsidRPr="00C25736" w:rsidRDefault="00132AFF">
            <w:pPr>
              <w:rPr>
                <w:b/>
                <w:szCs w:val="24"/>
              </w:rPr>
            </w:pPr>
            <w:bookmarkStart w:id="938" w:name="_Toc473128049"/>
            <w:bookmarkStart w:id="939" w:name="_Toc473126429"/>
            <w:r w:rsidRPr="00C25736">
              <w:rPr>
                <w:b/>
                <w:szCs w:val="24"/>
              </w:rPr>
              <w:t>External Hazards interfaces with</w:t>
            </w:r>
            <w:bookmarkEnd w:id="938"/>
            <w:bookmarkEnd w:id="939"/>
          </w:p>
        </w:tc>
        <w:tc>
          <w:tcPr>
            <w:tcW w:w="5651" w:type="dxa"/>
            <w:shd w:val="clear" w:color="auto" w:fill="D4EFE5"/>
            <w:hideMark/>
          </w:tcPr>
          <w:p w14:paraId="28663130" w14:textId="77777777" w:rsidR="00132AFF" w:rsidRPr="00C25736" w:rsidRDefault="00132AFF">
            <w:pPr>
              <w:rPr>
                <w:b/>
                <w:szCs w:val="24"/>
              </w:rPr>
            </w:pPr>
            <w:bookmarkStart w:id="940" w:name="_Toc473128050"/>
            <w:bookmarkStart w:id="941" w:name="_Toc473126430"/>
            <w:r w:rsidRPr="00C25736">
              <w:rPr>
                <w:b/>
                <w:szCs w:val="24"/>
              </w:rPr>
              <w:t>Interface technical issues relevant to External Hazards</w:t>
            </w:r>
            <w:bookmarkEnd w:id="940"/>
            <w:bookmarkEnd w:id="941"/>
          </w:p>
        </w:tc>
      </w:tr>
      <w:tr w:rsidR="00132AFF" w:rsidRPr="00C25736" w14:paraId="30F428D0" w14:textId="77777777" w:rsidTr="000D6BF8">
        <w:trPr>
          <w:jc w:val="center"/>
        </w:trPr>
        <w:tc>
          <w:tcPr>
            <w:tcW w:w="2901" w:type="dxa"/>
            <w:vAlign w:val="center"/>
            <w:hideMark/>
          </w:tcPr>
          <w:p w14:paraId="2498EB66" w14:textId="77777777" w:rsidR="00132AFF" w:rsidRPr="00DE4878" w:rsidRDefault="00132AFF">
            <w:pPr>
              <w:rPr>
                <w:sz w:val="22"/>
              </w:rPr>
            </w:pPr>
            <w:bookmarkStart w:id="942" w:name="_Toc473128051"/>
            <w:bookmarkStart w:id="943" w:name="_Toc473126431"/>
            <w:r w:rsidRPr="00DE4878">
              <w:rPr>
                <w:sz w:val="22"/>
              </w:rPr>
              <w:t>Fault Studies</w:t>
            </w:r>
            <w:bookmarkEnd w:id="942"/>
            <w:bookmarkEnd w:id="943"/>
          </w:p>
        </w:tc>
        <w:tc>
          <w:tcPr>
            <w:tcW w:w="5651" w:type="dxa"/>
            <w:hideMark/>
          </w:tcPr>
          <w:p w14:paraId="198B6606" w14:textId="77777777" w:rsidR="00132AFF" w:rsidRPr="00DE4878" w:rsidRDefault="00132AFF">
            <w:pPr>
              <w:spacing w:after="0"/>
              <w:rPr>
                <w:sz w:val="22"/>
              </w:rPr>
            </w:pPr>
            <w:bookmarkStart w:id="944" w:name="_Toc473128052"/>
            <w:bookmarkStart w:id="945" w:name="_Toc473126432"/>
            <w:r w:rsidRPr="00DE4878">
              <w:rPr>
                <w:sz w:val="22"/>
              </w:rPr>
              <w:t>Fault initiation / identification</w:t>
            </w:r>
            <w:bookmarkEnd w:id="944"/>
            <w:bookmarkEnd w:id="945"/>
          </w:p>
          <w:p w14:paraId="13D5AFFA" w14:textId="77777777" w:rsidR="00132AFF" w:rsidRPr="00DE4878" w:rsidRDefault="00132AFF">
            <w:pPr>
              <w:spacing w:after="0"/>
              <w:rPr>
                <w:sz w:val="22"/>
              </w:rPr>
            </w:pPr>
            <w:bookmarkStart w:id="946" w:name="_Toc473128053"/>
            <w:bookmarkStart w:id="947" w:name="_Toc473126433"/>
            <w:r w:rsidRPr="00DE4878">
              <w:rPr>
                <w:sz w:val="22"/>
              </w:rPr>
              <w:t>Fault schedule</w:t>
            </w:r>
            <w:bookmarkEnd w:id="946"/>
            <w:bookmarkEnd w:id="947"/>
          </w:p>
          <w:p w14:paraId="07CCBB5A" w14:textId="77777777" w:rsidR="00132AFF" w:rsidRPr="00DE4878" w:rsidRDefault="00132AFF">
            <w:pPr>
              <w:spacing w:after="0"/>
              <w:rPr>
                <w:sz w:val="22"/>
              </w:rPr>
            </w:pPr>
            <w:bookmarkStart w:id="948" w:name="_Toc473128054"/>
            <w:bookmarkStart w:id="949" w:name="_Toc473126434"/>
            <w:r w:rsidRPr="00DE4878">
              <w:rPr>
                <w:sz w:val="22"/>
              </w:rPr>
              <w:t>Fault sequence analysis</w:t>
            </w:r>
            <w:bookmarkEnd w:id="948"/>
            <w:bookmarkEnd w:id="949"/>
          </w:p>
          <w:p w14:paraId="543C21A5" w14:textId="77777777" w:rsidR="00132AFF" w:rsidRPr="00DE4878" w:rsidRDefault="00132AFF">
            <w:pPr>
              <w:spacing w:after="0"/>
              <w:rPr>
                <w:sz w:val="22"/>
              </w:rPr>
            </w:pPr>
            <w:bookmarkStart w:id="950" w:name="_Toc473128055"/>
            <w:bookmarkStart w:id="951" w:name="_Toc473126435"/>
            <w:r w:rsidRPr="00DE4878">
              <w:rPr>
                <w:sz w:val="22"/>
              </w:rPr>
              <w:t>Plant model (common cause failures)</w:t>
            </w:r>
            <w:bookmarkEnd w:id="950"/>
            <w:bookmarkEnd w:id="951"/>
          </w:p>
          <w:p w14:paraId="21E38864" w14:textId="77777777" w:rsidR="00132AFF" w:rsidRPr="00DE4878" w:rsidRDefault="00132AFF">
            <w:pPr>
              <w:spacing w:after="0"/>
              <w:rPr>
                <w:sz w:val="22"/>
              </w:rPr>
            </w:pPr>
            <w:bookmarkStart w:id="952" w:name="_Toc473128056"/>
            <w:bookmarkStart w:id="953" w:name="_Toc473126436"/>
            <w:r w:rsidRPr="00DE4878">
              <w:rPr>
                <w:sz w:val="22"/>
              </w:rPr>
              <w:t>Protection concept (barrier requirements)</w:t>
            </w:r>
            <w:bookmarkEnd w:id="952"/>
            <w:bookmarkEnd w:id="953"/>
          </w:p>
        </w:tc>
      </w:tr>
      <w:tr w:rsidR="00132AFF" w:rsidRPr="00C25736" w14:paraId="5E8E98A3" w14:textId="77777777" w:rsidTr="000D6BF8">
        <w:trPr>
          <w:jc w:val="center"/>
        </w:trPr>
        <w:tc>
          <w:tcPr>
            <w:tcW w:w="2901" w:type="dxa"/>
            <w:vAlign w:val="center"/>
            <w:hideMark/>
          </w:tcPr>
          <w:p w14:paraId="21CE8E27" w14:textId="77777777" w:rsidR="00132AFF" w:rsidRPr="00DE4878" w:rsidRDefault="00132AFF">
            <w:pPr>
              <w:rPr>
                <w:sz w:val="22"/>
              </w:rPr>
            </w:pPr>
            <w:bookmarkStart w:id="954" w:name="_Toc473128057"/>
            <w:bookmarkStart w:id="955" w:name="_Toc473126437"/>
            <w:r w:rsidRPr="00DE4878">
              <w:rPr>
                <w:sz w:val="22"/>
              </w:rPr>
              <w:t>Internal hazards</w:t>
            </w:r>
            <w:bookmarkEnd w:id="954"/>
            <w:bookmarkEnd w:id="955"/>
          </w:p>
        </w:tc>
        <w:tc>
          <w:tcPr>
            <w:tcW w:w="5651" w:type="dxa"/>
            <w:hideMark/>
          </w:tcPr>
          <w:p w14:paraId="0C3038CD" w14:textId="77777777" w:rsidR="00132AFF" w:rsidRPr="00DE4878" w:rsidRDefault="00132AFF">
            <w:pPr>
              <w:spacing w:after="0"/>
              <w:rPr>
                <w:sz w:val="22"/>
              </w:rPr>
            </w:pPr>
            <w:bookmarkStart w:id="956" w:name="_Toc473128058"/>
            <w:bookmarkStart w:id="957" w:name="_Toc473126438"/>
            <w:r w:rsidRPr="00DE4878">
              <w:rPr>
                <w:sz w:val="22"/>
              </w:rPr>
              <w:t>Common protection barriers / conflicting requirements</w:t>
            </w:r>
            <w:bookmarkEnd w:id="956"/>
            <w:bookmarkEnd w:id="957"/>
          </w:p>
          <w:p w14:paraId="30FFC0A7" w14:textId="77777777" w:rsidR="00132AFF" w:rsidRPr="00DE4878" w:rsidRDefault="00132AFF">
            <w:pPr>
              <w:spacing w:after="0"/>
              <w:rPr>
                <w:sz w:val="22"/>
              </w:rPr>
            </w:pPr>
            <w:bookmarkStart w:id="958" w:name="_Toc473128059"/>
            <w:bookmarkStart w:id="959" w:name="_Toc473126439"/>
            <w:r w:rsidRPr="00DE4878">
              <w:rPr>
                <w:sz w:val="22"/>
              </w:rPr>
              <w:t>Segregation / separation</w:t>
            </w:r>
            <w:bookmarkEnd w:id="958"/>
            <w:bookmarkEnd w:id="959"/>
          </w:p>
        </w:tc>
      </w:tr>
      <w:tr w:rsidR="00132AFF" w:rsidRPr="00C25736" w14:paraId="253508DA" w14:textId="77777777" w:rsidTr="000D6BF8">
        <w:trPr>
          <w:jc w:val="center"/>
        </w:trPr>
        <w:tc>
          <w:tcPr>
            <w:tcW w:w="2901" w:type="dxa"/>
            <w:vAlign w:val="center"/>
            <w:hideMark/>
          </w:tcPr>
          <w:p w14:paraId="1F829A7B" w14:textId="77777777" w:rsidR="00132AFF" w:rsidRPr="00DE4878" w:rsidRDefault="00132AFF">
            <w:pPr>
              <w:rPr>
                <w:sz w:val="22"/>
              </w:rPr>
            </w:pPr>
            <w:bookmarkStart w:id="960" w:name="_Toc473128060"/>
            <w:bookmarkStart w:id="961" w:name="_Toc473126440"/>
            <w:r w:rsidRPr="00DE4878">
              <w:rPr>
                <w:sz w:val="22"/>
              </w:rPr>
              <w:t>Severe Accident Analysis</w:t>
            </w:r>
            <w:bookmarkEnd w:id="960"/>
            <w:bookmarkEnd w:id="961"/>
          </w:p>
        </w:tc>
        <w:tc>
          <w:tcPr>
            <w:tcW w:w="5651" w:type="dxa"/>
            <w:hideMark/>
          </w:tcPr>
          <w:p w14:paraId="706D1E6C" w14:textId="77777777" w:rsidR="00132AFF" w:rsidRPr="00DE4878" w:rsidRDefault="00132AFF">
            <w:pPr>
              <w:spacing w:after="0"/>
              <w:rPr>
                <w:sz w:val="22"/>
              </w:rPr>
            </w:pPr>
            <w:bookmarkStart w:id="962" w:name="_Toc473128061"/>
            <w:bookmarkStart w:id="963" w:name="_Toc473126441"/>
            <w:r w:rsidRPr="00DE4878">
              <w:rPr>
                <w:sz w:val="22"/>
              </w:rPr>
              <w:t>Non-discrete hazards – plant response to very low frequency hazard events</w:t>
            </w:r>
            <w:bookmarkEnd w:id="962"/>
            <w:bookmarkEnd w:id="963"/>
          </w:p>
        </w:tc>
      </w:tr>
      <w:tr w:rsidR="00132AFF" w:rsidRPr="00C25736" w14:paraId="5BFDE99F" w14:textId="77777777" w:rsidTr="000D6BF8">
        <w:trPr>
          <w:jc w:val="center"/>
        </w:trPr>
        <w:tc>
          <w:tcPr>
            <w:tcW w:w="2901" w:type="dxa"/>
            <w:vAlign w:val="center"/>
            <w:hideMark/>
          </w:tcPr>
          <w:p w14:paraId="7EA15128" w14:textId="77777777" w:rsidR="00132AFF" w:rsidRPr="00DE4878" w:rsidRDefault="00132AFF">
            <w:pPr>
              <w:rPr>
                <w:sz w:val="22"/>
              </w:rPr>
            </w:pPr>
            <w:bookmarkStart w:id="964" w:name="_Toc473128062"/>
            <w:bookmarkStart w:id="965" w:name="_Toc473126442"/>
            <w:r w:rsidRPr="00DE4878">
              <w:rPr>
                <w:sz w:val="22"/>
              </w:rPr>
              <w:t>PSA</w:t>
            </w:r>
            <w:bookmarkEnd w:id="964"/>
            <w:bookmarkEnd w:id="965"/>
          </w:p>
        </w:tc>
        <w:tc>
          <w:tcPr>
            <w:tcW w:w="5651" w:type="dxa"/>
            <w:hideMark/>
          </w:tcPr>
          <w:p w14:paraId="0DB3740E" w14:textId="77777777" w:rsidR="00132AFF" w:rsidRPr="00DE4878" w:rsidRDefault="00132AFF">
            <w:pPr>
              <w:spacing w:after="0"/>
              <w:rPr>
                <w:sz w:val="22"/>
              </w:rPr>
            </w:pPr>
            <w:bookmarkStart w:id="966" w:name="_Toc473128063"/>
            <w:bookmarkStart w:id="967" w:name="_Toc473126443"/>
            <w:r w:rsidRPr="00DE4878">
              <w:rPr>
                <w:sz w:val="22"/>
              </w:rPr>
              <w:t>Fault schedule</w:t>
            </w:r>
            <w:bookmarkEnd w:id="966"/>
            <w:bookmarkEnd w:id="967"/>
          </w:p>
          <w:p w14:paraId="3877EEC4" w14:textId="77777777" w:rsidR="00132AFF" w:rsidRPr="00DE4878" w:rsidRDefault="00132AFF">
            <w:pPr>
              <w:spacing w:after="0"/>
              <w:rPr>
                <w:sz w:val="22"/>
              </w:rPr>
            </w:pPr>
            <w:bookmarkStart w:id="968" w:name="_Toc473128064"/>
            <w:bookmarkStart w:id="969" w:name="_Toc473126444"/>
            <w:r w:rsidRPr="00DE4878">
              <w:rPr>
                <w:sz w:val="22"/>
              </w:rPr>
              <w:t>Plant model</w:t>
            </w:r>
            <w:bookmarkEnd w:id="968"/>
            <w:bookmarkEnd w:id="969"/>
          </w:p>
          <w:p w14:paraId="6C0F9916" w14:textId="77777777" w:rsidR="00132AFF" w:rsidRPr="00DE4878" w:rsidRDefault="00132AFF">
            <w:pPr>
              <w:spacing w:after="0"/>
              <w:rPr>
                <w:sz w:val="22"/>
              </w:rPr>
            </w:pPr>
            <w:bookmarkStart w:id="970" w:name="_Toc473128065"/>
            <w:bookmarkStart w:id="971" w:name="_Toc473126445"/>
            <w:r w:rsidRPr="00DE4878">
              <w:rPr>
                <w:sz w:val="22"/>
              </w:rPr>
              <w:t>Discrete hazards – initiating event frequencies and plant reliabilities</w:t>
            </w:r>
            <w:bookmarkEnd w:id="970"/>
            <w:bookmarkEnd w:id="971"/>
          </w:p>
          <w:p w14:paraId="2D70D090" w14:textId="77777777" w:rsidR="00132AFF" w:rsidRPr="00DE4878" w:rsidRDefault="00132AFF">
            <w:pPr>
              <w:spacing w:after="0"/>
              <w:rPr>
                <w:sz w:val="22"/>
              </w:rPr>
            </w:pPr>
            <w:bookmarkStart w:id="972" w:name="_Toc473128066"/>
            <w:bookmarkStart w:id="973" w:name="_Toc473126446"/>
            <w:r w:rsidRPr="00DE4878">
              <w:rPr>
                <w:sz w:val="22"/>
              </w:rPr>
              <w:t>Non-discrete hazards – hazard and fragility curves</w:t>
            </w:r>
            <w:bookmarkEnd w:id="972"/>
            <w:bookmarkEnd w:id="973"/>
          </w:p>
        </w:tc>
      </w:tr>
      <w:tr w:rsidR="00132AFF" w:rsidRPr="00C25736" w14:paraId="542BFA95" w14:textId="77777777" w:rsidTr="000D6BF8">
        <w:trPr>
          <w:jc w:val="center"/>
        </w:trPr>
        <w:tc>
          <w:tcPr>
            <w:tcW w:w="2901" w:type="dxa"/>
            <w:vAlign w:val="center"/>
            <w:hideMark/>
          </w:tcPr>
          <w:p w14:paraId="36F85347" w14:textId="77777777" w:rsidR="00132AFF" w:rsidRPr="00DE4878" w:rsidRDefault="00132AFF">
            <w:pPr>
              <w:rPr>
                <w:sz w:val="22"/>
              </w:rPr>
            </w:pPr>
            <w:bookmarkStart w:id="974" w:name="_Toc473128067"/>
            <w:bookmarkStart w:id="975" w:name="_Toc473126447"/>
            <w:r w:rsidRPr="00DE4878">
              <w:rPr>
                <w:sz w:val="22"/>
              </w:rPr>
              <w:t>Engineering disciplines</w:t>
            </w:r>
            <w:bookmarkEnd w:id="974"/>
            <w:bookmarkEnd w:id="975"/>
          </w:p>
        </w:tc>
        <w:tc>
          <w:tcPr>
            <w:tcW w:w="5651" w:type="dxa"/>
            <w:hideMark/>
          </w:tcPr>
          <w:p w14:paraId="6F9F8E73" w14:textId="31A35BE9" w:rsidR="00132AFF" w:rsidRDefault="00132AFF">
            <w:pPr>
              <w:spacing w:after="0"/>
              <w:rPr>
                <w:sz w:val="22"/>
              </w:rPr>
            </w:pPr>
            <w:bookmarkStart w:id="976" w:name="_Toc473128068"/>
            <w:bookmarkStart w:id="977" w:name="_Toc473126448"/>
            <w:r w:rsidRPr="00DE4878">
              <w:rPr>
                <w:sz w:val="22"/>
              </w:rPr>
              <w:t>D</w:t>
            </w:r>
            <w:r w:rsidR="00B3236D">
              <w:rPr>
                <w:sz w:val="22"/>
              </w:rPr>
              <w:t xml:space="preserve">BE and </w:t>
            </w:r>
            <w:proofErr w:type="spellStart"/>
            <w:r w:rsidR="00B3236D">
              <w:rPr>
                <w:sz w:val="22"/>
              </w:rPr>
              <w:t>BoD</w:t>
            </w:r>
            <w:proofErr w:type="spellEnd"/>
            <w:r w:rsidR="00B3236D">
              <w:rPr>
                <w:sz w:val="22"/>
              </w:rPr>
              <w:t xml:space="preserve"> </w:t>
            </w:r>
            <w:r w:rsidRPr="00DE4878">
              <w:rPr>
                <w:sz w:val="22"/>
              </w:rPr>
              <w:t>definitions</w:t>
            </w:r>
            <w:bookmarkEnd w:id="976"/>
            <w:bookmarkEnd w:id="977"/>
          </w:p>
          <w:p w14:paraId="006F130B" w14:textId="5781B3E9" w:rsidR="00582E33" w:rsidRPr="00DE4878" w:rsidRDefault="00582E33">
            <w:pPr>
              <w:spacing w:after="0"/>
              <w:rPr>
                <w:sz w:val="22"/>
              </w:rPr>
            </w:pPr>
            <w:r>
              <w:rPr>
                <w:sz w:val="22"/>
              </w:rPr>
              <w:t>Cliff Edge effects</w:t>
            </w:r>
          </w:p>
          <w:p w14:paraId="5728D2CE" w14:textId="3A620962" w:rsidR="00132AFF" w:rsidRPr="00DE4878" w:rsidRDefault="00132AFF">
            <w:pPr>
              <w:spacing w:after="0"/>
              <w:rPr>
                <w:sz w:val="22"/>
              </w:rPr>
            </w:pPr>
            <w:bookmarkStart w:id="978" w:name="_Toc473128069"/>
            <w:bookmarkStart w:id="979" w:name="_Toc473126449"/>
            <w:r w:rsidRPr="00DE4878">
              <w:rPr>
                <w:sz w:val="22"/>
              </w:rPr>
              <w:t xml:space="preserve">BDB </w:t>
            </w:r>
            <w:r w:rsidR="00B3236D">
              <w:rPr>
                <w:sz w:val="22"/>
              </w:rPr>
              <w:t>analysis</w:t>
            </w:r>
            <w:bookmarkEnd w:id="978"/>
            <w:bookmarkEnd w:id="979"/>
          </w:p>
        </w:tc>
      </w:tr>
      <w:tr w:rsidR="00132AFF" w:rsidRPr="00C25736" w14:paraId="3742D4E7" w14:textId="77777777" w:rsidTr="000D6BF8">
        <w:trPr>
          <w:jc w:val="center"/>
        </w:trPr>
        <w:tc>
          <w:tcPr>
            <w:tcW w:w="2901" w:type="dxa"/>
            <w:vAlign w:val="center"/>
            <w:hideMark/>
          </w:tcPr>
          <w:p w14:paraId="3639067D" w14:textId="77777777" w:rsidR="00132AFF" w:rsidRPr="00DE4878" w:rsidRDefault="00132AFF">
            <w:pPr>
              <w:rPr>
                <w:sz w:val="22"/>
              </w:rPr>
            </w:pPr>
            <w:bookmarkStart w:id="980" w:name="_Toc473128070"/>
            <w:bookmarkStart w:id="981" w:name="_Toc473126450"/>
            <w:r w:rsidRPr="00DE4878">
              <w:rPr>
                <w:sz w:val="22"/>
              </w:rPr>
              <w:t>Human factors</w:t>
            </w:r>
            <w:bookmarkEnd w:id="980"/>
            <w:bookmarkEnd w:id="981"/>
          </w:p>
        </w:tc>
        <w:tc>
          <w:tcPr>
            <w:tcW w:w="5651" w:type="dxa"/>
            <w:hideMark/>
          </w:tcPr>
          <w:p w14:paraId="44BAB384" w14:textId="77777777" w:rsidR="00132AFF" w:rsidRPr="00DE4878" w:rsidRDefault="00132AFF">
            <w:pPr>
              <w:spacing w:after="0"/>
              <w:rPr>
                <w:sz w:val="22"/>
              </w:rPr>
            </w:pPr>
            <w:bookmarkStart w:id="982" w:name="_Toc473128071"/>
            <w:bookmarkStart w:id="983" w:name="_Toc473126451"/>
            <w:r w:rsidRPr="00DE4878">
              <w:rPr>
                <w:sz w:val="22"/>
              </w:rPr>
              <w:t>Common cause effect</w:t>
            </w:r>
            <w:bookmarkEnd w:id="982"/>
            <w:bookmarkEnd w:id="983"/>
          </w:p>
          <w:p w14:paraId="49859B14" w14:textId="77777777" w:rsidR="00132AFF" w:rsidRPr="00DE4878" w:rsidRDefault="00132AFF">
            <w:pPr>
              <w:spacing w:after="0"/>
              <w:rPr>
                <w:sz w:val="22"/>
              </w:rPr>
            </w:pPr>
            <w:bookmarkStart w:id="984" w:name="_Toc473128072"/>
            <w:bookmarkStart w:id="985" w:name="_Toc473126452"/>
            <w:r w:rsidRPr="00DE4878">
              <w:rPr>
                <w:sz w:val="22"/>
              </w:rPr>
              <w:t>Damage to off-site as well as on-site infrastructure</w:t>
            </w:r>
            <w:bookmarkEnd w:id="984"/>
            <w:bookmarkEnd w:id="985"/>
          </w:p>
          <w:p w14:paraId="259B3D16" w14:textId="6CCBD777" w:rsidR="00132AFF" w:rsidRPr="00DE4878" w:rsidRDefault="00132AFF">
            <w:pPr>
              <w:spacing w:after="0"/>
              <w:rPr>
                <w:sz w:val="22"/>
              </w:rPr>
            </w:pPr>
            <w:bookmarkStart w:id="986" w:name="_Toc473128073"/>
            <w:bookmarkStart w:id="987" w:name="_Toc473126453"/>
            <w:r w:rsidRPr="00DE4878">
              <w:rPr>
                <w:sz w:val="22"/>
              </w:rPr>
              <w:t>Degraded access to SSCs</w:t>
            </w:r>
            <w:bookmarkEnd w:id="986"/>
            <w:bookmarkEnd w:id="987"/>
          </w:p>
          <w:p w14:paraId="4F834145" w14:textId="77777777" w:rsidR="00132AFF" w:rsidRPr="00DE4878" w:rsidRDefault="00132AFF">
            <w:pPr>
              <w:spacing w:after="0"/>
              <w:rPr>
                <w:sz w:val="22"/>
              </w:rPr>
            </w:pPr>
            <w:bookmarkStart w:id="988" w:name="_Toc473128074"/>
            <w:bookmarkStart w:id="989" w:name="_Toc473126454"/>
            <w:r w:rsidRPr="00DE4878">
              <w:rPr>
                <w:sz w:val="22"/>
              </w:rPr>
              <w:t>Extended event timescale</w:t>
            </w:r>
            <w:bookmarkEnd w:id="988"/>
            <w:bookmarkEnd w:id="989"/>
          </w:p>
          <w:p w14:paraId="3484C4E6" w14:textId="77777777" w:rsidR="00132AFF" w:rsidRDefault="00132AFF">
            <w:pPr>
              <w:spacing w:after="0"/>
              <w:rPr>
                <w:sz w:val="22"/>
              </w:rPr>
            </w:pPr>
            <w:bookmarkStart w:id="990" w:name="_Toc473128075"/>
            <w:bookmarkStart w:id="991" w:name="_Toc473126455"/>
            <w:r w:rsidRPr="00DE4878">
              <w:rPr>
                <w:sz w:val="22"/>
              </w:rPr>
              <w:t>Complex task analysis</w:t>
            </w:r>
            <w:bookmarkEnd w:id="990"/>
            <w:bookmarkEnd w:id="991"/>
          </w:p>
          <w:p w14:paraId="796BCA75" w14:textId="0020E6BB" w:rsidR="000B5369" w:rsidRPr="00DE4878" w:rsidRDefault="00037DE4">
            <w:pPr>
              <w:spacing w:after="0"/>
              <w:rPr>
                <w:sz w:val="22"/>
              </w:rPr>
            </w:pPr>
            <w:r>
              <w:rPr>
                <w:sz w:val="22"/>
              </w:rPr>
              <w:t>Access/egress from site for key personnel</w:t>
            </w:r>
          </w:p>
        </w:tc>
      </w:tr>
      <w:tr w:rsidR="00132AFF" w:rsidRPr="00C25736" w14:paraId="5A76FCAB" w14:textId="77777777" w:rsidTr="000D6BF8">
        <w:trPr>
          <w:jc w:val="center"/>
        </w:trPr>
        <w:tc>
          <w:tcPr>
            <w:tcW w:w="2901" w:type="dxa"/>
            <w:vAlign w:val="center"/>
            <w:hideMark/>
          </w:tcPr>
          <w:p w14:paraId="19EE7910" w14:textId="77777777" w:rsidR="00132AFF" w:rsidRPr="00DE4878" w:rsidRDefault="00132AFF">
            <w:pPr>
              <w:rPr>
                <w:sz w:val="22"/>
              </w:rPr>
            </w:pPr>
            <w:bookmarkStart w:id="992" w:name="_Toc473128076"/>
            <w:bookmarkStart w:id="993" w:name="_Toc473126456"/>
            <w:r w:rsidRPr="00DE4878">
              <w:rPr>
                <w:sz w:val="22"/>
              </w:rPr>
              <w:t>Emergency arrangements</w:t>
            </w:r>
            <w:bookmarkEnd w:id="992"/>
            <w:bookmarkEnd w:id="993"/>
          </w:p>
        </w:tc>
        <w:tc>
          <w:tcPr>
            <w:tcW w:w="5651" w:type="dxa"/>
            <w:hideMark/>
          </w:tcPr>
          <w:p w14:paraId="6CA717CD" w14:textId="506B24B2" w:rsidR="00132AFF" w:rsidRPr="00DE4878" w:rsidRDefault="00132AFF">
            <w:pPr>
              <w:spacing w:after="0"/>
              <w:rPr>
                <w:sz w:val="22"/>
              </w:rPr>
            </w:pPr>
            <w:bookmarkStart w:id="994" w:name="_Toc473128077"/>
            <w:bookmarkStart w:id="995" w:name="_Toc473126457"/>
            <w:r w:rsidRPr="00DE4878">
              <w:rPr>
                <w:sz w:val="22"/>
              </w:rPr>
              <w:t>Common cause effect, both on-site in terms of widespread damage, and off-site – blue light services unavailable</w:t>
            </w:r>
            <w:bookmarkEnd w:id="994"/>
            <w:bookmarkEnd w:id="995"/>
          </w:p>
          <w:p w14:paraId="61490E21" w14:textId="77777777" w:rsidR="00132AFF" w:rsidRPr="00DE4878" w:rsidRDefault="00132AFF">
            <w:pPr>
              <w:spacing w:after="0"/>
              <w:rPr>
                <w:sz w:val="22"/>
              </w:rPr>
            </w:pPr>
            <w:bookmarkStart w:id="996" w:name="_Toc473128078"/>
            <w:bookmarkStart w:id="997" w:name="_Toc473126458"/>
            <w:r w:rsidRPr="00DE4878">
              <w:rPr>
                <w:sz w:val="22"/>
              </w:rPr>
              <w:t>Simultaneous damage to adjacent nuclear facilities</w:t>
            </w:r>
            <w:bookmarkEnd w:id="996"/>
            <w:bookmarkEnd w:id="997"/>
          </w:p>
          <w:p w14:paraId="4AAFEF2A" w14:textId="52F18D5D" w:rsidR="00132AFF" w:rsidRPr="00DE4878" w:rsidRDefault="00132AFF">
            <w:pPr>
              <w:spacing w:after="0"/>
              <w:rPr>
                <w:sz w:val="22"/>
              </w:rPr>
            </w:pPr>
            <w:bookmarkStart w:id="998" w:name="_Toc473128079"/>
            <w:bookmarkStart w:id="999" w:name="_Toc473126459"/>
            <w:r w:rsidRPr="00DE4878">
              <w:rPr>
                <w:sz w:val="22"/>
              </w:rPr>
              <w:t>Degraded off-site infrastructure – islanded site in terms of access to resources</w:t>
            </w:r>
            <w:bookmarkEnd w:id="998"/>
            <w:bookmarkEnd w:id="999"/>
            <w:r w:rsidRPr="00DE4878">
              <w:rPr>
                <w:sz w:val="22"/>
              </w:rPr>
              <w:t xml:space="preserve"> </w:t>
            </w:r>
          </w:p>
        </w:tc>
      </w:tr>
    </w:tbl>
    <w:p w14:paraId="21C800DE" w14:textId="77777777" w:rsidR="00132AFF" w:rsidRPr="00C25736" w:rsidRDefault="00132AFF" w:rsidP="00132AFF">
      <w:pPr>
        <w:autoSpaceDE w:val="0"/>
        <w:autoSpaceDN w:val="0"/>
        <w:adjustRightInd w:val="0"/>
        <w:spacing w:after="0" w:line="240" w:lineRule="auto"/>
        <w:contextualSpacing/>
        <w:rPr>
          <w:rFonts w:eastAsia="Times New Roman"/>
        </w:rPr>
      </w:pPr>
    </w:p>
    <w:p w14:paraId="10D608D6" w14:textId="77777777" w:rsidR="00132AFF" w:rsidRDefault="00132AFF" w:rsidP="00132AFF">
      <w:pPr>
        <w:tabs>
          <w:tab w:val="left" w:pos="1440"/>
        </w:tabs>
        <w:spacing w:line="240" w:lineRule="auto"/>
        <w:contextualSpacing/>
      </w:pPr>
    </w:p>
    <w:p w14:paraId="7E1DB874" w14:textId="77777777" w:rsidR="00132AFF" w:rsidRDefault="00132AFF" w:rsidP="00132AFF">
      <w:pPr>
        <w:tabs>
          <w:tab w:val="left" w:pos="1440"/>
        </w:tabs>
        <w:spacing w:line="240" w:lineRule="auto"/>
        <w:contextualSpacing/>
      </w:pPr>
    </w:p>
    <w:p w14:paraId="553A3B9E" w14:textId="77777777" w:rsidR="00132AFF" w:rsidRDefault="00132AFF" w:rsidP="00132AFF">
      <w:pPr>
        <w:tabs>
          <w:tab w:val="left" w:pos="1440"/>
        </w:tabs>
        <w:spacing w:line="240" w:lineRule="auto"/>
        <w:contextualSpacing/>
      </w:pPr>
    </w:p>
    <w:p w14:paraId="360DF171" w14:textId="77777777" w:rsidR="00132AFF" w:rsidRDefault="00132AFF" w:rsidP="00132AFF">
      <w:pPr>
        <w:tabs>
          <w:tab w:val="left" w:pos="1440"/>
        </w:tabs>
        <w:spacing w:line="240" w:lineRule="auto"/>
        <w:contextualSpacing/>
      </w:pPr>
    </w:p>
    <w:p w14:paraId="4FF45C1C" w14:textId="77777777" w:rsidR="00132AFF" w:rsidRDefault="00132AFF" w:rsidP="00132AFF">
      <w:pPr>
        <w:tabs>
          <w:tab w:val="left" w:pos="1440"/>
        </w:tabs>
        <w:spacing w:line="240" w:lineRule="auto"/>
        <w:contextualSpacing/>
      </w:pPr>
    </w:p>
    <w:p w14:paraId="6C7E72C3" w14:textId="77777777" w:rsidR="00132AFF" w:rsidRDefault="00132AFF" w:rsidP="00132AFF">
      <w:pPr>
        <w:tabs>
          <w:tab w:val="left" w:pos="1440"/>
        </w:tabs>
        <w:spacing w:line="240" w:lineRule="auto"/>
        <w:contextualSpacing/>
      </w:pPr>
    </w:p>
    <w:p w14:paraId="4A05A5D0" w14:textId="77777777" w:rsidR="00132AFF" w:rsidRDefault="00132AFF" w:rsidP="00132AFF">
      <w:pPr>
        <w:tabs>
          <w:tab w:val="left" w:pos="1440"/>
        </w:tabs>
        <w:spacing w:line="240" w:lineRule="auto"/>
        <w:contextualSpacing/>
      </w:pPr>
    </w:p>
    <w:p w14:paraId="55B709E2" w14:textId="77777777" w:rsidR="00132AFF" w:rsidRDefault="00132AFF" w:rsidP="00132AFF">
      <w:pPr>
        <w:tabs>
          <w:tab w:val="left" w:pos="1440"/>
        </w:tabs>
        <w:spacing w:line="240" w:lineRule="auto"/>
        <w:contextualSpacing/>
      </w:pPr>
    </w:p>
    <w:p w14:paraId="6A02FD76" w14:textId="77777777" w:rsidR="00132AFF" w:rsidRDefault="00132AFF" w:rsidP="00132AFF">
      <w:pPr>
        <w:tabs>
          <w:tab w:val="left" w:pos="1440"/>
        </w:tabs>
        <w:spacing w:line="240" w:lineRule="auto"/>
        <w:contextualSpacing/>
      </w:pPr>
    </w:p>
    <w:p w14:paraId="0FC29A52" w14:textId="77777777" w:rsidR="00132AFF" w:rsidRDefault="00132AFF" w:rsidP="00132AFF">
      <w:pPr>
        <w:tabs>
          <w:tab w:val="left" w:pos="1440"/>
        </w:tabs>
        <w:spacing w:line="240" w:lineRule="auto"/>
        <w:contextualSpacing/>
      </w:pPr>
    </w:p>
    <w:p w14:paraId="37A6F855" w14:textId="77777777" w:rsidR="00132AFF" w:rsidRDefault="00132AFF" w:rsidP="00132AFF">
      <w:pPr>
        <w:tabs>
          <w:tab w:val="left" w:pos="1440"/>
        </w:tabs>
        <w:spacing w:line="240" w:lineRule="auto"/>
        <w:contextualSpacing/>
      </w:pPr>
    </w:p>
    <w:p w14:paraId="1B91A5BB" w14:textId="77777777" w:rsidR="00132AFF" w:rsidRDefault="00132AFF" w:rsidP="00132AFF">
      <w:pPr>
        <w:tabs>
          <w:tab w:val="left" w:pos="1440"/>
        </w:tabs>
        <w:spacing w:line="240" w:lineRule="auto"/>
        <w:contextualSpacing/>
      </w:pPr>
    </w:p>
    <w:p w14:paraId="3D8FAA09" w14:textId="77777777" w:rsidR="00132AFF" w:rsidRDefault="00132AFF" w:rsidP="00132AFF">
      <w:pPr>
        <w:tabs>
          <w:tab w:val="left" w:pos="1440"/>
        </w:tabs>
        <w:spacing w:line="240" w:lineRule="auto"/>
        <w:contextualSpacing/>
      </w:pPr>
    </w:p>
    <w:p w14:paraId="4B7AF076" w14:textId="77777777" w:rsidR="00132AFF" w:rsidRDefault="00132AFF" w:rsidP="00132AFF">
      <w:pPr>
        <w:tabs>
          <w:tab w:val="left" w:pos="1440"/>
        </w:tabs>
        <w:spacing w:line="240" w:lineRule="auto"/>
        <w:contextualSpacing/>
      </w:pPr>
    </w:p>
    <w:p w14:paraId="4667CCDD" w14:textId="77777777" w:rsidR="00132AFF" w:rsidRDefault="00132AFF" w:rsidP="00132AFF">
      <w:pPr>
        <w:tabs>
          <w:tab w:val="left" w:pos="1440"/>
        </w:tabs>
        <w:spacing w:line="240" w:lineRule="auto"/>
        <w:contextualSpacing/>
      </w:pPr>
    </w:p>
    <w:p w14:paraId="172B06A4" w14:textId="77777777" w:rsidR="00132AFF" w:rsidRDefault="00132AFF" w:rsidP="00132AFF">
      <w:pPr>
        <w:tabs>
          <w:tab w:val="left" w:pos="1440"/>
        </w:tabs>
        <w:spacing w:line="240" w:lineRule="auto"/>
        <w:contextualSpacing/>
      </w:pPr>
    </w:p>
    <w:p w14:paraId="68AA7893" w14:textId="5C97F06F" w:rsidR="00132AFF" w:rsidRDefault="00132AFF" w:rsidP="00132AFF">
      <w:pPr>
        <w:pStyle w:val="Caption"/>
        <w:keepNext/>
      </w:pPr>
      <w:bookmarkStart w:id="1000" w:name="_Toc140137292"/>
      <w:r>
        <w:lastRenderedPageBreak/>
        <w:t xml:space="preserve">Table </w:t>
      </w:r>
      <w:fldSimple w:instr=" SEQ Table \* ARABIC ">
        <w:r w:rsidR="008B51F7">
          <w:rPr>
            <w:noProof/>
          </w:rPr>
          <w:t>4</w:t>
        </w:r>
      </w:fldSimple>
      <w:r>
        <w:t>: Comparison with WENRA Reference Levels</w:t>
      </w:r>
      <w:bookmarkEnd w:id="1000"/>
    </w:p>
    <w:tbl>
      <w:tblPr>
        <w:tblStyle w:val="ONRTable1"/>
        <w:tblW w:w="9072" w:type="dxa"/>
        <w:jc w:val="center"/>
        <w:tblInd w:w="0" w:type="dxa"/>
        <w:tblBorders>
          <w:top w:val="single" w:sz="4" w:space="0" w:color="22413A"/>
          <w:left w:val="single" w:sz="4" w:space="0" w:color="22413A"/>
          <w:right w:val="single" w:sz="4" w:space="0" w:color="22413A"/>
        </w:tblBorders>
        <w:tblLook w:val="04A0" w:firstRow="1" w:lastRow="0" w:firstColumn="1" w:lastColumn="0" w:noHBand="0" w:noVBand="1"/>
      </w:tblPr>
      <w:tblGrid>
        <w:gridCol w:w="2068"/>
        <w:gridCol w:w="3573"/>
        <w:gridCol w:w="3431"/>
      </w:tblGrid>
      <w:tr w:rsidR="00E322D1" w:rsidRPr="000A51C3" w14:paraId="0774D981" w14:textId="77777777" w:rsidTr="00547634">
        <w:trPr>
          <w:cnfStyle w:val="100000000000" w:firstRow="1" w:lastRow="0" w:firstColumn="0" w:lastColumn="0" w:oddVBand="0" w:evenVBand="0" w:oddHBand="0" w:evenHBand="0" w:firstRowFirstColumn="0" w:firstRowLastColumn="0" w:lastRowFirstColumn="0" w:lastRowLastColumn="0"/>
          <w:jc w:val="center"/>
        </w:trPr>
        <w:tc>
          <w:tcPr>
            <w:tcW w:w="0" w:type="dxa"/>
            <w:gridSpan w:val="3"/>
            <w:tcBorders>
              <w:top w:val="single" w:sz="4" w:space="0" w:color="22413A"/>
              <w:left w:val="single" w:sz="4" w:space="0" w:color="22413A"/>
              <w:bottom w:val="single" w:sz="4" w:space="0" w:color="22413A"/>
              <w:right w:val="single" w:sz="4" w:space="0" w:color="22413A"/>
            </w:tcBorders>
          </w:tcPr>
          <w:p w14:paraId="573781A1" w14:textId="29F24E94" w:rsidR="00E322D1" w:rsidRPr="0061070F" w:rsidRDefault="00E322D1">
            <w:pPr>
              <w:pStyle w:val="TableText"/>
              <w:spacing w:before="0" w:after="0"/>
              <w:rPr>
                <w:bCs/>
                <w:sz w:val="22"/>
              </w:rPr>
            </w:pPr>
            <w:r w:rsidRPr="0061070F">
              <w:rPr>
                <w:rFonts w:eastAsia="Times New Roman"/>
                <w:bCs/>
                <w:sz w:val="22"/>
              </w:rPr>
              <w:t xml:space="preserve">Report: WENRA Safety Reference Levels for Existing Reactors 2020 </w:t>
            </w:r>
            <w:sdt>
              <w:sdtPr>
                <w:rPr>
                  <w:rFonts w:eastAsia="Times New Roman"/>
                  <w:bCs/>
                  <w:sz w:val="22"/>
                </w:rPr>
                <w:id w:val="-2014449765"/>
                <w:citation/>
              </w:sdtPr>
              <w:sdtContent>
                <w:r w:rsidR="00D04540">
                  <w:rPr>
                    <w:rFonts w:eastAsia="Times New Roman"/>
                    <w:bCs/>
                    <w:sz w:val="22"/>
                  </w:rPr>
                  <w:fldChar w:fldCharType="begin"/>
                </w:r>
                <w:r w:rsidR="00D04540">
                  <w:rPr>
                    <w:rFonts w:eastAsia="Times New Roman"/>
                    <w:b w:val="0"/>
                    <w:bCs/>
                    <w:sz w:val="22"/>
                  </w:rPr>
                  <w:instrText xml:space="preserve"> </w:instrText>
                </w:r>
                <w:r w:rsidR="00D04540">
                  <w:rPr>
                    <w:rFonts w:eastAsia="Times New Roman"/>
                    <w:bCs/>
                    <w:sz w:val="22"/>
                  </w:rPr>
                  <w:instrText xml:space="preserve">CITATION </w:instrText>
                </w:r>
                <w:r w:rsidR="00D04540">
                  <w:rPr>
                    <w:rFonts w:eastAsia="Times New Roman"/>
                    <w:b w:val="0"/>
                    <w:bCs/>
                    <w:sz w:val="22"/>
                  </w:rPr>
                  <w:instrText xml:space="preserve">WENns \l 2057 </w:instrText>
                </w:r>
                <w:r w:rsidR="00D04540">
                  <w:rPr>
                    <w:rFonts w:eastAsia="Times New Roman"/>
                    <w:bCs/>
                    <w:sz w:val="22"/>
                  </w:rPr>
                  <w:fldChar w:fldCharType="separate"/>
                </w:r>
                <w:r w:rsidR="002A4EED" w:rsidRPr="002A4EED">
                  <w:rPr>
                    <w:rFonts w:eastAsia="Times New Roman"/>
                    <w:noProof/>
                    <w:sz w:val="22"/>
                  </w:rPr>
                  <w:t>[12]</w:t>
                </w:r>
                <w:r w:rsidR="00D04540">
                  <w:rPr>
                    <w:rFonts w:eastAsia="Times New Roman"/>
                    <w:bCs/>
                    <w:sz w:val="22"/>
                  </w:rPr>
                  <w:fldChar w:fldCharType="end"/>
                </w:r>
              </w:sdtContent>
            </w:sdt>
          </w:p>
        </w:tc>
      </w:tr>
      <w:tr w:rsidR="00427367" w:rsidRPr="0061070F" w14:paraId="697A98F9" w14:textId="77777777" w:rsidTr="00547634">
        <w:trPr>
          <w:jc w:val="center"/>
        </w:trPr>
        <w:tc>
          <w:tcPr>
            <w:tcW w:w="0" w:type="dxa"/>
            <w:tcBorders>
              <w:top w:val="single" w:sz="4" w:space="0" w:color="22413A"/>
              <w:left w:val="single" w:sz="4" w:space="0" w:color="22413A"/>
              <w:bottom w:val="single" w:sz="4" w:space="0" w:color="22413A"/>
            </w:tcBorders>
            <w:shd w:val="clear" w:color="auto" w:fill="D4EFE5"/>
            <w:hideMark/>
          </w:tcPr>
          <w:p w14:paraId="28C8DF70" w14:textId="77777777" w:rsidR="00E322D1" w:rsidRPr="0061070F" w:rsidRDefault="00E322D1">
            <w:pPr>
              <w:pStyle w:val="TableText"/>
              <w:keepNext/>
              <w:jc w:val="center"/>
              <w:rPr>
                <w:b/>
                <w:sz w:val="22"/>
                <w:szCs w:val="20"/>
              </w:rPr>
            </w:pPr>
            <w:r w:rsidRPr="0061070F">
              <w:rPr>
                <w:b/>
                <w:sz w:val="22"/>
                <w:szCs w:val="20"/>
              </w:rPr>
              <w:t>WENRA SRL Ref.</w:t>
            </w:r>
          </w:p>
        </w:tc>
        <w:tc>
          <w:tcPr>
            <w:tcW w:w="0" w:type="dxa"/>
            <w:tcBorders>
              <w:top w:val="single" w:sz="4" w:space="0" w:color="22413A"/>
              <w:bottom w:val="single" w:sz="4" w:space="0" w:color="22413A"/>
            </w:tcBorders>
            <w:shd w:val="clear" w:color="auto" w:fill="D4EFE5"/>
          </w:tcPr>
          <w:p w14:paraId="3D30A0A8" w14:textId="77777777" w:rsidR="00E322D1" w:rsidRPr="0061070F" w:rsidRDefault="00E322D1">
            <w:pPr>
              <w:pStyle w:val="TableText"/>
              <w:keepNext/>
              <w:jc w:val="center"/>
              <w:rPr>
                <w:b/>
                <w:sz w:val="22"/>
                <w:szCs w:val="20"/>
              </w:rPr>
            </w:pPr>
            <w:r w:rsidRPr="0061070F">
              <w:rPr>
                <w:b/>
                <w:sz w:val="22"/>
                <w:szCs w:val="20"/>
              </w:rPr>
              <w:t>Summary of SRL</w:t>
            </w:r>
          </w:p>
        </w:tc>
        <w:tc>
          <w:tcPr>
            <w:tcW w:w="0" w:type="dxa"/>
            <w:tcBorders>
              <w:top w:val="single" w:sz="4" w:space="0" w:color="22413A"/>
              <w:bottom w:val="single" w:sz="4" w:space="0" w:color="22413A"/>
              <w:right w:val="single" w:sz="4" w:space="0" w:color="22413A"/>
            </w:tcBorders>
            <w:shd w:val="clear" w:color="auto" w:fill="D4EFE5"/>
          </w:tcPr>
          <w:p w14:paraId="0D902620" w14:textId="77777777" w:rsidR="00E322D1" w:rsidRPr="0061070F" w:rsidRDefault="00E322D1">
            <w:pPr>
              <w:pStyle w:val="TableText"/>
              <w:keepNext/>
              <w:jc w:val="center"/>
              <w:rPr>
                <w:b/>
                <w:sz w:val="22"/>
                <w:szCs w:val="20"/>
              </w:rPr>
            </w:pPr>
            <w:r w:rsidRPr="0061070F">
              <w:rPr>
                <w:b/>
                <w:sz w:val="22"/>
                <w:szCs w:val="20"/>
              </w:rPr>
              <w:t>TAG 13 Benchmarking Ref.</w:t>
            </w:r>
          </w:p>
        </w:tc>
      </w:tr>
      <w:tr w:rsidR="00E322D1" w:rsidRPr="000A51C3" w14:paraId="152E1401" w14:textId="77777777" w:rsidTr="00547634">
        <w:trPr>
          <w:jc w:val="center"/>
        </w:trPr>
        <w:tc>
          <w:tcPr>
            <w:tcW w:w="0" w:type="dxa"/>
            <w:gridSpan w:val="3"/>
          </w:tcPr>
          <w:p w14:paraId="7556920E" w14:textId="77777777" w:rsidR="00E322D1" w:rsidRPr="00DE4878" w:rsidRDefault="00E322D1">
            <w:pPr>
              <w:pStyle w:val="TableText"/>
              <w:spacing w:before="0" w:after="0"/>
              <w:rPr>
                <w:b/>
                <w:bCs/>
                <w:sz w:val="22"/>
              </w:rPr>
            </w:pPr>
            <w:r w:rsidRPr="00DE4878">
              <w:rPr>
                <w:b/>
                <w:bCs/>
                <w:color w:val="FF0000"/>
                <w:sz w:val="22"/>
              </w:rPr>
              <w:t>TU1. Objective</w:t>
            </w:r>
          </w:p>
        </w:tc>
      </w:tr>
      <w:tr w:rsidR="00E322D1" w:rsidRPr="000A51C3" w14:paraId="3492951E" w14:textId="77777777" w:rsidTr="000D6BF8">
        <w:trPr>
          <w:jc w:val="center"/>
        </w:trPr>
        <w:tc>
          <w:tcPr>
            <w:tcW w:w="0" w:type="dxa"/>
            <w:vAlign w:val="center"/>
          </w:tcPr>
          <w:p w14:paraId="23C23A04" w14:textId="77777777" w:rsidR="00E322D1" w:rsidRPr="00FA5BA6" w:rsidRDefault="00E322D1">
            <w:pPr>
              <w:pStyle w:val="TableText"/>
              <w:rPr>
                <w:sz w:val="22"/>
              </w:rPr>
            </w:pPr>
            <w:r w:rsidRPr="00FA5BA6">
              <w:rPr>
                <w:sz w:val="22"/>
              </w:rPr>
              <w:t>TU1.1</w:t>
            </w:r>
          </w:p>
        </w:tc>
        <w:tc>
          <w:tcPr>
            <w:tcW w:w="0" w:type="dxa"/>
          </w:tcPr>
          <w:p w14:paraId="6D386226" w14:textId="77777777" w:rsidR="00E322D1" w:rsidRPr="00FA5BA6" w:rsidRDefault="00E322D1">
            <w:pPr>
              <w:pStyle w:val="TableText"/>
              <w:rPr>
                <w:sz w:val="22"/>
              </w:rPr>
            </w:pPr>
            <w:r w:rsidRPr="00FA5BA6">
              <w:rPr>
                <w:sz w:val="22"/>
              </w:rPr>
              <w:t>External hazards shall be considered in the safety demonstration for design and design extension conditions and threats removed or minimised as far as reasonably practicable.</w:t>
            </w:r>
          </w:p>
        </w:tc>
        <w:tc>
          <w:tcPr>
            <w:tcW w:w="0" w:type="dxa"/>
            <w:vAlign w:val="center"/>
          </w:tcPr>
          <w:p w14:paraId="271A3C93" w14:textId="0184EF1D" w:rsidR="00E322D1" w:rsidRPr="000A51C3" w:rsidRDefault="00E8403D" w:rsidP="00547634">
            <w:pPr>
              <w:pStyle w:val="TableText"/>
              <w:jc w:val="center"/>
              <w:rPr>
                <w:sz w:val="22"/>
                <w:szCs w:val="20"/>
              </w:rPr>
            </w:pPr>
            <w:r>
              <w:rPr>
                <w:sz w:val="22"/>
                <w:szCs w:val="20"/>
              </w:rPr>
              <w:t>§</w:t>
            </w:r>
            <w:r w:rsidR="007A0FC9">
              <w:rPr>
                <w:sz w:val="22"/>
                <w:szCs w:val="20"/>
              </w:rPr>
              <w:t>5</w:t>
            </w:r>
          </w:p>
        </w:tc>
      </w:tr>
      <w:tr w:rsidR="00E322D1" w:rsidRPr="000A51C3" w14:paraId="299627C3" w14:textId="77777777" w:rsidTr="00547634">
        <w:trPr>
          <w:jc w:val="center"/>
        </w:trPr>
        <w:tc>
          <w:tcPr>
            <w:tcW w:w="0" w:type="dxa"/>
            <w:gridSpan w:val="3"/>
          </w:tcPr>
          <w:p w14:paraId="766F5ED6" w14:textId="77777777" w:rsidR="00E322D1" w:rsidRPr="00FA5BA6" w:rsidRDefault="00E322D1">
            <w:pPr>
              <w:pStyle w:val="TableText"/>
              <w:spacing w:before="0" w:after="0"/>
              <w:rPr>
                <w:sz w:val="22"/>
              </w:rPr>
            </w:pPr>
            <w:r w:rsidRPr="00DE4878">
              <w:rPr>
                <w:b/>
                <w:bCs/>
                <w:color w:val="FF0000"/>
                <w:sz w:val="22"/>
              </w:rPr>
              <w:t>TU2. Identification of external hazards</w:t>
            </w:r>
          </w:p>
        </w:tc>
      </w:tr>
      <w:tr w:rsidR="0091796C" w:rsidRPr="000A51C3" w14:paraId="1750FD3C" w14:textId="77777777" w:rsidTr="000D6BF8">
        <w:trPr>
          <w:jc w:val="center"/>
        </w:trPr>
        <w:tc>
          <w:tcPr>
            <w:tcW w:w="0" w:type="dxa"/>
            <w:vAlign w:val="center"/>
          </w:tcPr>
          <w:p w14:paraId="00802C99" w14:textId="77777777" w:rsidR="0091796C" w:rsidRPr="00FA5BA6" w:rsidRDefault="0091796C">
            <w:pPr>
              <w:pStyle w:val="TableText"/>
              <w:rPr>
                <w:sz w:val="22"/>
              </w:rPr>
            </w:pPr>
            <w:r w:rsidRPr="00FA5BA6">
              <w:rPr>
                <w:sz w:val="22"/>
              </w:rPr>
              <w:t>TU2.1</w:t>
            </w:r>
          </w:p>
        </w:tc>
        <w:tc>
          <w:tcPr>
            <w:tcW w:w="0" w:type="dxa"/>
          </w:tcPr>
          <w:p w14:paraId="503BAB5E" w14:textId="77777777" w:rsidR="0091796C" w:rsidRPr="00FA5BA6" w:rsidRDefault="0091796C">
            <w:pPr>
              <w:pStyle w:val="TableText"/>
              <w:rPr>
                <w:sz w:val="22"/>
              </w:rPr>
            </w:pPr>
            <w:r w:rsidRPr="00FA5BA6">
              <w:rPr>
                <w:sz w:val="22"/>
              </w:rPr>
              <w:t>Complete identification of all site-specific external hazards including related hazards.</w:t>
            </w:r>
          </w:p>
        </w:tc>
        <w:tc>
          <w:tcPr>
            <w:tcW w:w="0" w:type="dxa"/>
            <w:vMerge w:val="restart"/>
            <w:vAlign w:val="center"/>
          </w:tcPr>
          <w:p w14:paraId="1C2A216C" w14:textId="4810B93F" w:rsidR="0091796C" w:rsidRPr="000A51C3" w:rsidRDefault="00E8403D" w:rsidP="00547634">
            <w:pPr>
              <w:pStyle w:val="TableText"/>
              <w:jc w:val="center"/>
              <w:rPr>
                <w:sz w:val="22"/>
                <w:szCs w:val="20"/>
              </w:rPr>
            </w:pPr>
            <w:r>
              <w:rPr>
                <w:sz w:val="22"/>
                <w:szCs w:val="20"/>
              </w:rPr>
              <w:t>§</w:t>
            </w:r>
            <w:r w:rsidR="0091796C">
              <w:rPr>
                <w:sz w:val="22"/>
                <w:szCs w:val="20"/>
              </w:rPr>
              <w:fldChar w:fldCharType="begin"/>
            </w:r>
            <w:r w:rsidR="0091796C">
              <w:rPr>
                <w:sz w:val="22"/>
                <w:szCs w:val="20"/>
              </w:rPr>
              <w:instrText xml:space="preserve"> REF _Ref138670847 \r \h  \* MERGEFORMAT </w:instrText>
            </w:r>
            <w:r w:rsidR="0091796C">
              <w:rPr>
                <w:sz w:val="22"/>
                <w:szCs w:val="20"/>
              </w:rPr>
            </w:r>
            <w:r w:rsidR="0091796C">
              <w:rPr>
                <w:sz w:val="22"/>
                <w:szCs w:val="20"/>
              </w:rPr>
              <w:fldChar w:fldCharType="separate"/>
            </w:r>
            <w:r w:rsidR="008B51F7">
              <w:rPr>
                <w:sz w:val="22"/>
                <w:szCs w:val="20"/>
              </w:rPr>
              <w:t>5.2</w:t>
            </w:r>
            <w:r w:rsidR="0091796C">
              <w:rPr>
                <w:sz w:val="22"/>
                <w:szCs w:val="20"/>
              </w:rPr>
              <w:fldChar w:fldCharType="end"/>
            </w:r>
          </w:p>
        </w:tc>
      </w:tr>
      <w:tr w:rsidR="0091796C" w:rsidRPr="000A51C3" w14:paraId="48A8A3AB" w14:textId="77777777" w:rsidTr="000D6BF8">
        <w:trPr>
          <w:jc w:val="center"/>
        </w:trPr>
        <w:tc>
          <w:tcPr>
            <w:tcW w:w="0" w:type="dxa"/>
            <w:vAlign w:val="center"/>
          </w:tcPr>
          <w:p w14:paraId="190FA7D6" w14:textId="77777777" w:rsidR="0091796C" w:rsidRPr="00FA5BA6" w:rsidRDefault="0091796C">
            <w:pPr>
              <w:pStyle w:val="TableText"/>
              <w:rPr>
                <w:sz w:val="22"/>
              </w:rPr>
            </w:pPr>
            <w:r w:rsidRPr="00FA5BA6">
              <w:rPr>
                <w:sz w:val="22"/>
              </w:rPr>
              <w:t>TU2.2</w:t>
            </w:r>
          </w:p>
        </w:tc>
        <w:tc>
          <w:tcPr>
            <w:tcW w:w="0" w:type="dxa"/>
          </w:tcPr>
          <w:p w14:paraId="08A689B2" w14:textId="77777777" w:rsidR="0091796C" w:rsidRPr="00FA5BA6" w:rsidRDefault="0091796C">
            <w:pPr>
              <w:pStyle w:val="TableText"/>
              <w:rPr>
                <w:sz w:val="22"/>
              </w:rPr>
            </w:pPr>
            <w:r w:rsidRPr="00FA5BA6">
              <w:rPr>
                <w:sz w:val="22"/>
              </w:rPr>
              <w:t>Suggested categories of external hazards to inform identification process.</w:t>
            </w:r>
          </w:p>
        </w:tc>
        <w:tc>
          <w:tcPr>
            <w:tcW w:w="0" w:type="dxa"/>
            <w:vMerge/>
          </w:tcPr>
          <w:p w14:paraId="77FD3A0B" w14:textId="77777777" w:rsidR="0091796C" w:rsidRPr="000A51C3" w:rsidRDefault="0091796C">
            <w:pPr>
              <w:pStyle w:val="TableText"/>
              <w:rPr>
                <w:sz w:val="22"/>
                <w:szCs w:val="20"/>
              </w:rPr>
            </w:pPr>
          </w:p>
        </w:tc>
      </w:tr>
      <w:tr w:rsidR="00E322D1" w:rsidRPr="000A51C3" w14:paraId="57FD5DBF" w14:textId="77777777" w:rsidTr="00547634">
        <w:trPr>
          <w:jc w:val="center"/>
        </w:trPr>
        <w:tc>
          <w:tcPr>
            <w:tcW w:w="0" w:type="dxa"/>
            <w:gridSpan w:val="3"/>
          </w:tcPr>
          <w:p w14:paraId="089BB1B7" w14:textId="77777777" w:rsidR="00E322D1" w:rsidRPr="00FA5BA6" w:rsidRDefault="00E322D1">
            <w:pPr>
              <w:pStyle w:val="TableText"/>
              <w:spacing w:before="0" w:after="0"/>
              <w:rPr>
                <w:sz w:val="22"/>
              </w:rPr>
            </w:pPr>
            <w:r w:rsidRPr="00DE4878">
              <w:rPr>
                <w:b/>
                <w:bCs/>
                <w:color w:val="FF0000"/>
                <w:sz w:val="22"/>
              </w:rPr>
              <w:t>TU3. Site Specific external hazard screening and assessment</w:t>
            </w:r>
          </w:p>
        </w:tc>
      </w:tr>
      <w:tr w:rsidR="00E322D1" w:rsidRPr="000A51C3" w14:paraId="3CA60DD0" w14:textId="77777777" w:rsidTr="000D6BF8">
        <w:trPr>
          <w:jc w:val="center"/>
        </w:trPr>
        <w:tc>
          <w:tcPr>
            <w:tcW w:w="0" w:type="dxa"/>
            <w:vAlign w:val="center"/>
          </w:tcPr>
          <w:p w14:paraId="2E023EEE" w14:textId="77777777" w:rsidR="00E322D1" w:rsidRPr="00FA5BA6" w:rsidRDefault="00E322D1">
            <w:pPr>
              <w:pStyle w:val="TableText"/>
              <w:rPr>
                <w:sz w:val="22"/>
              </w:rPr>
            </w:pPr>
            <w:r w:rsidRPr="00FA5BA6">
              <w:rPr>
                <w:sz w:val="22"/>
              </w:rPr>
              <w:t>TU3.1</w:t>
            </w:r>
          </w:p>
        </w:tc>
        <w:tc>
          <w:tcPr>
            <w:tcW w:w="0" w:type="dxa"/>
          </w:tcPr>
          <w:p w14:paraId="2735026F" w14:textId="77777777" w:rsidR="00E322D1" w:rsidRPr="00FA5BA6" w:rsidRDefault="00E322D1">
            <w:pPr>
              <w:pStyle w:val="TableText"/>
              <w:rPr>
                <w:sz w:val="22"/>
              </w:rPr>
            </w:pPr>
            <w:r w:rsidRPr="00FA5BA6">
              <w:rPr>
                <w:sz w:val="22"/>
              </w:rPr>
              <w:t>Screening of external hazards should be based on a consequence or frequency basis.</w:t>
            </w:r>
          </w:p>
        </w:tc>
        <w:tc>
          <w:tcPr>
            <w:tcW w:w="0" w:type="dxa"/>
            <w:vAlign w:val="center"/>
          </w:tcPr>
          <w:p w14:paraId="37AB2B39" w14:textId="10BC5F45" w:rsidR="00E322D1" w:rsidRPr="000A51C3" w:rsidRDefault="00E8403D" w:rsidP="00547634">
            <w:pPr>
              <w:pStyle w:val="TableText"/>
              <w:jc w:val="center"/>
              <w:rPr>
                <w:sz w:val="22"/>
                <w:szCs w:val="20"/>
              </w:rPr>
            </w:pPr>
            <w:r>
              <w:rPr>
                <w:sz w:val="22"/>
                <w:szCs w:val="20"/>
              </w:rPr>
              <w:t>§</w:t>
            </w:r>
            <w:r w:rsidR="0005125C">
              <w:rPr>
                <w:sz w:val="22"/>
                <w:szCs w:val="20"/>
              </w:rPr>
              <w:fldChar w:fldCharType="begin"/>
            </w:r>
            <w:r w:rsidR="0005125C">
              <w:rPr>
                <w:sz w:val="22"/>
                <w:szCs w:val="20"/>
              </w:rPr>
              <w:instrText xml:space="preserve"> REF _Ref138931870 \r \h </w:instrText>
            </w:r>
            <w:r w:rsidR="0005125C">
              <w:rPr>
                <w:sz w:val="22"/>
                <w:szCs w:val="20"/>
              </w:rPr>
            </w:r>
            <w:r w:rsidR="0005125C">
              <w:rPr>
                <w:sz w:val="22"/>
                <w:szCs w:val="20"/>
              </w:rPr>
              <w:fldChar w:fldCharType="separate"/>
            </w:r>
            <w:r w:rsidR="008B51F7">
              <w:rPr>
                <w:sz w:val="22"/>
                <w:szCs w:val="20"/>
              </w:rPr>
              <w:t>5.3</w:t>
            </w:r>
            <w:r w:rsidR="0005125C">
              <w:rPr>
                <w:sz w:val="22"/>
                <w:szCs w:val="20"/>
              </w:rPr>
              <w:fldChar w:fldCharType="end"/>
            </w:r>
            <w:r w:rsidR="0005125C">
              <w:rPr>
                <w:sz w:val="22"/>
                <w:szCs w:val="20"/>
              </w:rPr>
              <w:t xml:space="preserve"> and</w:t>
            </w:r>
            <w:r w:rsidR="0091796C">
              <w:rPr>
                <w:sz w:val="22"/>
                <w:szCs w:val="20"/>
              </w:rPr>
              <w:t xml:space="preserve"> </w:t>
            </w:r>
            <w:r>
              <w:rPr>
                <w:sz w:val="22"/>
                <w:szCs w:val="20"/>
              </w:rPr>
              <w:t>§</w:t>
            </w:r>
            <w:r w:rsidR="0091796C">
              <w:rPr>
                <w:sz w:val="22"/>
                <w:szCs w:val="20"/>
              </w:rPr>
              <w:fldChar w:fldCharType="begin"/>
            </w:r>
            <w:r w:rsidR="0091796C">
              <w:rPr>
                <w:sz w:val="22"/>
                <w:szCs w:val="20"/>
              </w:rPr>
              <w:instrText xml:space="preserve"> REF _Ref138756012 \r \h </w:instrText>
            </w:r>
            <w:r w:rsidR="0091796C">
              <w:rPr>
                <w:sz w:val="22"/>
                <w:szCs w:val="20"/>
              </w:rPr>
            </w:r>
            <w:r w:rsidR="0091796C">
              <w:rPr>
                <w:sz w:val="22"/>
                <w:szCs w:val="20"/>
              </w:rPr>
              <w:fldChar w:fldCharType="separate"/>
            </w:r>
            <w:r w:rsidR="008B51F7">
              <w:rPr>
                <w:sz w:val="22"/>
                <w:szCs w:val="20"/>
              </w:rPr>
              <w:t>5.4</w:t>
            </w:r>
            <w:r w:rsidR="0091796C">
              <w:rPr>
                <w:sz w:val="22"/>
                <w:szCs w:val="20"/>
              </w:rPr>
              <w:fldChar w:fldCharType="end"/>
            </w:r>
          </w:p>
        </w:tc>
      </w:tr>
      <w:tr w:rsidR="00FB6055" w:rsidRPr="000A51C3" w14:paraId="52DDC98C" w14:textId="77777777" w:rsidTr="000D6BF8">
        <w:trPr>
          <w:jc w:val="center"/>
        </w:trPr>
        <w:tc>
          <w:tcPr>
            <w:tcW w:w="0" w:type="dxa"/>
            <w:vAlign w:val="center"/>
          </w:tcPr>
          <w:p w14:paraId="496CB1D0" w14:textId="77777777" w:rsidR="00FB6055" w:rsidRPr="00FA5BA6" w:rsidRDefault="00FB6055">
            <w:pPr>
              <w:pStyle w:val="TableText"/>
              <w:rPr>
                <w:sz w:val="22"/>
              </w:rPr>
            </w:pPr>
            <w:r w:rsidRPr="00FA5BA6">
              <w:rPr>
                <w:sz w:val="22"/>
              </w:rPr>
              <w:t>TU3.2</w:t>
            </w:r>
          </w:p>
        </w:tc>
        <w:tc>
          <w:tcPr>
            <w:tcW w:w="0" w:type="dxa"/>
          </w:tcPr>
          <w:p w14:paraId="69EE5CD0" w14:textId="77777777" w:rsidR="00FB6055" w:rsidRPr="00FA5BA6" w:rsidRDefault="00FB6055">
            <w:pPr>
              <w:pStyle w:val="TableText"/>
              <w:rPr>
                <w:sz w:val="22"/>
              </w:rPr>
            </w:pPr>
            <w:r w:rsidRPr="00FA5BA6">
              <w:rPr>
                <w:sz w:val="22"/>
              </w:rPr>
              <w:t>Characterisation of the external hazards shall be robust using appropriate science and technology.</w:t>
            </w:r>
          </w:p>
        </w:tc>
        <w:tc>
          <w:tcPr>
            <w:tcW w:w="0" w:type="dxa"/>
            <w:vMerge w:val="restart"/>
            <w:vAlign w:val="center"/>
          </w:tcPr>
          <w:p w14:paraId="786B991C" w14:textId="5B4B36E4" w:rsidR="00FB6055" w:rsidRPr="000A51C3" w:rsidRDefault="00E8403D" w:rsidP="00547634">
            <w:pPr>
              <w:pStyle w:val="TableText"/>
              <w:jc w:val="center"/>
              <w:rPr>
                <w:sz w:val="22"/>
                <w:szCs w:val="20"/>
              </w:rPr>
            </w:pPr>
            <w:r>
              <w:rPr>
                <w:sz w:val="22"/>
                <w:szCs w:val="20"/>
              </w:rPr>
              <w:t>§</w:t>
            </w:r>
            <w:r w:rsidR="00FB6055">
              <w:rPr>
                <w:sz w:val="22"/>
                <w:szCs w:val="20"/>
              </w:rPr>
              <w:fldChar w:fldCharType="begin"/>
            </w:r>
            <w:r w:rsidR="00FB6055">
              <w:rPr>
                <w:sz w:val="22"/>
                <w:szCs w:val="20"/>
              </w:rPr>
              <w:instrText xml:space="preserve"> REF _Ref139285544 \r \h  \* MERGEFORMAT </w:instrText>
            </w:r>
            <w:r w:rsidR="00FB6055">
              <w:rPr>
                <w:sz w:val="22"/>
                <w:szCs w:val="20"/>
              </w:rPr>
            </w:r>
            <w:r w:rsidR="00FB6055">
              <w:rPr>
                <w:sz w:val="22"/>
                <w:szCs w:val="20"/>
              </w:rPr>
              <w:fldChar w:fldCharType="separate"/>
            </w:r>
            <w:r w:rsidR="008B51F7">
              <w:rPr>
                <w:sz w:val="22"/>
                <w:szCs w:val="20"/>
              </w:rPr>
              <w:t>5.5</w:t>
            </w:r>
            <w:r w:rsidR="00FB6055">
              <w:rPr>
                <w:sz w:val="22"/>
                <w:szCs w:val="20"/>
              </w:rPr>
              <w:fldChar w:fldCharType="end"/>
            </w:r>
            <w:r w:rsidR="00FB6055">
              <w:rPr>
                <w:sz w:val="22"/>
                <w:szCs w:val="20"/>
              </w:rPr>
              <w:t xml:space="preserve"> and </w:t>
            </w:r>
            <w:r>
              <w:rPr>
                <w:sz w:val="22"/>
                <w:szCs w:val="20"/>
              </w:rPr>
              <w:t>§</w:t>
            </w:r>
            <w:r w:rsidR="00FB6055">
              <w:rPr>
                <w:sz w:val="22"/>
                <w:szCs w:val="20"/>
              </w:rPr>
              <w:fldChar w:fldCharType="begin"/>
            </w:r>
            <w:r w:rsidR="00FB6055">
              <w:rPr>
                <w:sz w:val="22"/>
                <w:szCs w:val="20"/>
              </w:rPr>
              <w:instrText xml:space="preserve"> REF _Ref138753845 \r \h  \* MERGEFORMAT </w:instrText>
            </w:r>
            <w:r w:rsidR="00FB6055">
              <w:rPr>
                <w:sz w:val="22"/>
                <w:szCs w:val="20"/>
              </w:rPr>
            </w:r>
            <w:r w:rsidR="00FB6055">
              <w:rPr>
                <w:sz w:val="22"/>
                <w:szCs w:val="20"/>
              </w:rPr>
              <w:fldChar w:fldCharType="separate"/>
            </w:r>
            <w:r w:rsidR="008B51F7">
              <w:rPr>
                <w:sz w:val="22"/>
                <w:szCs w:val="20"/>
              </w:rPr>
              <w:t>5.6.10</w:t>
            </w:r>
            <w:r w:rsidR="00FB6055">
              <w:rPr>
                <w:sz w:val="22"/>
                <w:szCs w:val="20"/>
              </w:rPr>
              <w:fldChar w:fldCharType="end"/>
            </w:r>
          </w:p>
        </w:tc>
      </w:tr>
      <w:tr w:rsidR="00FB6055" w:rsidRPr="000A51C3" w14:paraId="09ED9D2C" w14:textId="77777777" w:rsidTr="000D6BF8">
        <w:trPr>
          <w:jc w:val="center"/>
        </w:trPr>
        <w:tc>
          <w:tcPr>
            <w:tcW w:w="0" w:type="dxa"/>
            <w:vAlign w:val="center"/>
          </w:tcPr>
          <w:p w14:paraId="2189DBCC" w14:textId="77777777" w:rsidR="00FB6055" w:rsidRPr="00FA5BA6" w:rsidRDefault="00FB6055">
            <w:pPr>
              <w:pStyle w:val="TableText"/>
              <w:rPr>
                <w:sz w:val="22"/>
              </w:rPr>
            </w:pPr>
            <w:r w:rsidRPr="00FA5BA6">
              <w:rPr>
                <w:sz w:val="22"/>
              </w:rPr>
              <w:t>TU3.3</w:t>
            </w:r>
          </w:p>
        </w:tc>
        <w:tc>
          <w:tcPr>
            <w:tcW w:w="0" w:type="dxa"/>
          </w:tcPr>
          <w:p w14:paraId="40C1F614" w14:textId="77777777" w:rsidR="00FB6055" w:rsidRPr="00FA5BA6" w:rsidRDefault="00FB6055">
            <w:pPr>
              <w:pStyle w:val="TableText"/>
              <w:rPr>
                <w:sz w:val="22"/>
              </w:rPr>
            </w:pPr>
            <w:r w:rsidRPr="00FA5BA6">
              <w:rPr>
                <w:sz w:val="22"/>
              </w:rPr>
              <w:t>All relevant site and regional data should be used. Special consideration given to hazards that are subject to change over the expected lifetime of the facility.</w:t>
            </w:r>
          </w:p>
          <w:p w14:paraId="6C0A365A" w14:textId="77777777" w:rsidR="00FB6055" w:rsidRPr="00FA5BA6" w:rsidRDefault="00FB6055">
            <w:pPr>
              <w:pStyle w:val="TableText"/>
              <w:rPr>
                <w:sz w:val="22"/>
              </w:rPr>
            </w:pPr>
            <w:r w:rsidRPr="00FA5BA6">
              <w:rPr>
                <w:sz w:val="22"/>
              </w:rPr>
              <w:t xml:space="preserve">Justification of methodologies and evaluation of uncertainties is expected. </w:t>
            </w:r>
          </w:p>
        </w:tc>
        <w:tc>
          <w:tcPr>
            <w:tcW w:w="0" w:type="dxa"/>
            <w:vMerge/>
          </w:tcPr>
          <w:p w14:paraId="5ED419C6" w14:textId="77777777" w:rsidR="00FB6055" w:rsidRPr="000A51C3" w:rsidRDefault="00FB6055">
            <w:pPr>
              <w:pStyle w:val="TableText"/>
              <w:rPr>
                <w:sz w:val="22"/>
                <w:szCs w:val="20"/>
              </w:rPr>
            </w:pPr>
          </w:p>
        </w:tc>
      </w:tr>
      <w:tr w:rsidR="00E322D1" w:rsidRPr="000A51C3" w14:paraId="276EBF0D" w14:textId="77777777" w:rsidTr="00547634">
        <w:trPr>
          <w:jc w:val="center"/>
        </w:trPr>
        <w:tc>
          <w:tcPr>
            <w:tcW w:w="0" w:type="dxa"/>
            <w:gridSpan w:val="3"/>
          </w:tcPr>
          <w:p w14:paraId="7BB34519" w14:textId="0E621FB4" w:rsidR="00E322D1" w:rsidRPr="00FA5BA6" w:rsidRDefault="00E322D1">
            <w:pPr>
              <w:pStyle w:val="TableText"/>
              <w:spacing w:before="0" w:after="0"/>
              <w:rPr>
                <w:sz w:val="22"/>
              </w:rPr>
            </w:pPr>
            <w:r w:rsidRPr="00DE4878">
              <w:rPr>
                <w:b/>
                <w:bCs/>
                <w:color w:val="FF0000"/>
                <w:sz w:val="22"/>
              </w:rPr>
              <w:t xml:space="preserve">TU4. Definition of the </w:t>
            </w:r>
            <w:r w:rsidR="002572E2">
              <w:rPr>
                <w:b/>
                <w:bCs/>
                <w:color w:val="FF0000"/>
                <w:sz w:val="22"/>
              </w:rPr>
              <w:t>DBEs</w:t>
            </w:r>
            <w:r w:rsidRPr="00DE4878">
              <w:rPr>
                <w:b/>
                <w:bCs/>
                <w:color w:val="FF0000"/>
                <w:sz w:val="22"/>
              </w:rPr>
              <w:t xml:space="preserve"> for external hazards</w:t>
            </w:r>
          </w:p>
        </w:tc>
      </w:tr>
      <w:tr w:rsidR="00FB6055" w:rsidRPr="000A51C3" w14:paraId="7C048AA0" w14:textId="77777777" w:rsidTr="000D6BF8">
        <w:trPr>
          <w:jc w:val="center"/>
        </w:trPr>
        <w:tc>
          <w:tcPr>
            <w:tcW w:w="0" w:type="dxa"/>
            <w:vAlign w:val="center"/>
          </w:tcPr>
          <w:p w14:paraId="5EA43002" w14:textId="77777777" w:rsidR="00FB6055" w:rsidRPr="00FA5BA6" w:rsidRDefault="00FB6055">
            <w:pPr>
              <w:pStyle w:val="TableText"/>
              <w:rPr>
                <w:sz w:val="22"/>
              </w:rPr>
            </w:pPr>
            <w:r w:rsidRPr="00FA5BA6">
              <w:rPr>
                <w:sz w:val="22"/>
              </w:rPr>
              <w:t>TU4.1</w:t>
            </w:r>
          </w:p>
        </w:tc>
        <w:tc>
          <w:tcPr>
            <w:tcW w:w="0" w:type="dxa"/>
          </w:tcPr>
          <w:p w14:paraId="5BD2B835" w14:textId="7578D150" w:rsidR="00FB6055" w:rsidRPr="00FA5BA6" w:rsidRDefault="00FB6055">
            <w:pPr>
              <w:pStyle w:val="TableText"/>
              <w:rPr>
                <w:sz w:val="22"/>
              </w:rPr>
            </w:pPr>
            <w:r w:rsidRPr="00FA5BA6">
              <w:rPr>
                <w:sz w:val="22"/>
              </w:rPr>
              <w:t xml:space="preserve">Design basis events shall be defined based on-site specific hazard assessment. </w:t>
            </w:r>
          </w:p>
        </w:tc>
        <w:tc>
          <w:tcPr>
            <w:tcW w:w="0" w:type="dxa"/>
            <w:vMerge w:val="restart"/>
            <w:vAlign w:val="center"/>
          </w:tcPr>
          <w:p w14:paraId="3DF1B048" w14:textId="7522E743" w:rsidR="00FB6055" w:rsidRPr="000A51C3" w:rsidRDefault="00E8403D" w:rsidP="00547634">
            <w:pPr>
              <w:pStyle w:val="TableText"/>
              <w:jc w:val="center"/>
              <w:rPr>
                <w:sz w:val="22"/>
                <w:szCs w:val="20"/>
              </w:rPr>
            </w:pPr>
            <w:r>
              <w:rPr>
                <w:sz w:val="22"/>
                <w:szCs w:val="20"/>
              </w:rPr>
              <w:t>§</w:t>
            </w:r>
            <w:r w:rsidR="00825E91">
              <w:rPr>
                <w:sz w:val="22"/>
                <w:szCs w:val="20"/>
              </w:rPr>
              <w:fldChar w:fldCharType="begin"/>
            </w:r>
            <w:r w:rsidR="00825E91">
              <w:rPr>
                <w:sz w:val="22"/>
                <w:szCs w:val="20"/>
              </w:rPr>
              <w:instrText xml:space="preserve"> REF _Ref138674429 \r \h </w:instrText>
            </w:r>
            <w:r w:rsidR="00825E91">
              <w:rPr>
                <w:sz w:val="22"/>
                <w:szCs w:val="20"/>
              </w:rPr>
            </w:r>
            <w:r w:rsidR="00825E91">
              <w:rPr>
                <w:sz w:val="22"/>
                <w:szCs w:val="20"/>
              </w:rPr>
              <w:fldChar w:fldCharType="separate"/>
            </w:r>
            <w:r w:rsidR="008B51F7">
              <w:rPr>
                <w:sz w:val="22"/>
                <w:szCs w:val="20"/>
              </w:rPr>
              <w:t>5.6</w:t>
            </w:r>
            <w:r w:rsidR="00825E91">
              <w:rPr>
                <w:sz w:val="22"/>
                <w:szCs w:val="20"/>
              </w:rPr>
              <w:fldChar w:fldCharType="end"/>
            </w:r>
          </w:p>
        </w:tc>
      </w:tr>
      <w:tr w:rsidR="00FB6055" w:rsidRPr="000A51C3" w14:paraId="057EB037" w14:textId="77777777" w:rsidTr="000D6BF8">
        <w:trPr>
          <w:jc w:val="center"/>
        </w:trPr>
        <w:tc>
          <w:tcPr>
            <w:tcW w:w="0" w:type="dxa"/>
            <w:vAlign w:val="center"/>
          </w:tcPr>
          <w:p w14:paraId="55471F79" w14:textId="77777777" w:rsidR="00FB6055" w:rsidRPr="00FA5BA6" w:rsidRDefault="00FB6055">
            <w:pPr>
              <w:pStyle w:val="TableText"/>
              <w:spacing w:before="0" w:after="0"/>
              <w:rPr>
                <w:sz w:val="22"/>
              </w:rPr>
            </w:pPr>
            <w:r w:rsidRPr="00FA5BA6">
              <w:rPr>
                <w:sz w:val="22"/>
              </w:rPr>
              <w:t>TU4.2</w:t>
            </w:r>
          </w:p>
        </w:tc>
        <w:tc>
          <w:tcPr>
            <w:tcW w:w="0" w:type="dxa"/>
          </w:tcPr>
          <w:p w14:paraId="248F4ED5" w14:textId="77777777" w:rsidR="00FB6055" w:rsidRPr="00DE4878" w:rsidRDefault="00FB6055">
            <w:pPr>
              <w:autoSpaceDE w:val="0"/>
              <w:autoSpaceDN w:val="0"/>
              <w:adjustRightInd w:val="0"/>
              <w:spacing w:after="0" w:line="240" w:lineRule="auto"/>
              <w:rPr>
                <w:rFonts w:asciiTheme="minorHAnsi" w:hAnsiTheme="minorHAnsi" w:cstheme="minorHAnsi"/>
                <w:sz w:val="22"/>
                <w:lang w:eastAsia="en-GB" w:bidi="ar-SA"/>
              </w:rPr>
            </w:pPr>
            <w:r w:rsidRPr="00DE4878">
              <w:rPr>
                <w:rFonts w:asciiTheme="minorHAnsi" w:hAnsiTheme="minorHAnsi" w:cstheme="minorHAnsi"/>
                <w:sz w:val="22"/>
                <w:lang w:eastAsia="en-GB" w:bidi="ar-SA"/>
              </w:rPr>
              <w:t xml:space="preserve">The exceedance frequencies of design basis events shall be low enough to ensure a high degree </w:t>
            </w:r>
            <w:r w:rsidRPr="00DE4878">
              <w:rPr>
                <w:rFonts w:asciiTheme="minorHAnsi" w:hAnsiTheme="minorHAnsi" w:cstheme="minorHAnsi"/>
                <w:sz w:val="22"/>
                <w:lang w:eastAsia="en-GB" w:bidi="ar-SA"/>
              </w:rPr>
              <w:lastRenderedPageBreak/>
              <w:t>of protection with respect to external hazards.</w:t>
            </w:r>
          </w:p>
          <w:p w14:paraId="28D00E1B" w14:textId="77777777" w:rsidR="00FB6055" w:rsidRPr="00FA5BA6" w:rsidRDefault="00FB6055">
            <w:pPr>
              <w:autoSpaceDE w:val="0"/>
              <w:autoSpaceDN w:val="0"/>
              <w:adjustRightInd w:val="0"/>
              <w:spacing w:after="0" w:line="240" w:lineRule="auto"/>
              <w:rPr>
                <w:rFonts w:asciiTheme="minorHAnsi" w:hAnsiTheme="minorHAnsi" w:cstheme="minorHAnsi"/>
                <w:sz w:val="22"/>
              </w:rPr>
            </w:pPr>
            <w:r w:rsidRPr="00DE4878">
              <w:rPr>
                <w:rFonts w:asciiTheme="minorHAnsi" w:hAnsiTheme="minorHAnsi" w:cstheme="minorHAnsi"/>
                <w:sz w:val="22"/>
              </w:rPr>
              <w:t>For seismic, a minimum horizontal design basis level of 0.1g PGA shall be met.</w:t>
            </w:r>
          </w:p>
          <w:p w14:paraId="50B9FBA6" w14:textId="77777777" w:rsidR="00FB6055" w:rsidRPr="00FA5BA6" w:rsidRDefault="00FB6055">
            <w:pPr>
              <w:autoSpaceDE w:val="0"/>
              <w:autoSpaceDN w:val="0"/>
              <w:adjustRightInd w:val="0"/>
              <w:spacing w:after="0" w:line="240" w:lineRule="auto"/>
              <w:rPr>
                <w:sz w:val="22"/>
              </w:rPr>
            </w:pPr>
            <w:r w:rsidRPr="00FA5BA6">
              <w:rPr>
                <w:sz w:val="22"/>
              </w:rPr>
              <w:t>A minimum design basis shall be defined for accidental aircraft impact and blast.</w:t>
            </w:r>
          </w:p>
        </w:tc>
        <w:tc>
          <w:tcPr>
            <w:tcW w:w="0" w:type="dxa"/>
            <w:vMerge/>
          </w:tcPr>
          <w:p w14:paraId="09F7E0FB" w14:textId="77777777" w:rsidR="00FB6055" w:rsidRPr="000A51C3" w:rsidRDefault="00FB6055">
            <w:pPr>
              <w:pStyle w:val="TableText"/>
              <w:rPr>
                <w:sz w:val="22"/>
                <w:szCs w:val="20"/>
              </w:rPr>
            </w:pPr>
          </w:p>
        </w:tc>
      </w:tr>
      <w:tr w:rsidR="00FB6055" w:rsidRPr="000A51C3" w14:paraId="2FB17B75" w14:textId="77777777" w:rsidTr="000D6BF8">
        <w:trPr>
          <w:jc w:val="center"/>
        </w:trPr>
        <w:tc>
          <w:tcPr>
            <w:tcW w:w="0" w:type="dxa"/>
            <w:vAlign w:val="center"/>
          </w:tcPr>
          <w:p w14:paraId="683AD5D7" w14:textId="77777777" w:rsidR="00FB6055" w:rsidRPr="00FA5BA6" w:rsidRDefault="00FB6055">
            <w:pPr>
              <w:pStyle w:val="TableText"/>
              <w:rPr>
                <w:sz w:val="22"/>
              </w:rPr>
            </w:pPr>
            <w:r w:rsidRPr="00FA5BA6">
              <w:rPr>
                <w:sz w:val="22"/>
              </w:rPr>
              <w:t>TU4.3</w:t>
            </w:r>
          </w:p>
        </w:tc>
        <w:tc>
          <w:tcPr>
            <w:tcW w:w="0" w:type="dxa"/>
          </w:tcPr>
          <w:p w14:paraId="342A8B39" w14:textId="77777777" w:rsidR="00FB6055" w:rsidRPr="00FA5BA6" w:rsidRDefault="00FB6055">
            <w:pPr>
              <w:pStyle w:val="TableText"/>
              <w:rPr>
                <w:sz w:val="22"/>
              </w:rPr>
            </w:pPr>
            <w:r w:rsidRPr="00FA5BA6">
              <w:rPr>
                <w:sz w:val="22"/>
              </w:rPr>
              <w:t xml:space="preserve">Confirmation that the design basis envelopes historical events. </w:t>
            </w:r>
          </w:p>
        </w:tc>
        <w:tc>
          <w:tcPr>
            <w:tcW w:w="0" w:type="dxa"/>
            <w:vMerge/>
          </w:tcPr>
          <w:p w14:paraId="5F2BD5AF" w14:textId="77777777" w:rsidR="00FB6055" w:rsidRPr="000A51C3" w:rsidRDefault="00FB6055">
            <w:pPr>
              <w:pStyle w:val="TableText"/>
              <w:rPr>
                <w:sz w:val="22"/>
                <w:szCs w:val="20"/>
              </w:rPr>
            </w:pPr>
          </w:p>
        </w:tc>
      </w:tr>
      <w:tr w:rsidR="00FB6055" w:rsidRPr="000A51C3" w14:paraId="175A13ED" w14:textId="77777777" w:rsidTr="000D6BF8">
        <w:trPr>
          <w:jc w:val="center"/>
        </w:trPr>
        <w:tc>
          <w:tcPr>
            <w:tcW w:w="0" w:type="dxa"/>
            <w:vAlign w:val="center"/>
          </w:tcPr>
          <w:p w14:paraId="46DA0C06" w14:textId="77777777" w:rsidR="00FB6055" w:rsidRPr="00FA5BA6" w:rsidRDefault="00FB6055">
            <w:pPr>
              <w:pStyle w:val="TableText"/>
              <w:rPr>
                <w:sz w:val="22"/>
              </w:rPr>
            </w:pPr>
            <w:r w:rsidRPr="00FA5BA6">
              <w:rPr>
                <w:sz w:val="22"/>
              </w:rPr>
              <w:t>TU4.4</w:t>
            </w:r>
          </w:p>
        </w:tc>
        <w:tc>
          <w:tcPr>
            <w:tcW w:w="0" w:type="dxa"/>
          </w:tcPr>
          <w:p w14:paraId="360C17D3" w14:textId="77777777" w:rsidR="00FB6055" w:rsidRPr="00FA5BA6" w:rsidRDefault="00FB6055">
            <w:pPr>
              <w:pStyle w:val="TableText"/>
              <w:rPr>
                <w:sz w:val="22"/>
              </w:rPr>
            </w:pPr>
            <w:r w:rsidRPr="00FA5BA6">
              <w:rPr>
                <w:sz w:val="22"/>
              </w:rPr>
              <w:t>Design basis parameters should duly consider the hazard assessment results and be developed on a conservative basis.</w:t>
            </w:r>
          </w:p>
        </w:tc>
        <w:tc>
          <w:tcPr>
            <w:tcW w:w="0" w:type="dxa"/>
            <w:vMerge/>
          </w:tcPr>
          <w:p w14:paraId="08FAC4BC" w14:textId="77777777" w:rsidR="00FB6055" w:rsidRPr="000A51C3" w:rsidRDefault="00FB6055">
            <w:pPr>
              <w:pStyle w:val="TableText"/>
              <w:rPr>
                <w:sz w:val="22"/>
                <w:szCs w:val="20"/>
              </w:rPr>
            </w:pPr>
          </w:p>
        </w:tc>
      </w:tr>
      <w:tr w:rsidR="00E322D1" w:rsidRPr="000A51C3" w14:paraId="276E151E" w14:textId="77777777" w:rsidTr="00547634">
        <w:trPr>
          <w:jc w:val="center"/>
        </w:trPr>
        <w:tc>
          <w:tcPr>
            <w:tcW w:w="0" w:type="dxa"/>
            <w:gridSpan w:val="3"/>
          </w:tcPr>
          <w:p w14:paraId="75BB2457" w14:textId="0F52834B" w:rsidR="00E322D1" w:rsidRPr="00FA5BA6" w:rsidRDefault="00E322D1">
            <w:pPr>
              <w:pStyle w:val="TableText"/>
              <w:spacing w:before="0" w:after="0"/>
              <w:rPr>
                <w:sz w:val="22"/>
              </w:rPr>
            </w:pPr>
            <w:r w:rsidRPr="00DE4878">
              <w:rPr>
                <w:b/>
                <w:bCs/>
                <w:color w:val="FF0000"/>
                <w:sz w:val="22"/>
              </w:rPr>
              <w:t xml:space="preserve">TU5. Protection against </w:t>
            </w:r>
            <w:r w:rsidR="002572E2">
              <w:rPr>
                <w:b/>
                <w:bCs/>
                <w:color w:val="FF0000"/>
                <w:sz w:val="22"/>
              </w:rPr>
              <w:t>DBEs</w:t>
            </w:r>
          </w:p>
        </w:tc>
      </w:tr>
      <w:tr w:rsidR="00FD037B" w:rsidRPr="000A51C3" w14:paraId="2B03A718" w14:textId="77777777" w:rsidTr="000D6BF8">
        <w:trPr>
          <w:jc w:val="center"/>
        </w:trPr>
        <w:tc>
          <w:tcPr>
            <w:tcW w:w="0" w:type="dxa"/>
            <w:vAlign w:val="center"/>
          </w:tcPr>
          <w:p w14:paraId="452CEEF3" w14:textId="77777777" w:rsidR="00FD037B" w:rsidRPr="00FA5BA6" w:rsidRDefault="00FD037B">
            <w:pPr>
              <w:pStyle w:val="TableText"/>
              <w:rPr>
                <w:sz w:val="22"/>
              </w:rPr>
            </w:pPr>
            <w:r w:rsidRPr="00FA5BA6">
              <w:rPr>
                <w:sz w:val="22"/>
              </w:rPr>
              <w:t>TU5.1</w:t>
            </w:r>
          </w:p>
        </w:tc>
        <w:tc>
          <w:tcPr>
            <w:tcW w:w="0" w:type="dxa"/>
            <w:vMerge w:val="restart"/>
          </w:tcPr>
          <w:p w14:paraId="67D7ABF4" w14:textId="77777777" w:rsidR="00FD037B" w:rsidRPr="00FA5BA6" w:rsidRDefault="00FD037B">
            <w:pPr>
              <w:pStyle w:val="TableText"/>
              <w:rPr>
                <w:sz w:val="22"/>
              </w:rPr>
            </w:pPr>
            <w:r>
              <w:rPr>
                <w:sz w:val="22"/>
              </w:rPr>
              <w:t>Providing protection for DBE's. Establishing the protection concept and ensuring it conservatively meets a variety of considerations.</w:t>
            </w:r>
          </w:p>
        </w:tc>
        <w:tc>
          <w:tcPr>
            <w:tcW w:w="0" w:type="dxa"/>
            <w:vMerge w:val="restart"/>
            <w:vAlign w:val="center"/>
          </w:tcPr>
          <w:p w14:paraId="57EC9B03" w14:textId="7541D7FB" w:rsidR="00FD037B" w:rsidRPr="000A51C3" w:rsidRDefault="00E8403D" w:rsidP="00547634">
            <w:pPr>
              <w:pStyle w:val="TableText"/>
              <w:jc w:val="center"/>
              <w:rPr>
                <w:sz w:val="22"/>
                <w:szCs w:val="20"/>
              </w:rPr>
            </w:pPr>
            <w:r>
              <w:rPr>
                <w:sz w:val="22"/>
                <w:szCs w:val="20"/>
              </w:rPr>
              <w:t>§</w:t>
            </w:r>
            <w:r w:rsidR="00FD037B">
              <w:rPr>
                <w:sz w:val="22"/>
                <w:szCs w:val="20"/>
              </w:rPr>
              <w:fldChar w:fldCharType="begin"/>
            </w:r>
            <w:r w:rsidR="00FD037B">
              <w:rPr>
                <w:sz w:val="22"/>
                <w:szCs w:val="20"/>
              </w:rPr>
              <w:instrText xml:space="preserve"> REF _Ref138674429 \r \h </w:instrText>
            </w:r>
            <w:r w:rsidR="00FD037B">
              <w:rPr>
                <w:sz w:val="22"/>
                <w:szCs w:val="20"/>
              </w:rPr>
            </w:r>
            <w:r w:rsidR="00FD037B">
              <w:rPr>
                <w:sz w:val="22"/>
                <w:szCs w:val="20"/>
              </w:rPr>
              <w:fldChar w:fldCharType="separate"/>
            </w:r>
            <w:r w:rsidR="008B51F7">
              <w:rPr>
                <w:sz w:val="22"/>
                <w:szCs w:val="20"/>
              </w:rPr>
              <w:t>5.6</w:t>
            </w:r>
            <w:r w:rsidR="00FD037B">
              <w:rPr>
                <w:sz w:val="22"/>
                <w:szCs w:val="20"/>
              </w:rPr>
              <w:fldChar w:fldCharType="end"/>
            </w:r>
            <w:r w:rsidR="00FD037B">
              <w:rPr>
                <w:sz w:val="22"/>
                <w:szCs w:val="20"/>
              </w:rPr>
              <w:t xml:space="preserve"> and see other discipline TAGs.</w:t>
            </w:r>
          </w:p>
        </w:tc>
      </w:tr>
      <w:tr w:rsidR="00FD037B" w:rsidRPr="000A51C3" w14:paraId="5260B80F" w14:textId="77777777" w:rsidTr="000D6BF8">
        <w:trPr>
          <w:jc w:val="center"/>
        </w:trPr>
        <w:tc>
          <w:tcPr>
            <w:tcW w:w="0" w:type="dxa"/>
            <w:vAlign w:val="center"/>
          </w:tcPr>
          <w:p w14:paraId="462E17DD" w14:textId="77777777" w:rsidR="00FD037B" w:rsidRDefault="00FD037B">
            <w:pPr>
              <w:pStyle w:val="TableText"/>
              <w:rPr>
                <w:sz w:val="22"/>
                <w:szCs w:val="20"/>
              </w:rPr>
            </w:pPr>
            <w:r>
              <w:rPr>
                <w:sz w:val="22"/>
                <w:szCs w:val="20"/>
              </w:rPr>
              <w:t>TU5.2</w:t>
            </w:r>
          </w:p>
        </w:tc>
        <w:tc>
          <w:tcPr>
            <w:tcW w:w="0" w:type="dxa"/>
            <w:vMerge/>
          </w:tcPr>
          <w:p w14:paraId="71565272" w14:textId="77777777" w:rsidR="00FD037B" w:rsidRPr="000A51C3" w:rsidRDefault="00FD037B">
            <w:pPr>
              <w:pStyle w:val="TableText"/>
              <w:rPr>
                <w:sz w:val="22"/>
                <w:szCs w:val="20"/>
              </w:rPr>
            </w:pPr>
          </w:p>
        </w:tc>
        <w:tc>
          <w:tcPr>
            <w:tcW w:w="0" w:type="dxa"/>
            <w:vMerge/>
          </w:tcPr>
          <w:p w14:paraId="17A5E577" w14:textId="77777777" w:rsidR="00FD037B" w:rsidRPr="000A51C3" w:rsidRDefault="00FD037B">
            <w:pPr>
              <w:pStyle w:val="TableText"/>
              <w:rPr>
                <w:sz w:val="22"/>
                <w:szCs w:val="20"/>
              </w:rPr>
            </w:pPr>
          </w:p>
        </w:tc>
      </w:tr>
      <w:tr w:rsidR="00FD037B" w:rsidRPr="000A51C3" w14:paraId="43513C59" w14:textId="77777777" w:rsidTr="000D6BF8">
        <w:trPr>
          <w:jc w:val="center"/>
        </w:trPr>
        <w:tc>
          <w:tcPr>
            <w:tcW w:w="0" w:type="dxa"/>
            <w:vAlign w:val="center"/>
          </w:tcPr>
          <w:p w14:paraId="6381E945" w14:textId="77777777" w:rsidR="00FD037B" w:rsidRDefault="00FD037B">
            <w:pPr>
              <w:pStyle w:val="TableText"/>
              <w:rPr>
                <w:sz w:val="22"/>
                <w:szCs w:val="20"/>
              </w:rPr>
            </w:pPr>
            <w:r>
              <w:rPr>
                <w:sz w:val="22"/>
                <w:szCs w:val="20"/>
              </w:rPr>
              <w:t>TU5.3 a) – h)</w:t>
            </w:r>
          </w:p>
        </w:tc>
        <w:tc>
          <w:tcPr>
            <w:tcW w:w="0" w:type="dxa"/>
            <w:vMerge/>
          </w:tcPr>
          <w:p w14:paraId="09DEE365" w14:textId="77777777" w:rsidR="00FD037B" w:rsidRPr="000A51C3" w:rsidRDefault="00FD037B">
            <w:pPr>
              <w:pStyle w:val="TableText"/>
              <w:rPr>
                <w:sz w:val="22"/>
                <w:szCs w:val="20"/>
              </w:rPr>
            </w:pPr>
          </w:p>
        </w:tc>
        <w:tc>
          <w:tcPr>
            <w:tcW w:w="0" w:type="dxa"/>
            <w:vMerge/>
          </w:tcPr>
          <w:p w14:paraId="46C65FAD" w14:textId="77777777" w:rsidR="00FD037B" w:rsidRPr="000A51C3" w:rsidRDefault="00FD037B">
            <w:pPr>
              <w:pStyle w:val="TableText"/>
              <w:rPr>
                <w:sz w:val="22"/>
                <w:szCs w:val="20"/>
              </w:rPr>
            </w:pPr>
          </w:p>
        </w:tc>
      </w:tr>
      <w:tr w:rsidR="00FD037B" w:rsidRPr="000A51C3" w14:paraId="3C8187DB" w14:textId="77777777" w:rsidTr="000D6BF8">
        <w:trPr>
          <w:jc w:val="center"/>
        </w:trPr>
        <w:tc>
          <w:tcPr>
            <w:tcW w:w="0" w:type="dxa"/>
            <w:vAlign w:val="center"/>
          </w:tcPr>
          <w:p w14:paraId="1E850DA2" w14:textId="77777777" w:rsidR="00FD037B" w:rsidRDefault="00FD037B">
            <w:pPr>
              <w:pStyle w:val="TableText"/>
              <w:rPr>
                <w:sz w:val="22"/>
                <w:szCs w:val="20"/>
              </w:rPr>
            </w:pPr>
            <w:r>
              <w:rPr>
                <w:sz w:val="22"/>
                <w:szCs w:val="20"/>
              </w:rPr>
              <w:t>TU5.4</w:t>
            </w:r>
          </w:p>
        </w:tc>
        <w:tc>
          <w:tcPr>
            <w:tcW w:w="0" w:type="dxa"/>
          </w:tcPr>
          <w:p w14:paraId="7168B785" w14:textId="77777777" w:rsidR="00FD037B" w:rsidRPr="000A51C3" w:rsidRDefault="00FD037B">
            <w:pPr>
              <w:pStyle w:val="TableText"/>
              <w:rPr>
                <w:sz w:val="22"/>
                <w:szCs w:val="20"/>
              </w:rPr>
            </w:pPr>
            <w:r>
              <w:rPr>
                <w:sz w:val="22"/>
                <w:szCs w:val="20"/>
              </w:rPr>
              <w:t>Identification and classification of the SSC’s that provide protection against external hazards.</w:t>
            </w:r>
          </w:p>
        </w:tc>
        <w:tc>
          <w:tcPr>
            <w:tcW w:w="0" w:type="dxa"/>
            <w:vMerge/>
          </w:tcPr>
          <w:p w14:paraId="595567F2" w14:textId="77777777" w:rsidR="00FD037B" w:rsidRPr="000A51C3" w:rsidRDefault="00FD037B">
            <w:pPr>
              <w:pStyle w:val="TableText"/>
              <w:rPr>
                <w:sz w:val="22"/>
                <w:szCs w:val="20"/>
              </w:rPr>
            </w:pPr>
          </w:p>
        </w:tc>
      </w:tr>
      <w:tr w:rsidR="00FD037B" w:rsidRPr="000A51C3" w14:paraId="653082D6" w14:textId="77777777" w:rsidTr="000D6BF8">
        <w:trPr>
          <w:jc w:val="center"/>
        </w:trPr>
        <w:tc>
          <w:tcPr>
            <w:tcW w:w="0" w:type="dxa"/>
            <w:vAlign w:val="center"/>
          </w:tcPr>
          <w:p w14:paraId="5045A756" w14:textId="77777777" w:rsidR="00FD037B" w:rsidRDefault="00FD037B">
            <w:pPr>
              <w:pStyle w:val="TableText"/>
              <w:rPr>
                <w:sz w:val="22"/>
                <w:szCs w:val="20"/>
              </w:rPr>
            </w:pPr>
            <w:r>
              <w:rPr>
                <w:sz w:val="22"/>
                <w:szCs w:val="20"/>
              </w:rPr>
              <w:t>TU5.5</w:t>
            </w:r>
          </w:p>
        </w:tc>
        <w:tc>
          <w:tcPr>
            <w:tcW w:w="0" w:type="dxa"/>
          </w:tcPr>
          <w:p w14:paraId="1B3172B9" w14:textId="77777777" w:rsidR="00FD037B" w:rsidRPr="000A51C3" w:rsidRDefault="00FD037B">
            <w:pPr>
              <w:pStyle w:val="TableText"/>
              <w:rPr>
                <w:sz w:val="22"/>
                <w:szCs w:val="20"/>
              </w:rPr>
            </w:pPr>
            <w:r>
              <w:rPr>
                <w:sz w:val="22"/>
                <w:szCs w:val="20"/>
              </w:rPr>
              <w:t>Monitoring and alert processes and associated thresholds shall be part of the protection concept.</w:t>
            </w:r>
          </w:p>
        </w:tc>
        <w:tc>
          <w:tcPr>
            <w:tcW w:w="0" w:type="dxa"/>
            <w:vMerge/>
          </w:tcPr>
          <w:p w14:paraId="530AECF0" w14:textId="77777777" w:rsidR="00FD037B" w:rsidRPr="000A51C3" w:rsidRDefault="00FD037B">
            <w:pPr>
              <w:pStyle w:val="TableText"/>
              <w:rPr>
                <w:sz w:val="22"/>
                <w:szCs w:val="20"/>
              </w:rPr>
            </w:pPr>
          </w:p>
        </w:tc>
      </w:tr>
      <w:tr w:rsidR="00E322D1" w:rsidRPr="000A51C3" w14:paraId="66E2313D" w14:textId="77777777" w:rsidTr="00547634">
        <w:trPr>
          <w:jc w:val="center"/>
        </w:trPr>
        <w:tc>
          <w:tcPr>
            <w:tcW w:w="0" w:type="dxa"/>
            <w:gridSpan w:val="3"/>
          </w:tcPr>
          <w:p w14:paraId="111828CE" w14:textId="3DECA543" w:rsidR="00E322D1" w:rsidRPr="000A51C3" w:rsidRDefault="00E322D1">
            <w:pPr>
              <w:pStyle w:val="TableText"/>
              <w:spacing w:before="0" w:after="0"/>
              <w:rPr>
                <w:sz w:val="22"/>
                <w:szCs w:val="20"/>
              </w:rPr>
            </w:pPr>
            <w:r w:rsidRPr="00AE531E">
              <w:rPr>
                <w:b/>
                <w:bCs/>
                <w:color w:val="FF0000"/>
                <w:sz w:val="22"/>
              </w:rPr>
              <w:t>TU</w:t>
            </w:r>
            <w:r>
              <w:rPr>
                <w:b/>
                <w:bCs/>
                <w:color w:val="FF0000"/>
                <w:sz w:val="22"/>
              </w:rPr>
              <w:t>6</w:t>
            </w:r>
            <w:r w:rsidRPr="00AE531E">
              <w:rPr>
                <w:b/>
                <w:bCs/>
                <w:color w:val="FF0000"/>
                <w:sz w:val="22"/>
              </w:rPr>
              <w:t>.</w:t>
            </w:r>
            <w:r>
              <w:rPr>
                <w:b/>
                <w:bCs/>
                <w:color w:val="FF0000"/>
                <w:sz w:val="22"/>
              </w:rPr>
              <w:t xml:space="preserve"> Considerations for events more severe than the </w:t>
            </w:r>
            <w:r w:rsidR="002572E2">
              <w:rPr>
                <w:b/>
                <w:bCs/>
                <w:color w:val="FF0000"/>
                <w:sz w:val="22"/>
              </w:rPr>
              <w:t>DBEs</w:t>
            </w:r>
          </w:p>
        </w:tc>
      </w:tr>
      <w:tr w:rsidR="00D21D33" w:rsidRPr="000A51C3" w14:paraId="75C368EC" w14:textId="77777777" w:rsidTr="000D6BF8">
        <w:trPr>
          <w:jc w:val="center"/>
        </w:trPr>
        <w:tc>
          <w:tcPr>
            <w:tcW w:w="0" w:type="dxa"/>
            <w:vAlign w:val="center"/>
          </w:tcPr>
          <w:p w14:paraId="0E87D92A" w14:textId="77777777" w:rsidR="00D21D33" w:rsidRDefault="00D21D33">
            <w:pPr>
              <w:pStyle w:val="TableText"/>
              <w:rPr>
                <w:sz w:val="22"/>
                <w:szCs w:val="20"/>
              </w:rPr>
            </w:pPr>
            <w:r>
              <w:rPr>
                <w:sz w:val="22"/>
                <w:szCs w:val="20"/>
              </w:rPr>
              <w:t>TU6.1</w:t>
            </w:r>
          </w:p>
        </w:tc>
        <w:tc>
          <w:tcPr>
            <w:tcW w:w="0" w:type="dxa"/>
          </w:tcPr>
          <w:p w14:paraId="0CA2D83C" w14:textId="77777777" w:rsidR="00D21D33" w:rsidRPr="000A51C3" w:rsidRDefault="00D21D33">
            <w:pPr>
              <w:pStyle w:val="TableText"/>
              <w:rPr>
                <w:sz w:val="22"/>
                <w:szCs w:val="20"/>
              </w:rPr>
            </w:pPr>
            <w:r>
              <w:rPr>
                <w:sz w:val="22"/>
                <w:szCs w:val="20"/>
              </w:rPr>
              <w:t>Identification of non-discreet external hazards that can give rise to events more severe than the DBE.</w:t>
            </w:r>
          </w:p>
        </w:tc>
        <w:tc>
          <w:tcPr>
            <w:tcW w:w="0" w:type="dxa"/>
            <w:vMerge w:val="restart"/>
            <w:vAlign w:val="center"/>
          </w:tcPr>
          <w:p w14:paraId="5E4E1D35" w14:textId="07C7E8E4" w:rsidR="00D21D33" w:rsidRPr="000A51C3" w:rsidRDefault="00E8403D" w:rsidP="00547634">
            <w:pPr>
              <w:pStyle w:val="TableText"/>
              <w:jc w:val="center"/>
              <w:rPr>
                <w:sz w:val="22"/>
                <w:szCs w:val="20"/>
              </w:rPr>
            </w:pPr>
            <w:r>
              <w:rPr>
                <w:sz w:val="22"/>
                <w:szCs w:val="20"/>
              </w:rPr>
              <w:t>§</w:t>
            </w:r>
            <w:r w:rsidR="00900FC7">
              <w:rPr>
                <w:sz w:val="22"/>
                <w:szCs w:val="20"/>
              </w:rPr>
              <w:fldChar w:fldCharType="begin"/>
            </w:r>
            <w:r w:rsidR="00900FC7">
              <w:rPr>
                <w:sz w:val="22"/>
                <w:szCs w:val="20"/>
              </w:rPr>
              <w:instrText xml:space="preserve"> REF _Ref139285544 \r \h  \* MERGEFORMAT </w:instrText>
            </w:r>
            <w:r w:rsidR="00900FC7">
              <w:rPr>
                <w:sz w:val="22"/>
                <w:szCs w:val="20"/>
              </w:rPr>
            </w:r>
            <w:r w:rsidR="00900FC7">
              <w:rPr>
                <w:sz w:val="22"/>
                <w:szCs w:val="20"/>
              </w:rPr>
              <w:fldChar w:fldCharType="separate"/>
            </w:r>
            <w:r w:rsidR="008B51F7">
              <w:rPr>
                <w:sz w:val="22"/>
                <w:szCs w:val="20"/>
              </w:rPr>
              <w:t>5.5</w:t>
            </w:r>
            <w:r w:rsidR="00900FC7">
              <w:rPr>
                <w:sz w:val="22"/>
                <w:szCs w:val="20"/>
              </w:rPr>
              <w:fldChar w:fldCharType="end"/>
            </w:r>
            <w:r w:rsidR="00900FC7">
              <w:rPr>
                <w:sz w:val="22"/>
                <w:szCs w:val="20"/>
              </w:rPr>
              <w:t xml:space="preserve"> </w:t>
            </w:r>
            <w:r w:rsidR="0017255E">
              <w:rPr>
                <w:sz w:val="22"/>
                <w:szCs w:val="20"/>
              </w:rPr>
              <w:t xml:space="preserve">and </w:t>
            </w:r>
            <w:r>
              <w:rPr>
                <w:sz w:val="22"/>
                <w:szCs w:val="20"/>
              </w:rPr>
              <w:t>§</w:t>
            </w:r>
            <w:r w:rsidR="00D21D33">
              <w:rPr>
                <w:sz w:val="22"/>
                <w:szCs w:val="20"/>
              </w:rPr>
              <w:fldChar w:fldCharType="begin"/>
            </w:r>
            <w:r w:rsidR="00D21D33">
              <w:rPr>
                <w:sz w:val="22"/>
                <w:szCs w:val="20"/>
              </w:rPr>
              <w:instrText xml:space="preserve"> REF _Ref138674429 \r \h </w:instrText>
            </w:r>
            <w:r w:rsidR="00D21D33">
              <w:rPr>
                <w:sz w:val="22"/>
                <w:szCs w:val="20"/>
              </w:rPr>
            </w:r>
            <w:r w:rsidR="00D21D33">
              <w:rPr>
                <w:sz w:val="22"/>
                <w:szCs w:val="20"/>
              </w:rPr>
              <w:fldChar w:fldCharType="separate"/>
            </w:r>
            <w:r w:rsidR="008B51F7">
              <w:rPr>
                <w:sz w:val="22"/>
                <w:szCs w:val="20"/>
              </w:rPr>
              <w:t>5.6</w:t>
            </w:r>
            <w:r w:rsidR="00D21D33">
              <w:rPr>
                <w:sz w:val="22"/>
                <w:szCs w:val="20"/>
              </w:rPr>
              <w:fldChar w:fldCharType="end"/>
            </w:r>
          </w:p>
        </w:tc>
      </w:tr>
      <w:tr w:rsidR="00D21D33" w:rsidRPr="000A51C3" w14:paraId="5D4B7F05" w14:textId="77777777" w:rsidTr="000D6BF8">
        <w:trPr>
          <w:jc w:val="center"/>
        </w:trPr>
        <w:tc>
          <w:tcPr>
            <w:tcW w:w="0" w:type="dxa"/>
            <w:vAlign w:val="center"/>
          </w:tcPr>
          <w:p w14:paraId="649D0A70" w14:textId="77777777" w:rsidR="00D21D33" w:rsidRDefault="00D21D33">
            <w:pPr>
              <w:pStyle w:val="TableText"/>
              <w:rPr>
                <w:sz w:val="22"/>
                <w:szCs w:val="20"/>
              </w:rPr>
            </w:pPr>
            <w:r>
              <w:rPr>
                <w:sz w:val="22"/>
                <w:szCs w:val="20"/>
              </w:rPr>
              <w:t>TU6.2</w:t>
            </w:r>
          </w:p>
        </w:tc>
        <w:tc>
          <w:tcPr>
            <w:tcW w:w="0" w:type="dxa"/>
          </w:tcPr>
          <w:p w14:paraId="77A64952" w14:textId="77777777" w:rsidR="00D21D33" w:rsidRPr="000A51C3" w:rsidRDefault="00D21D33">
            <w:pPr>
              <w:pStyle w:val="TableText"/>
              <w:rPr>
                <w:sz w:val="22"/>
                <w:szCs w:val="20"/>
              </w:rPr>
            </w:pPr>
            <w:r>
              <w:rPr>
                <w:sz w:val="22"/>
                <w:szCs w:val="20"/>
              </w:rPr>
              <w:t>Characterisation of external hazards in the beyond design basis region.</w:t>
            </w:r>
          </w:p>
        </w:tc>
        <w:tc>
          <w:tcPr>
            <w:tcW w:w="0" w:type="dxa"/>
            <w:vMerge/>
          </w:tcPr>
          <w:p w14:paraId="4157B870" w14:textId="77777777" w:rsidR="00D21D33" w:rsidRPr="000A51C3" w:rsidRDefault="00D21D33">
            <w:pPr>
              <w:pStyle w:val="TableText"/>
              <w:rPr>
                <w:sz w:val="22"/>
                <w:szCs w:val="20"/>
              </w:rPr>
            </w:pPr>
          </w:p>
        </w:tc>
      </w:tr>
      <w:tr w:rsidR="00D21D33" w:rsidRPr="000A51C3" w14:paraId="0C86BF0B" w14:textId="77777777" w:rsidTr="000D6BF8">
        <w:trPr>
          <w:jc w:val="center"/>
        </w:trPr>
        <w:tc>
          <w:tcPr>
            <w:tcW w:w="0" w:type="dxa"/>
            <w:tcBorders>
              <w:bottom w:val="single" w:sz="4" w:space="0" w:color="22413A"/>
            </w:tcBorders>
            <w:vAlign w:val="center"/>
          </w:tcPr>
          <w:p w14:paraId="3454D6F5" w14:textId="77777777" w:rsidR="00D21D33" w:rsidRDefault="00D21D33">
            <w:pPr>
              <w:pStyle w:val="TableText"/>
              <w:rPr>
                <w:sz w:val="22"/>
                <w:szCs w:val="20"/>
              </w:rPr>
            </w:pPr>
            <w:r>
              <w:rPr>
                <w:sz w:val="22"/>
                <w:szCs w:val="20"/>
              </w:rPr>
              <w:t>TU6.3 a) – e)</w:t>
            </w:r>
          </w:p>
        </w:tc>
        <w:tc>
          <w:tcPr>
            <w:tcW w:w="0" w:type="dxa"/>
            <w:tcBorders>
              <w:bottom w:val="single" w:sz="4" w:space="0" w:color="22413A"/>
            </w:tcBorders>
          </w:tcPr>
          <w:p w14:paraId="35C73D50" w14:textId="77777777" w:rsidR="00D21D33" w:rsidRPr="000A51C3" w:rsidRDefault="00D21D33">
            <w:pPr>
              <w:pStyle w:val="TableText"/>
              <w:rPr>
                <w:sz w:val="22"/>
                <w:szCs w:val="20"/>
              </w:rPr>
            </w:pPr>
            <w:r>
              <w:rPr>
                <w:sz w:val="22"/>
                <w:szCs w:val="20"/>
              </w:rPr>
              <w:t>Assessing the effects and identifying reasonably practicable improvements for external hazards in the beyond design basis region.</w:t>
            </w:r>
          </w:p>
        </w:tc>
        <w:tc>
          <w:tcPr>
            <w:tcW w:w="0" w:type="dxa"/>
            <w:vMerge/>
            <w:tcBorders>
              <w:bottom w:val="single" w:sz="4" w:space="0" w:color="22413A"/>
            </w:tcBorders>
          </w:tcPr>
          <w:p w14:paraId="3787E467" w14:textId="77777777" w:rsidR="00D21D33" w:rsidRPr="000A51C3" w:rsidRDefault="00D21D33">
            <w:pPr>
              <w:pStyle w:val="TableText"/>
              <w:rPr>
                <w:sz w:val="22"/>
                <w:szCs w:val="20"/>
              </w:rPr>
            </w:pPr>
          </w:p>
        </w:tc>
      </w:tr>
      <w:tr w:rsidR="00E322D1" w:rsidRPr="009D4D5C" w14:paraId="30BFB8D9" w14:textId="77777777" w:rsidTr="00547634">
        <w:trPr>
          <w:jc w:val="center"/>
        </w:trPr>
        <w:tc>
          <w:tcPr>
            <w:tcW w:w="0" w:type="dxa"/>
            <w:gridSpan w:val="3"/>
            <w:shd w:val="clear" w:color="auto" w:fill="D4EFE5"/>
          </w:tcPr>
          <w:p w14:paraId="30F1365F" w14:textId="700475AF" w:rsidR="00E322D1" w:rsidRPr="0061070F" w:rsidRDefault="00E322D1">
            <w:pPr>
              <w:spacing w:after="0" w:line="240" w:lineRule="auto"/>
              <w:rPr>
                <w:rFonts w:eastAsia="Times New Roman"/>
                <w:b/>
                <w:sz w:val="22"/>
              </w:rPr>
            </w:pPr>
            <w:r w:rsidRPr="0061070F">
              <w:rPr>
                <w:rFonts w:eastAsia="Times New Roman"/>
                <w:b/>
                <w:sz w:val="22"/>
              </w:rPr>
              <w:t xml:space="preserve">Report: Safety of new NPP designs Ref. </w:t>
            </w:r>
            <w:sdt>
              <w:sdtPr>
                <w:rPr>
                  <w:rFonts w:eastAsia="Times New Roman"/>
                  <w:b/>
                  <w:sz w:val="22"/>
                </w:rPr>
                <w:id w:val="-670262"/>
                <w:citation/>
              </w:sdtPr>
              <w:sdtContent>
                <w:r w:rsidRPr="0061070F">
                  <w:rPr>
                    <w:rFonts w:eastAsia="Times New Roman"/>
                    <w:b/>
                    <w:sz w:val="22"/>
                  </w:rPr>
                  <w:fldChar w:fldCharType="begin"/>
                </w:r>
                <w:r w:rsidR="00F12D69">
                  <w:rPr>
                    <w:rFonts w:eastAsia="Times New Roman"/>
                    <w:b/>
                    <w:sz w:val="22"/>
                  </w:rPr>
                  <w:instrText xml:space="preserve">CITATION WEN13 \l 2057 </w:instrText>
                </w:r>
                <w:r w:rsidRPr="0061070F">
                  <w:rPr>
                    <w:rFonts w:eastAsia="Times New Roman"/>
                    <w:b/>
                    <w:sz w:val="22"/>
                  </w:rPr>
                  <w:fldChar w:fldCharType="separate"/>
                </w:r>
                <w:r w:rsidR="002A4EED" w:rsidRPr="002A4EED">
                  <w:rPr>
                    <w:rFonts w:eastAsia="Times New Roman"/>
                    <w:noProof/>
                    <w:sz w:val="22"/>
                  </w:rPr>
                  <w:t>[25]</w:t>
                </w:r>
                <w:r w:rsidRPr="0061070F">
                  <w:rPr>
                    <w:rFonts w:eastAsia="Times New Roman"/>
                    <w:b/>
                    <w:sz w:val="22"/>
                  </w:rPr>
                  <w:fldChar w:fldCharType="end"/>
                </w:r>
              </w:sdtContent>
            </w:sdt>
          </w:p>
        </w:tc>
      </w:tr>
      <w:tr w:rsidR="00E322D1" w:rsidRPr="000A51C3" w14:paraId="4E266AFA" w14:textId="77777777" w:rsidTr="00547634">
        <w:trPr>
          <w:jc w:val="center"/>
        </w:trPr>
        <w:tc>
          <w:tcPr>
            <w:tcW w:w="0" w:type="dxa"/>
            <w:gridSpan w:val="3"/>
          </w:tcPr>
          <w:p w14:paraId="46232A9C" w14:textId="77777777" w:rsidR="00E322D1" w:rsidRPr="0061070F" w:rsidRDefault="00E322D1">
            <w:pPr>
              <w:spacing w:after="0" w:line="240" w:lineRule="auto"/>
              <w:rPr>
                <w:color w:val="FF0000"/>
                <w:sz w:val="22"/>
                <w:szCs w:val="20"/>
              </w:rPr>
            </w:pPr>
            <w:r w:rsidRPr="0061070F">
              <w:rPr>
                <w:rFonts w:eastAsia="Times New Roman"/>
                <w:b/>
                <w:color w:val="FF0000"/>
                <w:sz w:val="22"/>
              </w:rPr>
              <w:t>Position 6</w:t>
            </w:r>
            <w:r>
              <w:rPr>
                <w:rFonts w:eastAsia="Times New Roman"/>
                <w:b/>
                <w:color w:val="FF0000"/>
                <w:sz w:val="22"/>
              </w:rPr>
              <w:t xml:space="preserve"> </w:t>
            </w:r>
            <w:r w:rsidRPr="0061070F">
              <w:rPr>
                <w:rFonts w:eastAsia="Times New Roman"/>
                <w:b/>
                <w:color w:val="FF0000"/>
                <w:sz w:val="22"/>
              </w:rPr>
              <w:t>External Hazards</w:t>
            </w:r>
          </w:p>
        </w:tc>
      </w:tr>
      <w:tr w:rsidR="00E322D1" w:rsidRPr="000A51C3" w14:paraId="25D6FCE6" w14:textId="77777777" w:rsidTr="000D6BF8">
        <w:trPr>
          <w:jc w:val="center"/>
        </w:trPr>
        <w:tc>
          <w:tcPr>
            <w:tcW w:w="0" w:type="dxa"/>
            <w:gridSpan w:val="2"/>
            <w:vAlign w:val="center"/>
          </w:tcPr>
          <w:p w14:paraId="32E2DD86" w14:textId="77777777" w:rsidR="00E322D1" w:rsidRDefault="00E322D1">
            <w:pPr>
              <w:pStyle w:val="TableText"/>
              <w:rPr>
                <w:sz w:val="22"/>
                <w:szCs w:val="20"/>
              </w:rPr>
            </w:pPr>
            <w:r>
              <w:rPr>
                <w:sz w:val="22"/>
                <w:szCs w:val="20"/>
              </w:rPr>
              <w:lastRenderedPageBreak/>
              <w:t>Hazard Identification</w:t>
            </w:r>
          </w:p>
          <w:p w14:paraId="44593C50" w14:textId="77777777" w:rsidR="00E322D1" w:rsidRDefault="00E322D1">
            <w:pPr>
              <w:pStyle w:val="TableText"/>
              <w:rPr>
                <w:sz w:val="22"/>
                <w:szCs w:val="20"/>
              </w:rPr>
            </w:pPr>
            <w:r>
              <w:rPr>
                <w:sz w:val="22"/>
                <w:szCs w:val="20"/>
              </w:rPr>
              <w:t>Screening</w:t>
            </w:r>
          </w:p>
          <w:p w14:paraId="2E6BB2B6" w14:textId="77777777" w:rsidR="00E322D1" w:rsidRDefault="00E322D1">
            <w:pPr>
              <w:pStyle w:val="TableText"/>
              <w:rPr>
                <w:sz w:val="22"/>
                <w:szCs w:val="20"/>
              </w:rPr>
            </w:pPr>
            <w:r>
              <w:rPr>
                <w:sz w:val="22"/>
                <w:szCs w:val="20"/>
              </w:rPr>
              <w:t>Determination of Hazard Parameters</w:t>
            </w:r>
          </w:p>
          <w:p w14:paraId="74B3CE4D" w14:textId="3B0C4555" w:rsidR="00E322D1" w:rsidRPr="000A51C3" w:rsidRDefault="00E322D1">
            <w:pPr>
              <w:pStyle w:val="TableText"/>
              <w:rPr>
                <w:sz w:val="22"/>
                <w:szCs w:val="20"/>
              </w:rPr>
            </w:pPr>
            <w:r>
              <w:rPr>
                <w:sz w:val="22"/>
                <w:szCs w:val="20"/>
              </w:rPr>
              <w:t>Analysis</w:t>
            </w:r>
            <w:r w:rsidR="00F07BB0">
              <w:rPr>
                <w:sz w:val="22"/>
                <w:szCs w:val="20"/>
              </w:rPr>
              <w:t xml:space="preserve"> Considerations</w:t>
            </w:r>
          </w:p>
        </w:tc>
        <w:tc>
          <w:tcPr>
            <w:tcW w:w="0" w:type="dxa"/>
          </w:tcPr>
          <w:p w14:paraId="2F0F117B" w14:textId="22832A5A" w:rsidR="00C415FB" w:rsidRDefault="00C327D2" w:rsidP="00C415FB">
            <w:pPr>
              <w:pStyle w:val="TableText"/>
              <w:rPr>
                <w:sz w:val="22"/>
                <w:szCs w:val="20"/>
              </w:rPr>
            </w:pPr>
            <w:r>
              <w:rPr>
                <w:sz w:val="22"/>
                <w:szCs w:val="20"/>
              </w:rPr>
              <w:t>§</w:t>
            </w:r>
            <w:r w:rsidR="00791482">
              <w:rPr>
                <w:sz w:val="22"/>
                <w:szCs w:val="20"/>
              </w:rPr>
              <w:fldChar w:fldCharType="begin"/>
            </w:r>
            <w:r w:rsidR="00791482">
              <w:rPr>
                <w:sz w:val="22"/>
                <w:szCs w:val="20"/>
              </w:rPr>
              <w:instrText xml:space="preserve"> REF _Ref138670847 \r \h  \* MERGEFORMAT </w:instrText>
            </w:r>
            <w:r w:rsidR="00791482">
              <w:rPr>
                <w:sz w:val="22"/>
                <w:szCs w:val="20"/>
              </w:rPr>
            </w:r>
            <w:r w:rsidR="00791482">
              <w:rPr>
                <w:sz w:val="22"/>
                <w:szCs w:val="20"/>
              </w:rPr>
              <w:fldChar w:fldCharType="separate"/>
            </w:r>
            <w:r w:rsidR="008B51F7">
              <w:rPr>
                <w:sz w:val="22"/>
                <w:szCs w:val="20"/>
              </w:rPr>
              <w:t>5.2</w:t>
            </w:r>
            <w:r w:rsidR="00791482">
              <w:rPr>
                <w:sz w:val="22"/>
                <w:szCs w:val="20"/>
              </w:rPr>
              <w:fldChar w:fldCharType="end"/>
            </w:r>
          </w:p>
          <w:p w14:paraId="701E6662" w14:textId="104969F7" w:rsidR="00C415FB" w:rsidRDefault="00E8403D" w:rsidP="00C415FB">
            <w:pPr>
              <w:pStyle w:val="TableText"/>
              <w:rPr>
                <w:sz w:val="22"/>
                <w:szCs w:val="20"/>
              </w:rPr>
            </w:pPr>
            <w:r>
              <w:rPr>
                <w:sz w:val="22"/>
                <w:szCs w:val="20"/>
              </w:rPr>
              <w:t>§</w:t>
            </w:r>
            <w:r w:rsidR="00791482">
              <w:rPr>
                <w:sz w:val="22"/>
                <w:szCs w:val="20"/>
              </w:rPr>
              <w:fldChar w:fldCharType="begin"/>
            </w:r>
            <w:r w:rsidR="00791482">
              <w:rPr>
                <w:sz w:val="22"/>
                <w:szCs w:val="20"/>
              </w:rPr>
              <w:instrText xml:space="preserve"> REF _Ref138931870 \r \h </w:instrText>
            </w:r>
            <w:r w:rsidR="00791482">
              <w:rPr>
                <w:sz w:val="22"/>
                <w:szCs w:val="20"/>
              </w:rPr>
            </w:r>
            <w:r w:rsidR="00791482">
              <w:rPr>
                <w:sz w:val="22"/>
                <w:szCs w:val="20"/>
              </w:rPr>
              <w:fldChar w:fldCharType="separate"/>
            </w:r>
            <w:r w:rsidR="008B51F7">
              <w:rPr>
                <w:sz w:val="22"/>
                <w:szCs w:val="20"/>
              </w:rPr>
              <w:t>5.3</w:t>
            </w:r>
            <w:r w:rsidR="00791482">
              <w:rPr>
                <w:sz w:val="22"/>
                <w:szCs w:val="20"/>
              </w:rPr>
              <w:fldChar w:fldCharType="end"/>
            </w:r>
            <w:r w:rsidR="00791482">
              <w:rPr>
                <w:sz w:val="22"/>
                <w:szCs w:val="20"/>
              </w:rPr>
              <w:t xml:space="preserve"> and </w:t>
            </w:r>
            <w:r>
              <w:rPr>
                <w:sz w:val="22"/>
                <w:szCs w:val="20"/>
              </w:rPr>
              <w:t>§</w:t>
            </w:r>
            <w:r w:rsidR="00791482">
              <w:rPr>
                <w:sz w:val="22"/>
                <w:szCs w:val="20"/>
              </w:rPr>
              <w:fldChar w:fldCharType="begin"/>
            </w:r>
            <w:r w:rsidR="00791482">
              <w:rPr>
                <w:sz w:val="22"/>
                <w:szCs w:val="20"/>
              </w:rPr>
              <w:instrText xml:space="preserve"> REF _Ref138756012 \r \h </w:instrText>
            </w:r>
            <w:r w:rsidR="00791482">
              <w:rPr>
                <w:sz w:val="22"/>
                <w:szCs w:val="20"/>
              </w:rPr>
            </w:r>
            <w:r w:rsidR="00791482">
              <w:rPr>
                <w:sz w:val="22"/>
                <w:szCs w:val="20"/>
              </w:rPr>
              <w:fldChar w:fldCharType="separate"/>
            </w:r>
            <w:r w:rsidR="008B51F7">
              <w:rPr>
                <w:sz w:val="22"/>
                <w:szCs w:val="20"/>
              </w:rPr>
              <w:t>5.4</w:t>
            </w:r>
            <w:r w:rsidR="00791482">
              <w:rPr>
                <w:sz w:val="22"/>
                <w:szCs w:val="20"/>
              </w:rPr>
              <w:fldChar w:fldCharType="end"/>
            </w:r>
          </w:p>
          <w:p w14:paraId="594AC179" w14:textId="440D11A1" w:rsidR="00C415FB" w:rsidRDefault="00E8403D" w:rsidP="00C415FB">
            <w:pPr>
              <w:pStyle w:val="TableText"/>
              <w:rPr>
                <w:sz w:val="22"/>
                <w:szCs w:val="20"/>
              </w:rPr>
            </w:pPr>
            <w:r>
              <w:rPr>
                <w:sz w:val="22"/>
                <w:szCs w:val="20"/>
              </w:rPr>
              <w:t>§</w:t>
            </w:r>
            <w:r>
              <w:rPr>
                <w:sz w:val="22"/>
                <w:szCs w:val="20"/>
              </w:rPr>
              <w:fldChar w:fldCharType="begin"/>
            </w:r>
            <w:r>
              <w:rPr>
                <w:sz w:val="22"/>
                <w:szCs w:val="20"/>
              </w:rPr>
              <w:instrText xml:space="preserve"> REF _Ref139285544 \r \h  \* MERGEFORMAT </w:instrText>
            </w:r>
            <w:r>
              <w:rPr>
                <w:sz w:val="22"/>
                <w:szCs w:val="20"/>
              </w:rPr>
            </w:r>
            <w:r>
              <w:rPr>
                <w:sz w:val="22"/>
                <w:szCs w:val="20"/>
              </w:rPr>
              <w:fldChar w:fldCharType="separate"/>
            </w:r>
            <w:r w:rsidR="008B51F7">
              <w:rPr>
                <w:sz w:val="22"/>
                <w:szCs w:val="20"/>
              </w:rPr>
              <w:t>5.5</w:t>
            </w:r>
            <w:r>
              <w:rPr>
                <w:sz w:val="22"/>
                <w:szCs w:val="20"/>
              </w:rPr>
              <w:fldChar w:fldCharType="end"/>
            </w:r>
            <w:r>
              <w:rPr>
                <w:sz w:val="22"/>
                <w:szCs w:val="20"/>
              </w:rPr>
              <w:t xml:space="preserve"> and §</w:t>
            </w:r>
            <w:r>
              <w:rPr>
                <w:sz w:val="22"/>
                <w:szCs w:val="20"/>
              </w:rPr>
              <w:fldChar w:fldCharType="begin"/>
            </w:r>
            <w:r>
              <w:rPr>
                <w:sz w:val="22"/>
                <w:szCs w:val="20"/>
              </w:rPr>
              <w:instrText xml:space="preserve"> REF _Ref138753845 \r \h  \* MERGEFORMAT </w:instrText>
            </w:r>
            <w:r>
              <w:rPr>
                <w:sz w:val="22"/>
                <w:szCs w:val="20"/>
              </w:rPr>
            </w:r>
            <w:r>
              <w:rPr>
                <w:sz w:val="22"/>
                <w:szCs w:val="20"/>
              </w:rPr>
              <w:fldChar w:fldCharType="separate"/>
            </w:r>
            <w:r w:rsidR="008B51F7">
              <w:rPr>
                <w:sz w:val="22"/>
                <w:szCs w:val="20"/>
              </w:rPr>
              <w:t>5.6.10</w:t>
            </w:r>
            <w:r>
              <w:rPr>
                <w:sz w:val="22"/>
                <w:szCs w:val="20"/>
              </w:rPr>
              <w:fldChar w:fldCharType="end"/>
            </w:r>
          </w:p>
          <w:p w14:paraId="30FE462D" w14:textId="4DFF2F7E" w:rsidR="00E322D1" w:rsidRPr="000A51C3" w:rsidRDefault="00BF0AAB" w:rsidP="00C415FB">
            <w:pPr>
              <w:pStyle w:val="TableText"/>
              <w:rPr>
                <w:sz w:val="22"/>
                <w:szCs w:val="20"/>
              </w:rPr>
            </w:pPr>
            <w:r>
              <w:rPr>
                <w:sz w:val="22"/>
                <w:szCs w:val="20"/>
              </w:rPr>
              <w:t>See other discipline TAGs.</w:t>
            </w:r>
          </w:p>
        </w:tc>
      </w:tr>
      <w:tr w:rsidR="00E322D1" w:rsidRPr="000A51C3" w14:paraId="6EEE8E1E" w14:textId="77777777" w:rsidTr="00547634">
        <w:trPr>
          <w:jc w:val="center"/>
        </w:trPr>
        <w:tc>
          <w:tcPr>
            <w:tcW w:w="0" w:type="dxa"/>
            <w:gridSpan w:val="3"/>
          </w:tcPr>
          <w:p w14:paraId="43B0C125" w14:textId="77777777" w:rsidR="00E322D1" w:rsidRPr="000A51C3" w:rsidRDefault="00E322D1">
            <w:pPr>
              <w:pStyle w:val="TableText"/>
              <w:rPr>
                <w:sz w:val="22"/>
                <w:szCs w:val="20"/>
              </w:rPr>
            </w:pPr>
            <w:r w:rsidRPr="0061070F">
              <w:rPr>
                <w:rFonts w:eastAsia="Times New Roman"/>
                <w:b/>
                <w:color w:val="FF0000"/>
                <w:sz w:val="22"/>
              </w:rPr>
              <w:t xml:space="preserve">Position </w:t>
            </w:r>
            <w:r>
              <w:rPr>
                <w:rFonts w:eastAsia="Times New Roman"/>
                <w:b/>
                <w:color w:val="FF0000"/>
                <w:sz w:val="22"/>
              </w:rPr>
              <w:t>7 Intentional crash of a commercial airplane</w:t>
            </w:r>
          </w:p>
        </w:tc>
      </w:tr>
      <w:tr w:rsidR="00E322D1" w:rsidRPr="000A51C3" w14:paraId="210F870C" w14:textId="77777777" w:rsidTr="000D6BF8">
        <w:trPr>
          <w:jc w:val="center"/>
        </w:trPr>
        <w:tc>
          <w:tcPr>
            <w:tcW w:w="0" w:type="dxa"/>
            <w:gridSpan w:val="2"/>
            <w:vAlign w:val="center"/>
          </w:tcPr>
          <w:p w14:paraId="50CF0165" w14:textId="77777777" w:rsidR="00E322D1" w:rsidRPr="000A51C3" w:rsidRDefault="00E322D1">
            <w:pPr>
              <w:pStyle w:val="TableText"/>
              <w:rPr>
                <w:sz w:val="22"/>
                <w:szCs w:val="20"/>
              </w:rPr>
            </w:pPr>
            <w:r>
              <w:rPr>
                <w:sz w:val="22"/>
                <w:szCs w:val="20"/>
              </w:rPr>
              <w:t>Consideration of malicious aircraft crash</w:t>
            </w:r>
          </w:p>
        </w:tc>
        <w:tc>
          <w:tcPr>
            <w:tcW w:w="0" w:type="dxa"/>
          </w:tcPr>
          <w:p w14:paraId="30755A22" w14:textId="06E63DB8" w:rsidR="00E322D1" w:rsidRPr="000A51C3" w:rsidRDefault="00BF0AAB">
            <w:pPr>
              <w:pStyle w:val="TableText"/>
              <w:rPr>
                <w:sz w:val="22"/>
                <w:szCs w:val="20"/>
              </w:rPr>
            </w:pPr>
            <w:r>
              <w:rPr>
                <w:sz w:val="22"/>
                <w:szCs w:val="20"/>
              </w:rPr>
              <w:t>See Annex 4</w:t>
            </w:r>
          </w:p>
        </w:tc>
      </w:tr>
    </w:tbl>
    <w:p w14:paraId="356ADFB5" w14:textId="77777777" w:rsidR="00132AFF" w:rsidRDefault="00132AFF" w:rsidP="00132AFF">
      <w:pPr>
        <w:tabs>
          <w:tab w:val="left" w:pos="1440"/>
        </w:tabs>
        <w:spacing w:line="240" w:lineRule="auto"/>
        <w:contextualSpacing/>
      </w:pPr>
    </w:p>
    <w:p w14:paraId="6014E19E" w14:textId="77777777" w:rsidR="00132AFF" w:rsidRDefault="00132AFF" w:rsidP="00132AFF">
      <w:pPr>
        <w:tabs>
          <w:tab w:val="left" w:pos="1440"/>
        </w:tabs>
        <w:spacing w:line="240" w:lineRule="auto"/>
        <w:contextualSpacing/>
      </w:pPr>
    </w:p>
    <w:p w14:paraId="1C205373" w14:textId="77777777" w:rsidR="00132AFF" w:rsidRDefault="00132AFF" w:rsidP="00132AFF">
      <w:pPr>
        <w:tabs>
          <w:tab w:val="left" w:pos="1440"/>
        </w:tabs>
        <w:spacing w:line="240" w:lineRule="auto"/>
        <w:contextualSpacing/>
      </w:pPr>
    </w:p>
    <w:p w14:paraId="2DFF18F2" w14:textId="77777777" w:rsidR="00E322D1" w:rsidRDefault="00E322D1" w:rsidP="00132AFF">
      <w:pPr>
        <w:tabs>
          <w:tab w:val="left" w:pos="1440"/>
        </w:tabs>
        <w:spacing w:line="240" w:lineRule="auto"/>
        <w:contextualSpacing/>
      </w:pPr>
    </w:p>
    <w:p w14:paraId="17A39458" w14:textId="77777777" w:rsidR="00E322D1" w:rsidRDefault="00E322D1" w:rsidP="00132AFF">
      <w:pPr>
        <w:tabs>
          <w:tab w:val="left" w:pos="1440"/>
        </w:tabs>
        <w:spacing w:line="240" w:lineRule="auto"/>
        <w:contextualSpacing/>
      </w:pPr>
    </w:p>
    <w:p w14:paraId="06AD27B6" w14:textId="77777777" w:rsidR="00E322D1" w:rsidRDefault="00E322D1" w:rsidP="00132AFF">
      <w:pPr>
        <w:tabs>
          <w:tab w:val="left" w:pos="1440"/>
        </w:tabs>
        <w:spacing w:line="240" w:lineRule="auto"/>
        <w:contextualSpacing/>
      </w:pPr>
    </w:p>
    <w:p w14:paraId="7A6167C5" w14:textId="77777777" w:rsidR="00E322D1" w:rsidRDefault="00E322D1" w:rsidP="00132AFF">
      <w:pPr>
        <w:tabs>
          <w:tab w:val="left" w:pos="1440"/>
        </w:tabs>
        <w:spacing w:line="240" w:lineRule="auto"/>
        <w:contextualSpacing/>
      </w:pPr>
    </w:p>
    <w:p w14:paraId="59515E32" w14:textId="77777777" w:rsidR="00516936" w:rsidRDefault="00516936">
      <w:pPr>
        <w:spacing w:after="0" w:line="240" w:lineRule="auto"/>
        <w:rPr>
          <w:b/>
          <w:bCs/>
          <w:color w:val="000000" w:themeColor="text2"/>
          <w:sz w:val="22"/>
        </w:rPr>
      </w:pPr>
      <w:bookmarkStart w:id="1001" w:name="_Toc140137293"/>
      <w:r>
        <w:br w:type="page"/>
      </w:r>
    </w:p>
    <w:p w14:paraId="1F2E2F95" w14:textId="04876599" w:rsidR="00132AFF" w:rsidRDefault="00132AFF" w:rsidP="00132AFF">
      <w:pPr>
        <w:pStyle w:val="Caption"/>
        <w:keepNext/>
      </w:pPr>
      <w:r>
        <w:lastRenderedPageBreak/>
        <w:t xml:space="preserve">Table </w:t>
      </w:r>
      <w:fldSimple w:instr=" SEQ Table \* ARABIC ">
        <w:r w:rsidR="008B51F7">
          <w:rPr>
            <w:noProof/>
          </w:rPr>
          <w:t>5</w:t>
        </w:r>
      </w:fldSimple>
      <w:r>
        <w:t>: IAEA safety guides referenced in TAG 13</w:t>
      </w:r>
      <w:bookmarkEnd w:id="1001"/>
    </w:p>
    <w:tbl>
      <w:tblPr>
        <w:tblStyle w:val="TableGrid"/>
        <w:tblW w:w="0" w:type="auto"/>
        <w:tblBorders>
          <w:top w:val="single" w:sz="4" w:space="0" w:color="999999" w:themeColor="text2" w:themeTint="66"/>
          <w:left w:val="single" w:sz="4" w:space="0" w:color="999999" w:themeColor="text2" w:themeTint="66"/>
          <w:bottom w:val="single" w:sz="4" w:space="0" w:color="999999" w:themeColor="text2" w:themeTint="66"/>
          <w:right w:val="single" w:sz="4" w:space="0" w:color="999999" w:themeColor="text2" w:themeTint="66"/>
          <w:insideH w:val="single" w:sz="4" w:space="0" w:color="999999" w:themeColor="text2" w:themeTint="66"/>
          <w:insideV w:val="single" w:sz="4" w:space="0" w:color="999999" w:themeColor="text2" w:themeTint="66"/>
        </w:tblBorders>
        <w:tblLook w:val="04A0" w:firstRow="1" w:lastRow="0" w:firstColumn="1" w:lastColumn="0" w:noHBand="0" w:noVBand="1"/>
      </w:tblPr>
      <w:tblGrid>
        <w:gridCol w:w="2072"/>
        <w:gridCol w:w="4780"/>
        <w:gridCol w:w="2164"/>
      </w:tblGrid>
      <w:tr w:rsidR="00132AFF" w:rsidRPr="00C25736" w14:paraId="60E4FB7C" w14:textId="77777777" w:rsidTr="00547634">
        <w:tc>
          <w:tcPr>
            <w:tcW w:w="2072" w:type="dxa"/>
            <w:shd w:val="clear" w:color="auto" w:fill="D4EFE5"/>
            <w:hideMark/>
          </w:tcPr>
          <w:p w14:paraId="49E42193" w14:textId="77777777" w:rsidR="00132AFF" w:rsidRPr="00C25736" w:rsidRDefault="00132AFF">
            <w:pPr>
              <w:jc w:val="center"/>
              <w:rPr>
                <w:b/>
              </w:rPr>
            </w:pPr>
            <w:r w:rsidRPr="00C25736">
              <w:rPr>
                <w:b/>
              </w:rPr>
              <w:t>Report No.</w:t>
            </w:r>
          </w:p>
        </w:tc>
        <w:tc>
          <w:tcPr>
            <w:tcW w:w="4780" w:type="dxa"/>
            <w:shd w:val="clear" w:color="auto" w:fill="D4EFE5"/>
            <w:hideMark/>
          </w:tcPr>
          <w:p w14:paraId="4FE8D1F4" w14:textId="3033A6EB" w:rsidR="00132AFF" w:rsidRPr="00C25736" w:rsidRDefault="00A05228">
            <w:pPr>
              <w:jc w:val="center"/>
              <w:rPr>
                <w:b/>
              </w:rPr>
            </w:pPr>
            <w:r>
              <w:rPr>
                <w:b/>
              </w:rPr>
              <w:t>Title</w:t>
            </w:r>
          </w:p>
        </w:tc>
        <w:tc>
          <w:tcPr>
            <w:tcW w:w="2164" w:type="dxa"/>
            <w:shd w:val="clear" w:color="auto" w:fill="D4EFE5"/>
            <w:hideMark/>
          </w:tcPr>
          <w:p w14:paraId="31CB5768" w14:textId="54B0BB74" w:rsidR="00132AFF" w:rsidRPr="00C25736" w:rsidRDefault="00A05228">
            <w:pPr>
              <w:jc w:val="center"/>
              <w:rPr>
                <w:b/>
              </w:rPr>
            </w:pPr>
            <w:r>
              <w:rPr>
                <w:b/>
              </w:rPr>
              <w:t>Ref.</w:t>
            </w:r>
          </w:p>
        </w:tc>
      </w:tr>
      <w:tr w:rsidR="003F5E69" w:rsidRPr="00C25736" w14:paraId="6722B54A" w14:textId="77777777" w:rsidTr="000D6BF8">
        <w:tc>
          <w:tcPr>
            <w:tcW w:w="2072" w:type="dxa"/>
            <w:vAlign w:val="center"/>
          </w:tcPr>
          <w:p w14:paraId="1D5DC967" w14:textId="710A4F88" w:rsidR="003F5E69" w:rsidRPr="006F5C0C" w:rsidRDefault="003F5E69" w:rsidP="00A05228">
            <w:pPr>
              <w:autoSpaceDE w:val="0"/>
              <w:autoSpaceDN w:val="0"/>
              <w:adjustRightInd w:val="0"/>
            </w:pPr>
            <w:r>
              <w:t>SF-1</w:t>
            </w:r>
          </w:p>
        </w:tc>
        <w:tc>
          <w:tcPr>
            <w:tcW w:w="4780" w:type="dxa"/>
            <w:vAlign w:val="center"/>
          </w:tcPr>
          <w:p w14:paraId="320433CF" w14:textId="528BDC3C" w:rsidR="003F5E69" w:rsidRPr="003F5E69" w:rsidRDefault="003F5E69" w:rsidP="00CD3FC9">
            <w:pPr>
              <w:autoSpaceDE w:val="0"/>
              <w:autoSpaceDN w:val="0"/>
              <w:adjustRightInd w:val="0"/>
              <w:rPr>
                <w:noProof/>
              </w:rPr>
            </w:pPr>
            <w:r>
              <w:rPr>
                <w:noProof/>
              </w:rPr>
              <w:t>Fundamental Safety Principles</w:t>
            </w:r>
          </w:p>
        </w:tc>
        <w:tc>
          <w:tcPr>
            <w:tcW w:w="2164" w:type="dxa"/>
            <w:vAlign w:val="center"/>
          </w:tcPr>
          <w:p w14:paraId="6644594C" w14:textId="3C7AA2B9" w:rsidR="003F5E69" w:rsidRPr="003F5E69" w:rsidRDefault="00000000" w:rsidP="00A05228">
            <w:pPr>
              <w:autoSpaceDE w:val="0"/>
              <w:autoSpaceDN w:val="0"/>
              <w:adjustRightInd w:val="0"/>
            </w:pPr>
            <w:sdt>
              <w:sdtPr>
                <w:id w:val="1763413741"/>
                <w:citation/>
              </w:sdtPr>
              <w:sdtContent>
                <w:r w:rsidR="003F5E69">
                  <w:fldChar w:fldCharType="begin"/>
                </w:r>
                <w:r w:rsidR="00521DC1">
                  <w:instrText xml:space="preserve">CITATION IAEes1 \l 2057 </w:instrText>
                </w:r>
                <w:r w:rsidR="003F5E69">
                  <w:fldChar w:fldCharType="separate"/>
                </w:r>
                <w:r w:rsidR="002A4EED" w:rsidRPr="002A4EED">
                  <w:rPr>
                    <w:noProof/>
                  </w:rPr>
                  <w:t>[33]</w:t>
                </w:r>
                <w:r w:rsidR="003F5E69">
                  <w:fldChar w:fldCharType="end"/>
                </w:r>
              </w:sdtContent>
            </w:sdt>
          </w:p>
        </w:tc>
      </w:tr>
      <w:tr w:rsidR="00A05228" w:rsidRPr="00C25736" w14:paraId="550DA292" w14:textId="77777777" w:rsidTr="000D6BF8">
        <w:tc>
          <w:tcPr>
            <w:tcW w:w="2072" w:type="dxa"/>
            <w:vAlign w:val="center"/>
            <w:hideMark/>
          </w:tcPr>
          <w:p w14:paraId="45C85FBF" w14:textId="77777777" w:rsidR="00A05228" w:rsidRPr="006F5C0C" w:rsidRDefault="00A05228" w:rsidP="00A05228">
            <w:pPr>
              <w:autoSpaceDE w:val="0"/>
              <w:autoSpaceDN w:val="0"/>
              <w:adjustRightInd w:val="0"/>
            </w:pPr>
            <w:r w:rsidRPr="006F5C0C">
              <w:t>SSR-2/1</w:t>
            </w:r>
          </w:p>
        </w:tc>
        <w:tc>
          <w:tcPr>
            <w:tcW w:w="4780" w:type="dxa"/>
            <w:vAlign w:val="center"/>
          </w:tcPr>
          <w:p w14:paraId="330E02F8" w14:textId="26477940" w:rsidR="00A05228" w:rsidRPr="006F5C0C" w:rsidRDefault="00A05228" w:rsidP="00547634">
            <w:pPr>
              <w:autoSpaceDE w:val="0"/>
              <w:autoSpaceDN w:val="0"/>
              <w:adjustRightInd w:val="0"/>
            </w:pPr>
            <w:r w:rsidRPr="00547634">
              <w:rPr>
                <w:noProof/>
              </w:rPr>
              <w:t>Safety of Nuclear Power Plants: Design</w:t>
            </w:r>
          </w:p>
        </w:tc>
        <w:tc>
          <w:tcPr>
            <w:tcW w:w="2164" w:type="dxa"/>
            <w:vAlign w:val="center"/>
          </w:tcPr>
          <w:p w14:paraId="3B94C31A" w14:textId="28F5F21B" w:rsidR="00A05228" w:rsidRPr="006F5C0C" w:rsidRDefault="00000000" w:rsidP="00A05228">
            <w:pPr>
              <w:autoSpaceDE w:val="0"/>
              <w:autoSpaceDN w:val="0"/>
              <w:adjustRightInd w:val="0"/>
            </w:pPr>
            <w:sdt>
              <w:sdtPr>
                <w:id w:val="999079120"/>
                <w:citation/>
              </w:sdtPr>
              <w:sdtContent>
                <w:r w:rsidR="00D678E0" w:rsidRPr="00547634">
                  <w:fldChar w:fldCharType="begin"/>
                </w:r>
                <w:r w:rsidR="003D45B2">
                  <w:instrText xml:space="preserve">CITATION IAEdf \l 2057 </w:instrText>
                </w:r>
                <w:r w:rsidR="00D678E0" w:rsidRPr="00547634">
                  <w:fldChar w:fldCharType="separate"/>
                </w:r>
                <w:r w:rsidR="002A4EED" w:rsidRPr="002A4EED">
                  <w:rPr>
                    <w:noProof/>
                  </w:rPr>
                  <w:t>[31]</w:t>
                </w:r>
                <w:r w:rsidR="00D678E0" w:rsidRPr="00547634">
                  <w:fldChar w:fldCharType="end"/>
                </w:r>
              </w:sdtContent>
            </w:sdt>
          </w:p>
        </w:tc>
      </w:tr>
      <w:tr w:rsidR="00A05228" w:rsidRPr="00C25736" w14:paraId="0C8D57D0" w14:textId="77777777" w:rsidTr="000D6BF8">
        <w:tc>
          <w:tcPr>
            <w:tcW w:w="2072" w:type="dxa"/>
            <w:vAlign w:val="center"/>
            <w:hideMark/>
          </w:tcPr>
          <w:p w14:paraId="0722AAFC" w14:textId="142FE401" w:rsidR="00A05228" w:rsidRPr="006F5C0C" w:rsidRDefault="009B3878" w:rsidP="00A05228">
            <w:pPr>
              <w:autoSpaceDE w:val="0"/>
              <w:autoSpaceDN w:val="0"/>
              <w:adjustRightInd w:val="0"/>
            </w:pPr>
            <w:r>
              <w:t>SS</w:t>
            </w:r>
            <w:r w:rsidR="00A05228" w:rsidRPr="006F5C0C">
              <w:t>R-</w:t>
            </w:r>
            <w:r>
              <w:t>1</w:t>
            </w:r>
          </w:p>
        </w:tc>
        <w:tc>
          <w:tcPr>
            <w:tcW w:w="4780" w:type="dxa"/>
            <w:vAlign w:val="center"/>
          </w:tcPr>
          <w:p w14:paraId="58064742" w14:textId="1F03590E" w:rsidR="00A05228" w:rsidRPr="006F5C0C" w:rsidRDefault="00A05228" w:rsidP="00547634">
            <w:pPr>
              <w:autoSpaceDE w:val="0"/>
              <w:autoSpaceDN w:val="0"/>
              <w:adjustRightInd w:val="0"/>
            </w:pPr>
            <w:r w:rsidRPr="00547634">
              <w:rPr>
                <w:noProof/>
              </w:rPr>
              <w:t>Site Evaluation for Nuclear Installations</w:t>
            </w:r>
          </w:p>
        </w:tc>
        <w:tc>
          <w:tcPr>
            <w:tcW w:w="2164" w:type="dxa"/>
            <w:vAlign w:val="center"/>
          </w:tcPr>
          <w:p w14:paraId="03E89449" w14:textId="7F5DA539" w:rsidR="00A05228" w:rsidRPr="006F5C0C" w:rsidRDefault="00000000" w:rsidP="00A05228">
            <w:pPr>
              <w:autoSpaceDE w:val="0"/>
              <w:autoSpaceDN w:val="0"/>
              <w:adjustRightInd w:val="0"/>
            </w:pPr>
            <w:sdt>
              <w:sdtPr>
                <w:id w:val="1587034509"/>
                <w:citation/>
              </w:sdtPr>
              <w:sdtContent>
                <w:r w:rsidR="00D678E0" w:rsidRPr="00547634">
                  <w:fldChar w:fldCharType="begin"/>
                </w:r>
                <w:r w:rsidR="005A57E1">
                  <w:instrText xml:space="preserve">CITATION IAE161 \l 2057 </w:instrText>
                </w:r>
                <w:r w:rsidR="00D678E0" w:rsidRPr="00547634">
                  <w:fldChar w:fldCharType="separate"/>
                </w:r>
                <w:r w:rsidR="002A4EED" w:rsidRPr="002A4EED">
                  <w:rPr>
                    <w:noProof/>
                  </w:rPr>
                  <w:t>[21]</w:t>
                </w:r>
                <w:r w:rsidR="00D678E0" w:rsidRPr="00547634">
                  <w:fldChar w:fldCharType="end"/>
                </w:r>
              </w:sdtContent>
            </w:sdt>
          </w:p>
        </w:tc>
      </w:tr>
      <w:tr w:rsidR="00A05228" w:rsidRPr="00C25736" w14:paraId="2049BFAB" w14:textId="77777777" w:rsidTr="000D6BF8">
        <w:tc>
          <w:tcPr>
            <w:tcW w:w="2072" w:type="dxa"/>
            <w:vAlign w:val="center"/>
            <w:hideMark/>
          </w:tcPr>
          <w:p w14:paraId="2CAE0C5D" w14:textId="32A8C4D3" w:rsidR="00A05228" w:rsidRPr="00C25736" w:rsidRDefault="004B2077" w:rsidP="00A05228">
            <w:pPr>
              <w:autoSpaceDE w:val="0"/>
              <w:autoSpaceDN w:val="0"/>
              <w:adjustRightInd w:val="0"/>
            </w:pPr>
            <w:r>
              <w:t>SSG-79</w:t>
            </w:r>
          </w:p>
        </w:tc>
        <w:tc>
          <w:tcPr>
            <w:tcW w:w="4780" w:type="dxa"/>
            <w:vAlign w:val="center"/>
          </w:tcPr>
          <w:p w14:paraId="2C1D1EA8" w14:textId="306F022A" w:rsidR="00A05228" w:rsidRPr="00C25736" w:rsidRDefault="00CD3FC9" w:rsidP="00547634">
            <w:pPr>
              <w:autoSpaceDE w:val="0"/>
              <w:autoSpaceDN w:val="0"/>
              <w:adjustRightInd w:val="0"/>
            </w:pPr>
            <w:r>
              <w:rPr>
                <w:noProof/>
              </w:rPr>
              <w:t>Hazards Associated with Human Induced External Events in Site Evaluation for Nuclear Installations</w:t>
            </w:r>
          </w:p>
        </w:tc>
        <w:tc>
          <w:tcPr>
            <w:tcW w:w="2164" w:type="dxa"/>
            <w:vAlign w:val="center"/>
          </w:tcPr>
          <w:p w14:paraId="742DE8D2" w14:textId="4731DB12" w:rsidR="00A05228" w:rsidRPr="00C25736" w:rsidRDefault="00000000" w:rsidP="00A05228">
            <w:pPr>
              <w:autoSpaceDE w:val="0"/>
              <w:autoSpaceDN w:val="0"/>
              <w:adjustRightInd w:val="0"/>
            </w:pPr>
            <w:sdt>
              <w:sdtPr>
                <w:id w:val="-1142965707"/>
                <w:citation/>
              </w:sdtPr>
              <w:sdtContent>
                <w:r w:rsidR="004B2077">
                  <w:fldChar w:fldCharType="begin"/>
                </w:r>
                <w:r w:rsidR="00F12D69">
                  <w:instrText xml:space="preserve">CITATION IAEns \l 2057 </w:instrText>
                </w:r>
                <w:r w:rsidR="004B2077">
                  <w:fldChar w:fldCharType="separate"/>
                </w:r>
                <w:r w:rsidR="002A4EED" w:rsidRPr="002A4EED">
                  <w:rPr>
                    <w:noProof/>
                  </w:rPr>
                  <w:t>[34]</w:t>
                </w:r>
                <w:r w:rsidR="004B2077">
                  <w:fldChar w:fldCharType="end"/>
                </w:r>
              </w:sdtContent>
            </w:sdt>
          </w:p>
        </w:tc>
      </w:tr>
      <w:tr w:rsidR="00A05228" w:rsidRPr="00C25736" w14:paraId="7ED3E694" w14:textId="77777777" w:rsidTr="000D6BF8">
        <w:tc>
          <w:tcPr>
            <w:tcW w:w="2072" w:type="dxa"/>
            <w:vAlign w:val="center"/>
            <w:hideMark/>
          </w:tcPr>
          <w:p w14:paraId="484AD4DE" w14:textId="77777777" w:rsidR="00A05228" w:rsidRPr="00C25736" w:rsidRDefault="00A05228" w:rsidP="00547634">
            <w:pPr>
              <w:autoSpaceDE w:val="0"/>
              <w:autoSpaceDN w:val="0"/>
              <w:adjustRightInd w:val="0"/>
              <w:jc w:val="both"/>
            </w:pPr>
            <w:r w:rsidRPr="00C25736">
              <w:t>NS-G-3.6</w:t>
            </w:r>
          </w:p>
        </w:tc>
        <w:tc>
          <w:tcPr>
            <w:tcW w:w="4780" w:type="dxa"/>
            <w:vAlign w:val="center"/>
          </w:tcPr>
          <w:p w14:paraId="79D52901" w14:textId="1416AEC5" w:rsidR="00A05228" w:rsidRPr="00C25736" w:rsidRDefault="00A05228" w:rsidP="00547634">
            <w:pPr>
              <w:autoSpaceDE w:val="0"/>
              <w:autoSpaceDN w:val="0"/>
              <w:adjustRightInd w:val="0"/>
            </w:pPr>
            <w:r w:rsidRPr="00C25736">
              <w:rPr>
                <w:noProof/>
              </w:rPr>
              <w:t>Geotechnical Aspects of Site Evaluation and Foundaitons for Nuclear Power Plants</w:t>
            </w:r>
          </w:p>
        </w:tc>
        <w:tc>
          <w:tcPr>
            <w:tcW w:w="2164" w:type="dxa"/>
            <w:vAlign w:val="center"/>
          </w:tcPr>
          <w:p w14:paraId="0192FBD6" w14:textId="102349AD" w:rsidR="00A05228" w:rsidRPr="00C25736" w:rsidRDefault="00000000" w:rsidP="00A05228">
            <w:pPr>
              <w:autoSpaceDE w:val="0"/>
              <w:autoSpaceDN w:val="0"/>
              <w:adjustRightInd w:val="0"/>
            </w:pPr>
            <w:sdt>
              <w:sdtPr>
                <w:id w:val="-749347841"/>
                <w:citation/>
              </w:sdtPr>
              <w:sdtContent>
                <w:r w:rsidR="003F20E0">
                  <w:fldChar w:fldCharType="begin"/>
                </w:r>
                <w:r w:rsidR="00F12D69">
                  <w:instrText xml:space="preserve">CITATION IAEts \l 2057 </w:instrText>
                </w:r>
                <w:r w:rsidR="003F20E0">
                  <w:fldChar w:fldCharType="separate"/>
                </w:r>
                <w:r w:rsidR="002A4EED" w:rsidRPr="002A4EED">
                  <w:rPr>
                    <w:noProof/>
                  </w:rPr>
                  <w:t>[35]</w:t>
                </w:r>
                <w:r w:rsidR="003F20E0">
                  <w:fldChar w:fldCharType="end"/>
                </w:r>
              </w:sdtContent>
            </w:sdt>
          </w:p>
        </w:tc>
      </w:tr>
      <w:tr w:rsidR="00A05228" w:rsidRPr="00C25736" w14:paraId="7230E607" w14:textId="77777777" w:rsidTr="000D6BF8">
        <w:tc>
          <w:tcPr>
            <w:tcW w:w="2072" w:type="dxa"/>
            <w:vAlign w:val="center"/>
            <w:hideMark/>
          </w:tcPr>
          <w:p w14:paraId="3F187BFA" w14:textId="77777777" w:rsidR="00A05228" w:rsidRPr="00C25736" w:rsidRDefault="00A05228" w:rsidP="00A05228">
            <w:pPr>
              <w:autoSpaceDE w:val="0"/>
              <w:autoSpaceDN w:val="0"/>
              <w:adjustRightInd w:val="0"/>
            </w:pPr>
            <w:r w:rsidRPr="00C25736">
              <w:t>SSG-35</w:t>
            </w:r>
            <w:r w:rsidRPr="00C25736">
              <w:tab/>
            </w:r>
          </w:p>
        </w:tc>
        <w:tc>
          <w:tcPr>
            <w:tcW w:w="4780" w:type="dxa"/>
            <w:vAlign w:val="center"/>
          </w:tcPr>
          <w:p w14:paraId="2958F71F" w14:textId="607B7844" w:rsidR="00A05228" w:rsidRPr="00C25736" w:rsidRDefault="00A05228" w:rsidP="00547634">
            <w:pPr>
              <w:autoSpaceDE w:val="0"/>
              <w:autoSpaceDN w:val="0"/>
              <w:adjustRightInd w:val="0"/>
            </w:pPr>
            <w:r w:rsidRPr="00C25736">
              <w:rPr>
                <w:noProof/>
              </w:rPr>
              <w:t>Site Survey and Site Selection for Nuclear Installations</w:t>
            </w:r>
          </w:p>
        </w:tc>
        <w:tc>
          <w:tcPr>
            <w:tcW w:w="2164" w:type="dxa"/>
            <w:vAlign w:val="center"/>
            <w:hideMark/>
          </w:tcPr>
          <w:p w14:paraId="550D16CF" w14:textId="61D74B94" w:rsidR="00A05228" w:rsidRPr="00C25736" w:rsidRDefault="00000000" w:rsidP="00A05228">
            <w:pPr>
              <w:autoSpaceDE w:val="0"/>
              <w:autoSpaceDN w:val="0"/>
              <w:adjustRightInd w:val="0"/>
            </w:pPr>
            <w:sdt>
              <w:sdtPr>
                <w:id w:val="1503393783"/>
                <w:citation/>
              </w:sdtPr>
              <w:sdtContent>
                <w:r w:rsidR="00425E50">
                  <w:fldChar w:fldCharType="begin"/>
                </w:r>
                <w:r w:rsidR="00F12D69">
                  <w:instrText xml:space="preserve">CITATION IAEns1 \l 2057 </w:instrText>
                </w:r>
                <w:r w:rsidR="00425E50">
                  <w:fldChar w:fldCharType="separate"/>
                </w:r>
                <w:r w:rsidR="002A4EED" w:rsidRPr="002A4EED">
                  <w:rPr>
                    <w:noProof/>
                  </w:rPr>
                  <w:t>[36]</w:t>
                </w:r>
                <w:r w:rsidR="00425E50">
                  <w:fldChar w:fldCharType="end"/>
                </w:r>
              </w:sdtContent>
            </w:sdt>
          </w:p>
        </w:tc>
      </w:tr>
      <w:tr w:rsidR="00A05228" w:rsidRPr="00C25736" w14:paraId="13615F5E" w14:textId="77777777" w:rsidTr="000D6BF8">
        <w:tc>
          <w:tcPr>
            <w:tcW w:w="2072" w:type="dxa"/>
            <w:vAlign w:val="center"/>
            <w:hideMark/>
          </w:tcPr>
          <w:p w14:paraId="70DAB4DE" w14:textId="483E55B7" w:rsidR="00A05228" w:rsidRPr="00C25736" w:rsidRDefault="00C95638" w:rsidP="00A05228">
            <w:pPr>
              <w:autoSpaceDE w:val="0"/>
              <w:autoSpaceDN w:val="0"/>
              <w:adjustRightInd w:val="0"/>
            </w:pPr>
            <w:r>
              <w:t>SSG</w:t>
            </w:r>
            <w:r w:rsidR="00A05228" w:rsidRPr="00C25736">
              <w:t>-</w:t>
            </w:r>
            <w:r>
              <w:t>67</w:t>
            </w:r>
          </w:p>
        </w:tc>
        <w:tc>
          <w:tcPr>
            <w:tcW w:w="4780" w:type="dxa"/>
            <w:vAlign w:val="center"/>
          </w:tcPr>
          <w:p w14:paraId="115991ED" w14:textId="33011C1A" w:rsidR="00A05228" w:rsidRPr="00C25736" w:rsidRDefault="00A05228" w:rsidP="00547634">
            <w:pPr>
              <w:autoSpaceDE w:val="0"/>
              <w:autoSpaceDN w:val="0"/>
              <w:adjustRightInd w:val="0"/>
            </w:pPr>
            <w:r w:rsidRPr="00C25736">
              <w:rPr>
                <w:noProof/>
              </w:rPr>
              <w:t>Seismic Design</w:t>
            </w:r>
            <w:r w:rsidR="00C95638">
              <w:rPr>
                <w:noProof/>
              </w:rPr>
              <w:t xml:space="preserve"> for Nuclear Installations</w:t>
            </w:r>
          </w:p>
        </w:tc>
        <w:tc>
          <w:tcPr>
            <w:tcW w:w="2164" w:type="dxa"/>
            <w:vAlign w:val="center"/>
          </w:tcPr>
          <w:p w14:paraId="343FEC84" w14:textId="5954ED10" w:rsidR="00A05228" w:rsidRPr="00C25736" w:rsidRDefault="00000000" w:rsidP="00A05228">
            <w:pPr>
              <w:autoSpaceDE w:val="0"/>
              <w:autoSpaceDN w:val="0"/>
              <w:adjustRightInd w:val="0"/>
            </w:pPr>
            <w:sdt>
              <w:sdtPr>
                <w:id w:val="-2009894949"/>
                <w:citation/>
              </w:sdtPr>
              <w:sdtContent>
                <w:r w:rsidR="00D540EA">
                  <w:fldChar w:fldCharType="begin"/>
                </w:r>
                <w:r w:rsidR="00F12D69">
                  <w:instrText xml:space="preserve">CITATION IAEns2 \l 2057 </w:instrText>
                </w:r>
                <w:r w:rsidR="00D540EA">
                  <w:fldChar w:fldCharType="separate"/>
                </w:r>
                <w:r w:rsidR="002A4EED" w:rsidRPr="002A4EED">
                  <w:rPr>
                    <w:noProof/>
                  </w:rPr>
                  <w:t>[37]</w:t>
                </w:r>
                <w:r w:rsidR="00D540EA">
                  <w:fldChar w:fldCharType="end"/>
                </w:r>
              </w:sdtContent>
            </w:sdt>
          </w:p>
        </w:tc>
      </w:tr>
      <w:tr w:rsidR="00A05228" w:rsidRPr="00C25736" w14:paraId="51A03940" w14:textId="77777777" w:rsidTr="000D6BF8">
        <w:tc>
          <w:tcPr>
            <w:tcW w:w="2072" w:type="dxa"/>
            <w:vAlign w:val="center"/>
            <w:hideMark/>
          </w:tcPr>
          <w:p w14:paraId="199463B4" w14:textId="77777777" w:rsidR="00A05228" w:rsidRPr="00C25736" w:rsidRDefault="00A05228" w:rsidP="00A05228">
            <w:pPr>
              <w:autoSpaceDE w:val="0"/>
              <w:autoSpaceDN w:val="0"/>
              <w:adjustRightInd w:val="0"/>
            </w:pPr>
            <w:r w:rsidRPr="00C25736">
              <w:t>NS-G-2.13</w:t>
            </w:r>
          </w:p>
        </w:tc>
        <w:tc>
          <w:tcPr>
            <w:tcW w:w="4780" w:type="dxa"/>
            <w:vAlign w:val="center"/>
          </w:tcPr>
          <w:p w14:paraId="6CC1BFF6" w14:textId="64AA7F93" w:rsidR="00A05228" w:rsidRPr="00C25736" w:rsidRDefault="00A05228" w:rsidP="00547634">
            <w:pPr>
              <w:autoSpaceDE w:val="0"/>
              <w:autoSpaceDN w:val="0"/>
              <w:adjustRightInd w:val="0"/>
            </w:pPr>
            <w:r w:rsidRPr="00C25736">
              <w:rPr>
                <w:noProof/>
              </w:rPr>
              <w:t>Evaluation of Seismic Safety for Existing Nuclear Installations</w:t>
            </w:r>
          </w:p>
        </w:tc>
        <w:tc>
          <w:tcPr>
            <w:tcW w:w="2164" w:type="dxa"/>
            <w:vAlign w:val="center"/>
          </w:tcPr>
          <w:p w14:paraId="5FEE3CD2" w14:textId="2F24BB66" w:rsidR="00A05228" w:rsidRPr="00C25736" w:rsidRDefault="00000000" w:rsidP="00A05228">
            <w:pPr>
              <w:autoSpaceDE w:val="0"/>
              <w:autoSpaceDN w:val="0"/>
              <w:adjustRightInd w:val="0"/>
            </w:pPr>
            <w:sdt>
              <w:sdtPr>
                <w:id w:val="-394669866"/>
                <w:citation/>
              </w:sdtPr>
              <w:sdtContent>
                <w:r w:rsidR="00E6273C">
                  <w:fldChar w:fldCharType="begin"/>
                </w:r>
                <w:r w:rsidR="00F12D69">
                  <w:instrText xml:space="preserve">CITATION IAE \l 2057 </w:instrText>
                </w:r>
                <w:r w:rsidR="00E6273C">
                  <w:fldChar w:fldCharType="separate"/>
                </w:r>
                <w:r w:rsidR="002A4EED" w:rsidRPr="002A4EED">
                  <w:rPr>
                    <w:noProof/>
                  </w:rPr>
                  <w:t>[38]</w:t>
                </w:r>
                <w:r w:rsidR="00E6273C">
                  <w:fldChar w:fldCharType="end"/>
                </w:r>
              </w:sdtContent>
            </w:sdt>
          </w:p>
        </w:tc>
      </w:tr>
      <w:tr w:rsidR="00A05228" w:rsidRPr="00C25736" w14:paraId="3B6D8162" w14:textId="77777777" w:rsidTr="000D6BF8">
        <w:tc>
          <w:tcPr>
            <w:tcW w:w="2072" w:type="dxa"/>
            <w:vAlign w:val="center"/>
            <w:hideMark/>
          </w:tcPr>
          <w:p w14:paraId="10F403A6" w14:textId="77777777" w:rsidR="00A05228" w:rsidRPr="00C25736" w:rsidRDefault="00A05228" w:rsidP="00A05228">
            <w:pPr>
              <w:autoSpaceDE w:val="0"/>
              <w:autoSpaceDN w:val="0"/>
              <w:adjustRightInd w:val="0"/>
            </w:pPr>
            <w:r w:rsidRPr="00C25736">
              <w:t>SSG-9</w:t>
            </w:r>
          </w:p>
        </w:tc>
        <w:tc>
          <w:tcPr>
            <w:tcW w:w="4780" w:type="dxa"/>
            <w:vAlign w:val="center"/>
          </w:tcPr>
          <w:p w14:paraId="7C3CBA36" w14:textId="3283B1BC" w:rsidR="00A05228" w:rsidRPr="00C25736" w:rsidRDefault="00A05228" w:rsidP="00547634">
            <w:pPr>
              <w:autoSpaceDE w:val="0"/>
              <w:autoSpaceDN w:val="0"/>
              <w:adjustRightInd w:val="0"/>
            </w:pPr>
            <w:r w:rsidRPr="00C25736">
              <w:rPr>
                <w:noProof/>
              </w:rPr>
              <w:t>Seismic Hazards in Site Evaluat</w:t>
            </w:r>
            <w:r>
              <w:rPr>
                <w:noProof/>
              </w:rPr>
              <w:t>i</w:t>
            </w:r>
            <w:r w:rsidRPr="00C25736">
              <w:rPr>
                <w:noProof/>
              </w:rPr>
              <w:t>on for Nuclear Installations</w:t>
            </w:r>
          </w:p>
        </w:tc>
        <w:tc>
          <w:tcPr>
            <w:tcW w:w="2164" w:type="dxa"/>
            <w:vAlign w:val="center"/>
          </w:tcPr>
          <w:p w14:paraId="40C0B1B0" w14:textId="6347463A" w:rsidR="00A05228" w:rsidRPr="00C25736" w:rsidRDefault="00000000" w:rsidP="00A05228">
            <w:pPr>
              <w:autoSpaceDE w:val="0"/>
              <w:autoSpaceDN w:val="0"/>
              <w:adjustRightInd w:val="0"/>
            </w:pPr>
            <w:sdt>
              <w:sdtPr>
                <w:id w:val="1775353635"/>
                <w:citation/>
              </w:sdtPr>
              <w:sdtContent>
                <w:r w:rsidR="00C414E6">
                  <w:fldChar w:fldCharType="begin"/>
                </w:r>
                <w:r w:rsidR="00ED6843">
                  <w:instrText xml:space="preserve">CITATION IAEns3 \l 2057 </w:instrText>
                </w:r>
                <w:r w:rsidR="00C414E6">
                  <w:fldChar w:fldCharType="separate"/>
                </w:r>
                <w:r w:rsidR="002A4EED" w:rsidRPr="002A4EED">
                  <w:rPr>
                    <w:noProof/>
                  </w:rPr>
                  <w:t>[23]</w:t>
                </w:r>
                <w:r w:rsidR="00C414E6">
                  <w:fldChar w:fldCharType="end"/>
                </w:r>
              </w:sdtContent>
            </w:sdt>
          </w:p>
        </w:tc>
      </w:tr>
      <w:tr w:rsidR="00A05228" w:rsidRPr="00C25736" w14:paraId="241DF61B" w14:textId="77777777" w:rsidTr="000D6BF8">
        <w:tc>
          <w:tcPr>
            <w:tcW w:w="2072" w:type="dxa"/>
            <w:vAlign w:val="center"/>
            <w:hideMark/>
          </w:tcPr>
          <w:p w14:paraId="2FCF2B0E" w14:textId="77777777" w:rsidR="00A05228" w:rsidRPr="00C25736" w:rsidRDefault="00A05228" w:rsidP="00A05228">
            <w:pPr>
              <w:autoSpaceDE w:val="0"/>
              <w:autoSpaceDN w:val="0"/>
              <w:adjustRightInd w:val="0"/>
            </w:pPr>
            <w:r w:rsidRPr="00C25736">
              <w:t>SSG-18</w:t>
            </w:r>
          </w:p>
        </w:tc>
        <w:tc>
          <w:tcPr>
            <w:tcW w:w="4780" w:type="dxa"/>
            <w:vAlign w:val="center"/>
          </w:tcPr>
          <w:p w14:paraId="39B380B1" w14:textId="7F7B5F78" w:rsidR="00A05228" w:rsidRPr="00C25736" w:rsidRDefault="00A05228" w:rsidP="00547634">
            <w:pPr>
              <w:autoSpaceDE w:val="0"/>
              <w:autoSpaceDN w:val="0"/>
              <w:adjustRightInd w:val="0"/>
            </w:pPr>
            <w:r w:rsidRPr="00C25736">
              <w:rPr>
                <w:noProof/>
              </w:rPr>
              <w:t>Meteorological and Hydrological Hazards in Site Evaluation for Nuclear Installations</w:t>
            </w:r>
          </w:p>
        </w:tc>
        <w:tc>
          <w:tcPr>
            <w:tcW w:w="2164" w:type="dxa"/>
            <w:vAlign w:val="center"/>
            <w:hideMark/>
          </w:tcPr>
          <w:p w14:paraId="365CE084" w14:textId="19896C43" w:rsidR="00A05228" w:rsidRPr="00C25736" w:rsidRDefault="00000000" w:rsidP="00A05228">
            <w:pPr>
              <w:autoSpaceDE w:val="0"/>
              <w:autoSpaceDN w:val="0"/>
              <w:adjustRightInd w:val="0"/>
            </w:pPr>
            <w:sdt>
              <w:sdtPr>
                <w:id w:val="318008204"/>
                <w:citation/>
              </w:sdtPr>
              <w:sdtContent>
                <w:r w:rsidR="004D2433">
                  <w:fldChar w:fldCharType="begin"/>
                </w:r>
                <w:r w:rsidR="00F12D69">
                  <w:instrText xml:space="preserve">CITATION IAEns4 \l 2057 </w:instrText>
                </w:r>
                <w:r w:rsidR="004D2433">
                  <w:fldChar w:fldCharType="separate"/>
                </w:r>
                <w:r w:rsidR="002A4EED" w:rsidRPr="002A4EED">
                  <w:rPr>
                    <w:noProof/>
                  </w:rPr>
                  <w:t>[24]</w:t>
                </w:r>
                <w:r w:rsidR="004D2433">
                  <w:fldChar w:fldCharType="end"/>
                </w:r>
              </w:sdtContent>
            </w:sdt>
          </w:p>
        </w:tc>
      </w:tr>
      <w:tr w:rsidR="00A05228" w:rsidRPr="00C25736" w14:paraId="460AECD8" w14:textId="77777777" w:rsidTr="000D6BF8">
        <w:tc>
          <w:tcPr>
            <w:tcW w:w="2072" w:type="dxa"/>
            <w:vAlign w:val="center"/>
            <w:hideMark/>
          </w:tcPr>
          <w:p w14:paraId="77F9FCEE" w14:textId="77777777" w:rsidR="00A05228" w:rsidRPr="00C25736" w:rsidRDefault="00A05228" w:rsidP="00A05228">
            <w:pPr>
              <w:autoSpaceDE w:val="0"/>
              <w:autoSpaceDN w:val="0"/>
              <w:adjustRightInd w:val="0"/>
            </w:pPr>
            <w:r w:rsidRPr="00C25736">
              <w:t>SSG-21</w:t>
            </w:r>
          </w:p>
        </w:tc>
        <w:tc>
          <w:tcPr>
            <w:tcW w:w="4780" w:type="dxa"/>
            <w:vAlign w:val="center"/>
          </w:tcPr>
          <w:p w14:paraId="4C6934DD" w14:textId="11A6E293" w:rsidR="00A05228" w:rsidRPr="00C25736" w:rsidRDefault="00A05228" w:rsidP="00547634">
            <w:pPr>
              <w:autoSpaceDE w:val="0"/>
              <w:autoSpaceDN w:val="0"/>
              <w:adjustRightInd w:val="0"/>
            </w:pPr>
            <w:r w:rsidRPr="00C25736">
              <w:rPr>
                <w:noProof/>
              </w:rPr>
              <w:t>Volcanic Hazards for Site Evaluation for Nuclear Installations</w:t>
            </w:r>
          </w:p>
        </w:tc>
        <w:tc>
          <w:tcPr>
            <w:tcW w:w="2164" w:type="dxa"/>
            <w:vAlign w:val="center"/>
            <w:hideMark/>
          </w:tcPr>
          <w:p w14:paraId="7B1DEC9B" w14:textId="4E386792" w:rsidR="00A05228" w:rsidRPr="00C25736" w:rsidRDefault="00000000" w:rsidP="00A05228">
            <w:pPr>
              <w:autoSpaceDE w:val="0"/>
              <w:autoSpaceDN w:val="0"/>
              <w:adjustRightInd w:val="0"/>
            </w:pPr>
            <w:sdt>
              <w:sdtPr>
                <w:id w:val="521057631"/>
                <w:citation/>
              </w:sdtPr>
              <w:sdtContent>
                <w:r w:rsidR="005C5A13">
                  <w:fldChar w:fldCharType="begin"/>
                </w:r>
                <w:r w:rsidR="00F12D69">
                  <w:instrText xml:space="preserve">CITATION IAEns5 \l 2057 </w:instrText>
                </w:r>
                <w:r w:rsidR="005C5A13">
                  <w:fldChar w:fldCharType="separate"/>
                </w:r>
                <w:r w:rsidR="002A4EED" w:rsidRPr="002A4EED">
                  <w:rPr>
                    <w:noProof/>
                  </w:rPr>
                  <w:t>[39]</w:t>
                </w:r>
                <w:r w:rsidR="005C5A13">
                  <w:fldChar w:fldCharType="end"/>
                </w:r>
              </w:sdtContent>
            </w:sdt>
          </w:p>
        </w:tc>
      </w:tr>
      <w:tr w:rsidR="007B7EB9" w:rsidRPr="00C25736" w14:paraId="4856730C" w14:textId="77777777" w:rsidTr="000D6BF8">
        <w:tc>
          <w:tcPr>
            <w:tcW w:w="2072" w:type="dxa"/>
            <w:vAlign w:val="center"/>
          </w:tcPr>
          <w:p w14:paraId="3E5EFA05" w14:textId="4E4D3505" w:rsidR="007B7EB9" w:rsidRPr="00C25736" w:rsidRDefault="00996ED1" w:rsidP="00A05228">
            <w:pPr>
              <w:autoSpaceDE w:val="0"/>
              <w:autoSpaceDN w:val="0"/>
              <w:adjustRightInd w:val="0"/>
            </w:pPr>
            <w:r>
              <w:t>SSG</w:t>
            </w:r>
            <w:r w:rsidR="004E1CC0">
              <w:t>-68</w:t>
            </w:r>
          </w:p>
        </w:tc>
        <w:tc>
          <w:tcPr>
            <w:tcW w:w="4780" w:type="dxa"/>
            <w:vAlign w:val="center"/>
          </w:tcPr>
          <w:p w14:paraId="5CAA6D87" w14:textId="5688EE6B" w:rsidR="007B7EB9" w:rsidRPr="00C25736" w:rsidRDefault="004E1CC0" w:rsidP="00547634">
            <w:pPr>
              <w:autoSpaceDE w:val="0"/>
              <w:autoSpaceDN w:val="0"/>
              <w:adjustRightInd w:val="0"/>
              <w:rPr>
                <w:noProof/>
              </w:rPr>
            </w:pPr>
            <w:r>
              <w:rPr>
                <w:noProof/>
              </w:rPr>
              <w:t>Design of Nuc</w:t>
            </w:r>
            <w:r w:rsidR="009C4C86">
              <w:rPr>
                <w:noProof/>
              </w:rPr>
              <w:t>lear</w:t>
            </w:r>
            <w:r>
              <w:rPr>
                <w:noProof/>
              </w:rPr>
              <w:t xml:space="preserve"> Installations against external events excluding Earthquake</w:t>
            </w:r>
          </w:p>
        </w:tc>
        <w:tc>
          <w:tcPr>
            <w:tcW w:w="2164" w:type="dxa"/>
            <w:vAlign w:val="center"/>
          </w:tcPr>
          <w:p w14:paraId="1138BA79" w14:textId="7A4B60B3" w:rsidR="007B7EB9" w:rsidRPr="00C25736" w:rsidRDefault="00000000" w:rsidP="00A05228">
            <w:pPr>
              <w:autoSpaceDE w:val="0"/>
              <w:autoSpaceDN w:val="0"/>
              <w:adjustRightInd w:val="0"/>
              <w:rPr>
                <w:noProof/>
              </w:rPr>
            </w:pPr>
            <w:sdt>
              <w:sdtPr>
                <w:rPr>
                  <w:noProof/>
                </w:rPr>
                <w:id w:val="531238185"/>
                <w:citation/>
              </w:sdtPr>
              <w:sdtContent>
                <w:r w:rsidR="004E1CC0">
                  <w:rPr>
                    <w:noProof/>
                  </w:rPr>
                  <w:fldChar w:fldCharType="begin"/>
                </w:r>
                <w:r w:rsidR="00F12D69">
                  <w:rPr>
                    <w:noProof/>
                  </w:rPr>
                  <w:instrText xml:space="preserve">CITATION IAEes \l 2057 </w:instrText>
                </w:r>
                <w:r w:rsidR="004E1CC0">
                  <w:rPr>
                    <w:noProof/>
                  </w:rPr>
                  <w:fldChar w:fldCharType="separate"/>
                </w:r>
                <w:r w:rsidR="002A4EED" w:rsidRPr="002A4EED">
                  <w:rPr>
                    <w:noProof/>
                  </w:rPr>
                  <w:t>[22]</w:t>
                </w:r>
                <w:r w:rsidR="004E1CC0">
                  <w:rPr>
                    <w:noProof/>
                  </w:rPr>
                  <w:fldChar w:fldCharType="end"/>
                </w:r>
              </w:sdtContent>
            </w:sdt>
          </w:p>
        </w:tc>
      </w:tr>
      <w:tr w:rsidR="007B7EB9" w:rsidRPr="00C25736" w14:paraId="73EF5183" w14:textId="77777777" w:rsidTr="000D6BF8">
        <w:tc>
          <w:tcPr>
            <w:tcW w:w="2072" w:type="dxa"/>
            <w:vAlign w:val="center"/>
          </w:tcPr>
          <w:p w14:paraId="4E40F6F2" w14:textId="3AACEEBE" w:rsidR="007B7EB9" w:rsidRPr="00C25736" w:rsidRDefault="00B32575" w:rsidP="00A05228">
            <w:pPr>
              <w:autoSpaceDE w:val="0"/>
              <w:autoSpaceDN w:val="0"/>
              <w:adjustRightInd w:val="0"/>
            </w:pPr>
            <w:r>
              <w:t>SSG-77</w:t>
            </w:r>
          </w:p>
        </w:tc>
        <w:tc>
          <w:tcPr>
            <w:tcW w:w="4780" w:type="dxa"/>
            <w:vAlign w:val="center"/>
          </w:tcPr>
          <w:p w14:paraId="2D4E76E2" w14:textId="15B03CF0" w:rsidR="007B7EB9" w:rsidRPr="00C25736" w:rsidRDefault="00B32575" w:rsidP="00547634">
            <w:pPr>
              <w:autoSpaceDE w:val="0"/>
              <w:autoSpaceDN w:val="0"/>
              <w:adjustRightInd w:val="0"/>
              <w:rPr>
                <w:noProof/>
              </w:rPr>
            </w:pPr>
            <w:r>
              <w:rPr>
                <w:noProof/>
              </w:rPr>
              <w:t>Protection againts internal and exte</w:t>
            </w:r>
            <w:r w:rsidR="00B32308">
              <w:rPr>
                <w:noProof/>
              </w:rPr>
              <w:t>rnal hazards in the operation of Nuclear Power Plants</w:t>
            </w:r>
          </w:p>
        </w:tc>
        <w:tc>
          <w:tcPr>
            <w:tcW w:w="2164" w:type="dxa"/>
            <w:vAlign w:val="center"/>
          </w:tcPr>
          <w:p w14:paraId="36339531" w14:textId="3C5FAAD9" w:rsidR="007B7EB9" w:rsidRPr="00C25736" w:rsidRDefault="00000000" w:rsidP="00A05228">
            <w:pPr>
              <w:autoSpaceDE w:val="0"/>
              <w:autoSpaceDN w:val="0"/>
              <w:adjustRightInd w:val="0"/>
              <w:rPr>
                <w:noProof/>
              </w:rPr>
            </w:pPr>
            <w:sdt>
              <w:sdtPr>
                <w:rPr>
                  <w:noProof/>
                </w:rPr>
                <w:id w:val="232213129"/>
                <w:citation/>
              </w:sdtPr>
              <w:sdtContent>
                <w:r w:rsidR="00B32308">
                  <w:rPr>
                    <w:noProof/>
                  </w:rPr>
                  <w:fldChar w:fldCharType="begin"/>
                </w:r>
                <w:r w:rsidR="00F12D69">
                  <w:rPr>
                    <w:noProof/>
                  </w:rPr>
                  <w:instrText xml:space="preserve">CITATION IAEts1 \l 2057 </w:instrText>
                </w:r>
                <w:r w:rsidR="00B32308">
                  <w:rPr>
                    <w:noProof/>
                  </w:rPr>
                  <w:fldChar w:fldCharType="separate"/>
                </w:r>
                <w:r w:rsidR="002A4EED" w:rsidRPr="002A4EED">
                  <w:rPr>
                    <w:noProof/>
                  </w:rPr>
                  <w:t>[40]</w:t>
                </w:r>
                <w:r w:rsidR="00B32308">
                  <w:rPr>
                    <w:noProof/>
                  </w:rPr>
                  <w:fldChar w:fldCharType="end"/>
                </w:r>
              </w:sdtContent>
            </w:sdt>
          </w:p>
        </w:tc>
      </w:tr>
    </w:tbl>
    <w:p w14:paraId="3519E040" w14:textId="77777777" w:rsidR="00132AFF" w:rsidRDefault="00132AFF" w:rsidP="00132AFF">
      <w:pPr>
        <w:tabs>
          <w:tab w:val="left" w:pos="1440"/>
        </w:tabs>
        <w:spacing w:line="240" w:lineRule="auto"/>
        <w:contextualSpacing/>
      </w:pPr>
    </w:p>
    <w:p w14:paraId="3CBCB96A" w14:textId="77777777" w:rsidR="00132AFF" w:rsidRDefault="00132AFF" w:rsidP="00132AFF">
      <w:pPr>
        <w:tabs>
          <w:tab w:val="left" w:pos="1440"/>
        </w:tabs>
        <w:spacing w:line="240" w:lineRule="auto"/>
        <w:contextualSpacing/>
      </w:pPr>
    </w:p>
    <w:p w14:paraId="2F21D9E5" w14:textId="77777777" w:rsidR="00132AFF" w:rsidRDefault="00132AFF" w:rsidP="00132AFF">
      <w:pPr>
        <w:tabs>
          <w:tab w:val="left" w:pos="1440"/>
        </w:tabs>
        <w:spacing w:line="240" w:lineRule="auto"/>
        <w:contextualSpacing/>
      </w:pPr>
    </w:p>
    <w:p w14:paraId="1FFFE878" w14:textId="77777777" w:rsidR="00717C3A" w:rsidRDefault="00717C3A">
      <w:pPr>
        <w:spacing w:after="0" w:line="240" w:lineRule="auto"/>
        <w:rPr>
          <w:b/>
          <w:bCs/>
          <w:color w:val="000000" w:themeColor="text2"/>
          <w:sz w:val="22"/>
        </w:rPr>
      </w:pPr>
      <w:r>
        <w:br w:type="page"/>
      </w:r>
    </w:p>
    <w:p w14:paraId="40B0FD7C" w14:textId="0C683A25" w:rsidR="00132AFF" w:rsidRDefault="00132AFF" w:rsidP="00132AFF">
      <w:pPr>
        <w:pStyle w:val="Caption"/>
        <w:keepNext/>
      </w:pPr>
      <w:bookmarkStart w:id="1002" w:name="_Toc140137294"/>
      <w:r>
        <w:lastRenderedPageBreak/>
        <w:t xml:space="preserve">Table </w:t>
      </w:r>
      <w:fldSimple w:instr=" SEQ Table \* ARABIC ">
        <w:r w:rsidR="008B51F7">
          <w:rPr>
            <w:noProof/>
          </w:rPr>
          <w:t>6</w:t>
        </w:r>
      </w:fldSimple>
      <w:r>
        <w:t>: Example screening criteria for combinations of external hazards</w:t>
      </w:r>
      <w:bookmarkEnd w:id="1002"/>
    </w:p>
    <w:tbl>
      <w:tblPr>
        <w:tblStyle w:val="TableGrid"/>
        <w:tblW w:w="0" w:type="auto"/>
        <w:tblBorders>
          <w:top w:val="single" w:sz="4" w:space="0" w:color="999999" w:themeColor="text2" w:themeTint="66"/>
          <w:left w:val="single" w:sz="4" w:space="0" w:color="999999" w:themeColor="text2" w:themeTint="66"/>
          <w:bottom w:val="single" w:sz="4" w:space="0" w:color="999999" w:themeColor="text2" w:themeTint="66"/>
          <w:right w:val="single" w:sz="4" w:space="0" w:color="999999" w:themeColor="text2" w:themeTint="66"/>
          <w:insideH w:val="single" w:sz="4" w:space="0" w:color="999999" w:themeColor="text2" w:themeTint="66"/>
          <w:insideV w:val="single" w:sz="4" w:space="0" w:color="999999" w:themeColor="text2" w:themeTint="66"/>
        </w:tblBorders>
        <w:tblLook w:val="04A0" w:firstRow="1" w:lastRow="0" w:firstColumn="1" w:lastColumn="0" w:noHBand="0" w:noVBand="1"/>
      </w:tblPr>
      <w:tblGrid>
        <w:gridCol w:w="2266"/>
        <w:gridCol w:w="2254"/>
        <w:gridCol w:w="2255"/>
        <w:gridCol w:w="2221"/>
      </w:tblGrid>
      <w:tr w:rsidR="00132AFF" w:rsidRPr="00C25736" w14:paraId="67B6F06A" w14:textId="77777777">
        <w:tc>
          <w:tcPr>
            <w:tcW w:w="2266" w:type="dxa"/>
            <w:shd w:val="clear" w:color="auto" w:fill="D4EFE5"/>
          </w:tcPr>
          <w:p w14:paraId="60F948F9" w14:textId="77777777" w:rsidR="00132AFF" w:rsidRPr="00C25736" w:rsidRDefault="00132AFF">
            <w:pPr>
              <w:jc w:val="center"/>
              <w:rPr>
                <w:b/>
              </w:rPr>
            </w:pPr>
            <w:r w:rsidRPr="00C25736">
              <w:rPr>
                <w:b/>
              </w:rPr>
              <w:t>M1 / Independence</w:t>
            </w:r>
          </w:p>
          <w:p w14:paraId="56716ADF" w14:textId="77777777" w:rsidR="00132AFF" w:rsidRPr="00C25736" w:rsidRDefault="00132AFF">
            <w:pPr>
              <w:jc w:val="center"/>
              <w:rPr>
                <w:b/>
              </w:rPr>
            </w:pPr>
          </w:p>
        </w:tc>
        <w:tc>
          <w:tcPr>
            <w:tcW w:w="2254" w:type="dxa"/>
            <w:shd w:val="clear" w:color="auto" w:fill="D4EFE5"/>
          </w:tcPr>
          <w:p w14:paraId="581DD4DC" w14:textId="77777777" w:rsidR="00132AFF" w:rsidRPr="00C25736" w:rsidRDefault="00132AFF">
            <w:pPr>
              <w:jc w:val="center"/>
              <w:rPr>
                <w:b/>
              </w:rPr>
            </w:pPr>
            <w:r w:rsidRPr="00C25736">
              <w:rPr>
                <w:b/>
              </w:rPr>
              <w:t>M2 / Definition</w:t>
            </w:r>
          </w:p>
          <w:p w14:paraId="0B7BF2B0" w14:textId="77777777" w:rsidR="00132AFF" w:rsidRPr="00C25736" w:rsidRDefault="00132AFF">
            <w:pPr>
              <w:jc w:val="center"/>
              <w:rPr>
                <w:b/>
              </w:rPr>
            </w:pPr>
          </w:p>
        </w:tc>
        <w:tc>
          <w:tcPr>
            <w:tcW w:w="2255" w:type="dxa"/>
            <w:shd w:val="clear" w:color="auto" w:fill="D4EFE5"/>
          </w:tcPr>
          <w:p w14:paraId="2D19F998" w14:textId="77777777" w:rsidR="00132AFF" w:rsidRPr="00C25736" w:rsidRDefault="00132AFF">
            <w:pPr>
              <w:jc w:val="center"/>
              <w:rPr>
                <w:b/>
              </w:rPr>
            </w:pPr>
            <w:r w:rsidRPr="00C25736">
              <w:rPr>
                <w:b/>
              </w:rPr>
              <w:t>M3 / Impact</w:t>
            </w:r>
          </w:p>
          <w:p w14:paraId="588903C6" w14:textId="77777777" w:rsidR="00132AFF" w:rsidRPr="00C25736" w:rsidRDefault="00132AFF">
            <w:pPr>
              <w:jc w:val="center"/>
              <w:rPr>
                <w:b/>
              </w:rPr>
            </w:pPr>
          </w:p>
        </w:tc>
        <w:tc>
          <w:tcPr>
            <w:tcW w:w="2221" w:type="dxa"/>
            <w:shd w:val="clear" w:color="auto" w:fill="D4EFE5"/>
            <w:hideMark/>
          </w:tcPr>
          <w:p w14:paraId="1B62AEAE" w14:textId="77777777" w:rsidR="00132AFF" w:rsidRPr="00C25736" w:rsidRDefault="00132AFF">
            <w:pPr>
              <w:jc w:val="center"/>
              <w:rPr>
                <w:b/>
              </w:rPr>
            </w:pPr>
            <w:r w:rsidRPr="00C25736">
              <w:rPr>
                <w:b/>
              </w:rPr>
              <w:t>Single event screening</w:t>
            </w:r>
          </w:p>
          <w:p w14:paraId="33D40455" w14:textId="77777777" w:rsidR="00132AFF" w:rsidRPr="00C25736" w:rsidRDefault="00132AFF">
            <w:pPr>
              <w:jc w:val="center"/>
              <w:rPr>
                <w:b/>
              </w:rPr>
            </w:pPr>
            <w:r w:rsidRPr="00C25736">
              <w:rPr>
                <w:b/>
              </w:rPr>
              <w:t>criteria</w:t>
            </w:r>
          </w:p>
        </w:tc>
      </w:tr>
      <w:tr w:rsidR="00132AFF" w:rsidRPr="00C25736" w14:paraId="43595227" w14:textId="77777777" w:rsidTr="000D6BF8">
        <w:tc>
          <w:tcPr>
            <w:tcW w:w="2266" w:type="dxa"/>
            <w:vAlign w:val="center"/>
            <w:hideMark/>
          </w:tcPr>
          <w:p w14:paraId="4C329FB8" w14:textId="4D1089B1" w:rsidR="00132AFF" w:rsidRPr="00547634" w:rsidRDefault="00132AFF" w:rsidP="000D7A98">
            <w:pPr>
              <w:autoSpaceDE w:val="0"/>
              <w:autoSpaceDN w:val="0"/>
              <w:adjustRightInd w:val="0"/>
              <w:rPr>
                <w:sz w:val="22"/>
                <w:szCs w:val="20"/>
              </w:rPr>
            </w:pPr>
            <w:r w:rsidRPr="00547634">
              <w:rPr>
                <w:sz w:val="22"/>
                <w:szCs w:val="20"/>
              </w:rPr>
              <w:t>The events occur</w:t>
            </w:r>
            <w:r w:rsidR="00A25CDA">
              <w:rPr>
                <w:sz w:val="22"/>
                <w:szCs w:val="20"/>
              </w:rPr>
              <w:t xml:space="preserve"> </w:t>
            </w:r>
            <w:r w:rsidRPr="00547634">
              <w:rPr>
                <w:sz w:val="22"/>
                <w:szCs w:val="20"/>
              </w:rPr>
              <w:t>independently of each other in time</w:t>
            </w:r>
          </w:p>
          <w:p w14:paraId="4D263A2C" w14:textId="77777777" w:rsidR="00132AFF" w:rsidRPr="00547634" w:rsidRDefault="00132AFF">
            <w:pPr>
              <w:autoSpaceDE w:val="0"/>
              <w:autoSpaceDN w:val="0"/>
              <w:adjustRightInd w:val="0"/>
              <w:spacing w:after="120"/>
              <w:rPr>
                <w:sz w:val="22"/>
                <w:szCs w:val="20"/>
              </w:rPr>
            </w:pPr>
            <w:r w:rsidRPr="00547634">
              <w:rPr>
                <w:sz w:val="22"/>
                <w:szCs w:val="20"/>
              </w:rPr>
              <w:t>AND</w:t>
            </w:r>
          </w:p>
          <w:p w14:paraId="7C25BE67" w14:textId="2A7B2981" w:rsidR="00132AFF" w:rsidRPr="00547634" w:rsidRDefault="00132AFF" w:rsidP="000D7A98">
            <w:pPr>
              <w:autoSpaceDE w:val="0"/>
              <w:autoSpaceDN w:val="0"/>
              <w:adjustRightInd w:val="0"/>
              <w:rPr>
                <w:sz w:val="22"/>
                <w:szCs w:val="20"/>
              </w:rPr>
            </w:pPr>
            <w:r w:rsidRPr="00547634">
              <w:rPr>
                <w:sz w:val="22"/>
                <w:szCs w:val="20"/>
              </w:rPr>
              <w:t>The probability of</w:t>
            </w:r>
            <w:r w:rsidR="00A25CDA">
              <w:rPr>
                <w:sz w:val="22"/>
                <w:szCs w:val="20"/>
              </w:rPr>
              <w:t xml:space="preserve"> </w:t>
            </w:r>
            <w:r w:rsidRPr="00547634">
              <w:rPr>
                <w:sz w:val="22"/>
                <w:szCs w:val="20"/>
              </w:rPr>
              <w:t>simultaneous</w:t>
            </w:r>
            <w:r w:rsidR="00A25CDA">
              <w:rPr>
                <w:sz w:val="22"/>
                <w:szCs w:val="20"/>
              </w:rPr>
              <w:t xml:space="preserve"> </w:t>
            </w:r>
            <w:r w:rsidRPr="00547634">
              <w:rPr>
                <w:sz w:val="22"/>
                <w:szCs w:val="20"/>
              </w:rPr>
              <w:t>occurrence is low.</w:t>
            </w:r>
          </w:p>
        </w:tc>
        <w:tc>
          <w:tcPr>
            <w:tcW w:w="2254" w:type="dxa"/>
            <w:vAlign w:val="center"/>
            <w:hideMark/>
          </w:tcPr>
          <w:p w14:paraId="449934FE" w14:textId="432EBF90" w:rsidR="00132AFF" w:rsidRPr="00547634" w:rsidRDefault="00132AFF" w:rsidP="000D7A98">
            <w:pPr>
              <w:autoSpaceDE w:val="0"/>
              <w:autoSpaceDN w:val="0"/>
              <w:adjustRightInd w:val="0"/>
              <w:rPr>
                <w:sz w:val="22"/>
                <w:szCs w:val="20"/>
              </w:rPr>
            </w:pPr>
            <w:r w:rsidRPr="00547634">
              <w:rPr>
                <w:sz w:val="22"/>
                <w:szCs w:val="20"/>
              </w:rPr>
              <w:t>The events do not occur</w:t>
            </w:r>
            <w:r w:rsidR="00A25CDA">
              <w:rPr>
                <w:sz w:val="22"/>
                <w:szCs w:val="20"/>
              </w:rPr>
              <w:t xml:space="preserve"> </w:t>
            </w:r>
            <w:r w:rsidRPr="00547634">
              <w:rPr>
                <w:sz w:val="22"/>
                <w:szCs w:val="20"/>
              </w:rPr>
              <w:t>independently in time</w:t>
            </w:r>
          </w:p>
          <w:p w14:paraId="4492D5D5" w14:textId="77777777" w:rsidR="00132AFF" w:rsidRPr="00547634" w:rsidRDefault="00132AFF">
            <w:pPr>
              <w:autoSpaceDE w:val="0"/>
              <w:autoSpaceDN w:val="0"/>
              <w:adjustRightInd w:val="0"/>
              <w:spacing w:after="120"/>
              <w:rPr>
                <w:sz w:val="22"/>
                <w:szCs w:val="20"/>
              </w:rPr>
            </w:pPr>
            <w:r w:rsidRPr="00547634">
              <w:rPr>
                <w:sz w:val="22"/>
                <w:szCs w:val="20"/>
              </w:rPr>
              <w:t>AND</w:t>
            </w:r>
          </w:p>
          <w:p w14:paraId="61F2E661" w14:textId="27E76F52" w:rsidR="00132AFF" w:rsidRPr="00547634" w:rsidRDefault="00132AFF" w:rsidP="000D7A98">
            <w:pPr>
              <w:autoSpaceDE w:val="0"/>
              <w:autoSpaceDN w:val="0"/>
              <w:adjustRightInd w:val="0"/>
              <w:rPr>
                <w:sz w:val="22"/>
                <w:szCs w:val="20"/>
              </w:rPr>
            </w:pPr>
            <w:r w:rsidRPr="00547634">
              <w:rPr>
                <w:sz w:val="22"/>
                <w:szCs w:val="20"/>
              </w:rPr>
              <w:t>Multiple events</w:t>
            </w:r>
            <w:r w:rsidR="00A25CDA">
              <w:rPr>
                <w:sz w:val="22"/>
                <w:szCs w:val="20"/>
              </w:rPr>
              <w:t xml:space="preserve"> </w:t>
            </w:r>
            <w:r w:rsidRPr="00547634">
              <w:rPr>
                <w:sz w:val="22"/>
                <w:szCs w:val="20"/>
              </w:rPr>
              <w:t>included in definition of</w:t>
            </w:r>
            <w:r w:rsidR="00A25CDA">
              <w:rPr>
                <w:sz w:val="22"/>
                <w:szCs w:val="20"/>
              </w:rPr>
              <w:t xml:space="preserve"> </w:t>
            </w:r>
            <w:r w:rsidRPr="00547634">
              <w:rPr>
                <w:sz w:val="22"/>
                <w:szCs w:val="20"/>
              </w:rPr>
              <w:t>a single event, which is</w:t>
            </w:r>
            <w:r w:rsidR="00A25CDA">
              <w:rPr>
                <w:sz w:val="22"/>
                <w:szCs w:val="20"/>
              </w:rPr>
              <w:t xml:space="preserve"> </w:t>
            </w:r>
            <w:r w:rsidRPr="00547634">
              <w:rPr>
                <w:sz w:val="22"/>
                <w:szCs w:val="20"/>
              </w:rPr>
              <w:t>analysed for the plant.</w:t>
            </w:r>
          </w:p>
        </w:tc>
        <w:tc>
          <w:tcPr>
            <w:tcW w:w="2255" w:type="dxa"/>
            <w:vAlign w:val="center"/>
            <w:hideMark/>
          </w:tcPr>
          <w:p w14:paraId="5C10C8BA" w14:textId="69620797" w:rsidR="00132AFF" w:rsidRPr="00547634" w:rsidRDefault="00132AFF" w:rsidP="000D7A98">
            <w:pPr>
              <w:autoSpaceDE w:val="0"/>
              <w:autoSpaceDN w:val="0"/>
              <w:adjustRightInd w:val="0"/>
              <w:rPr>
                <w:sz w:val="22"/>
                <w:szCs w:val="20"/>
              </w:rPr>
            </w:pPr>
            <w:r w:rsidRPr="00547634">
              <w:rPr>
                <w:sz w:val="22"/>
                <w:szCs w:val="20"/>
              </w:rPr>
              <w:t>The events do not occur</w:t>
            </w:r>
            <w:r w:rsidR="00A25CDA">
              <w:rPr>
                <w:sz w:val="22"/>
                <w:szCs w:val="20"/>
              </w:rPr>
              <w:t xml:space="preserve"> </w:t>
            </w:r>
            <w:r w:rsidRPr="00547634">
              <w:rPr>
                <w:sz w:val="22"/>
                <w:szCs w:val="20"/>
              </w:rPr>
              <w:t>independently in time</w:t>
            </w:r>
          </w:p>
          <w:p w14:paraId="0AF16FA6" w14:textId="77777777" w:rsidR="00132AFF" w:rsidRPr="00547634" w:rsidRDefault="00132AFF">
            <w:pPr>
              <w:autoSpaceDE w:val="0"/>
              <w:autoSpaceDN w:val="0"/>
              <w:adjustRightInd w:val="0"/>
              <w:spacing w:after="120"/>
              <w:rPr>
                <w:sz w:val="22"/>
                <w:szCs w:val="20"/>
              </w:rPr>
            </w:pPr>
            <w:r w:rsidRPr="00547634">
              <w:rPr>
                <w:sz w:val="22"/>
                <w:szCs w:val="20"/>
              </w:rPr>
              <w:t>AND</w:t>
            </w:r>
          </w:p>
          <w:p w14:paraId="6B54F23E" w14:textId="77777777" w:rsidR="00132AFF" w:rsidRPr="00547634" w:rsidRDefault="00132AFF">
            <w:pPr>
              <w:autoSpaceDE w:val="0"/>
              <w:autoSpaceDN w:val="0"/>
              <w:adjustRightInd w:val="0"/>
              <w:spacing w:after="120"/>
              <w:rPr>
                <w:sz w:val="22"/>
                <w:szCs w:val="20"/>
              </w:rPr>
            </w:pPr>
            <w:r w:rsidRPr="00547634">
              <w:rPr>
                <w:sz w:val="22"/>
                <w:szCs w:val="20"/>
              </w:rPr>
              <w:t>The events affect the same plant safety function.</w:t>
            </w:r>
          </w:p>
          <w:p w14:paraId="34DE248B" w14:textId="77777777" w:rsidR="00132AFF" w:rsidRPr="00547634" w:rsidRDefault="00132AFF">
            <w:pPr>
              <w:autoSpaceDE w:val="0"/>
              <w:autoSpaceDN w:val="0"/>
              <w:adjustRightInd w:val="0"/>
              <w:spacing w:after="120"/>
              <w:rPr>
                <w:sz w:val="22"/>
                <w:szCs w:val="20"/>
              </w:rPr>
            </w:pPr>
            <w:r w:rsidRPr="00547634">
              <w:rPr>
                <w:sz w:val="22"/>
                <w:szCs w:val="20"/>
              </w:rPr>
              <w:t>AND</w:t>
            </w:r>
          </w:p>
          <w:p w14:paraId="7E8FC0C6" w14:textId="430E4AFF" w:rsidR="00132AFF" w:rsidRPr="00547634" w:rsidRDefault="00132AFF" w:rsidP="000D7A98">
            <w:pPr>
              <w:autoSpaceDE w:val="0"/>
              <w:autoSpaceDN w:val="0"/>
              <w:adjustRightInd w:val="0"/>
              <w:rPr>
                <w:sz w:val="22"/>
                <w:szCs w:val="20"/>
              </w:rPr>
            </w:pPr>
            <w:r w:rsidRPr="00547634">
              <w:rPr>
                <w:sz w:val="22"/>
                <w:szCs w:val="20"/>
              </w:rPr>
              <w:t>The combined effect on</w:t>
            </w:r>
            <w:r w:rsidR="00A25CDA">
              <w:rPr>
                <w:sz w:val="22"/>
                <w:szCs w:val="20"/>
              </w:rPr>
              <w:t xml:space="preserve"> </w:t>
            </w:r>
            <w:r w:rsidRPr="00547634">
              <w:rPr>
                <w:sz w:val="22"/>
                <w:szCs w:val="20"/>
              </w:rPr>
              <w:t>the safety function is not</w:t>
            </w:r>
            <w:r w:rsidR="00A25CDA">
              <w:rPr>
                <w:sz w:val="22"/>
                <w:szCs w:val="20"/>
              </w:rPr>
              <w:t xml:space="preserve"> </w:t>
            </w:r>
            <w:r w:rsidRPr="00547634">
              <w:rPr>
                <w:sz w:val="22"/>
                <w:szCs w:val="20"/>
              </w:rPr>
              <w:t>greater than the effect</w:t>
            </w:r>
            <w:r w:rsidR="00A25CDA">
              <w:rPr>
                <w:sz w:val="22"/>
                <w:szCs w:val="20"/>
              </w:rPr>
              <w:t xml:space="preserve"> </w:t>
            </w:r>
            <w:r w:rsidRPr="00547634">
              <w:rPr>
                <w:sz w:val="22"/>
                <w:szCs w:val="20"/>
              </w:rPr>
              <w:t>from most severe of the</w:t>
            </w:r>
            <w:r w:rsidR="00A25CDA">
              <w:rPr>
                <w:sz w:val="22"/>
                <w:szCs w:val="20"/>
              </w:rPr>
              <w:t xml:space="preserve"> </w:t>
            </w:r>
            <w:r w:rsidRPr="00547634">
              <w:rPr>
                <w:sz w:val="22"/>
                <w:szCs w:val="20"/>
              </w:rPr>
              <w:t>single events involved</w:t>
            </w:r>
          </w:p>
        </w:tc>
        <w:tc>
          <w:tcPr>
            <w:tcW w:w="2221" w:type="dxa"/>
            <w:vAlign w:val="center"/>
            <w:hideMark/>
          </w:tcPr>
          <w:p w14:paraId="0F4ACAF8" w14:textId="1B5456CD" w:rsidR="00132AFF" w:rsidRPr="00547634" w:rsidRDefault="00132AFF" w:rsidP="00A25CDA">
            <w:pPr>
              <w:autoSpaceDE w:val="0"/>
              <w:autoSpaceDN w:val="0"/>
              <w:adjustRightInd w:val="0"/>
              <w:rPr>
                <w:sz w:val="22"/>
                <w:szCs w:val="20"/>
              </w:rPr>
            </w:pPr>
            <w:r w:rsidRPr="00547634">
              <w:rPr>
                <w:sz w:val="22"/>
                <w:szCs w:val="20"/>
              </w:rPr>
              <w:t>Single external events</w:t>
            </w:r>
            <w:r w:rsidR="00A25CDA">
              <w:rPr>
                <w:sz w:val="22"/>
                <w:szCs w:val="20"/>
              </w:rPr>
              <w:t xml:space="preserve"> </w:t>
            </w:r>
            <w:r w:rsidRPr="00547634">
              <w:rPr>
                <w:sz w:val="22"/>
                <w:szCs w:val="20"/>
              </w:rPr>
              <w:t>criteria are relevant also for multiple events.</w:t>
            </w:r>
          </w:p>
        </w:tc>
      </w:tr>
    </w:tbl>
    <w:p w14:paraId="54B175A3" w14:textId="77777777" w:rsidR="00132AFF" w:rsidRDefault="00132AFF" w:rsidP="00132AFF">
      <w:pPr>
        <w:tabs>
          <w:tab w:val="left" w:pos="1440"/>
        </w:tabs>
        <w:spacing w:line="240" w:lineRule="auto"/>
        <w:contextualSpacing/>
      </w:pPr>
    </w:p>
    <w:p w14:paraId="36FAD564" w14:textId="77777777" w:rsidR="00132AFF" w:rsidRDefault="00132AFF" w:rsidP="00132AFF">
      <w:pPr>
        <w:tabs>
          <w:tab w:val="left" w:pos="1440"/>
        </w:tabs>
        <w:spacing w:line="240" w:lineRule="auto"/>
        <w:contextualSpacing/>
      </w:pPr>
    </w:p>
    <w:p w14:paraId="4FD93BBD" w14:textId="77777777" w:rsidR="00132AFF" w:rsidRDefault="00132AFF" w:rsidP="00132AFF">
      <w:pPr>
        <w:tabs>
          <w:tab w:val="left" w:pos="1440"/>
        </w:tabs>
        <w:spacing w:line="240" w:lineRule="auto"/>
        <w:contextualSpacing/>
      </w:pPr>
    </w:p>
    <w:p w14:paraId="5BD59667" w14:textId="77777777" w:rsidR="00132AFF" w:rsidRDefault="00132AFF" w:rsidP="00132AFF">
      <w:pPr>
        <w:tabs>
          <w:tab w:val="left" w:pos="1440"/>
        </w:tabs>
        <w:spacing w:line="240" w:lineRule="auto"/>
        <w:contextualSpacing/>
      </w:pPr>
    </w:p>
    <w:p w14:paraId="2BF7D7F8" w14:textId="77777777" w:rsidR="00132AFF" w:rsidRDefault="00132AFF" w:rsidP="00132AFF">
      <w:pPr>
        <w:tabs>
          <w:tab w:val="left" w:pos="1440"/>
        </w:tabs>
        <w:spacing w:line="240" w:lineRule="auto"/>
        <w:contextualSpacing/>
      </w:pPr>
    </w:p>
    <w:p w14:paraId="5E2503CF" w14:textId="77777777" w:rsidR="00132AFF" w:rsidRDefault="00132AFF" w:rsidP="00132AFF">
      <w:pPr>
        <w:tabs>
          <w:tab w:val="left" w:pos="1440"/>
        </w:tabs>
        <w:spacing w:line="240" w:lineRule="auto"/>
        <w:contextualSpacing/>
      </w:pPr>
    </w:p>
    <w:p w14:paraId="4D0FF750" w14:textId="77777777" w:rsidR="00132AFF" w:rsidRDefault="00132AFF" w:rsidP="00132AFF">
      <w:pPr>
        <w:tabs>
          <w:tab w:val="left" w:pos="1440"/>
        </w:tabs>
        <w:spacing w:line="240" w:lineRule="auto"/>
        <w:contextualSpacing/>
      </w:pPr>
    </w:p>
    <w:p w14:paraId="788F8D1A" w14:textId="77777777" w:rsidR="00132AFF" w:rsidRDefault="00132AFF" w:rsidP="00132AFF">
      <w:pPr>
        <w:tabs>
          <w:tab w:val="left" w:pos="1440"/>
        </w:tabs>
        <w:spacing w:line="240" w:lineRule="auto"/>
        <w:contextualSpacing/>
      </w:pPr>
    </w:p>
    <w:p w14:paraId="362524DE" w14:textId="77777777" w:rsidR="00132AFF" w:rsidRDefault="00132AFF" w:rsidP="00132AFF">
      <w:pPr>
        <w:tabs>
          <w:tab w:val="left" w:pos="1440"/>
        </w:tabs>
        <w:spacing w:line="240" w:lineRule="auto"/>
        <w:contextualSpacing/>
      </w:pPr>
    </w:p>
    <w:p w14:paraId="4A042D64" w14:textId="77777777" w:rsidR="00132AFF" w:rsidRDefault="00132AFF" w:rsidP="00132AFF">
      <w:pPr>
        <w:tabs>
          <w:tab w:val="left" w:pos="1440"/>
        </w:tabs>
        <w:spacing w:line="240" w:lineRule="auto"/>
        <w:contextualSpacing/>
      </w:pPr>
    </w:p>
    <w:p w14:paraId="31D68063" w14:textId="77777777" w:rsidR="00B1331C" w:rsidRDefault="00512502">
      <w:pPr>
        <w:spacing w:after="0" w:line="240" w:lineRule="auto"/>
        <w:sectPr w:rsidR="00B1331C" w:rsidSect="000B2BCD">
          <w:pgSz w:w="11906" w:h="16838" w:code="9"/>
          <w:pgMar w:top="1440" w:right="1440" w:bottom="1440" w:left="1440" w:header="397" w:footer="397" w:gutter="0"/>
          <w:cols w:space="312"/>
          <w:docGrid w:linePitch="360"/>
        </w:sectPr>
      </w:pPr>
      <w:r>
        <w:br w:type="page"/>
      </w:r>
    </w:p>
    <w:p w14:paraId="4626E4A5" w14:textId="6A12DFC2" w:rsidR="00512502" w:rsidRDefault="00512502" w:rsidP="003138E6">
      <w:pPr>
        <w:pStyle w:val="Appendix"/>
        <w:rPr>
          <w:lang w:bidi="ar-SA"/>
        </w:rPr>
      </w:pPr>
      <w:bookmarkStart w:id="1003" w:name="_Toc140137274"/>
      <w:r w:rsidRPr="00B22727">
        <w:lastRenderedPageBreak/>
        <w:t>Appendix</w:t>
      </w:r>
      <w:r>
        <w:t xml:space="preserve"> A</w:t>
      </w:r>
      <w:bookmarkEnd w:id="1003"/>
    </w:p>
    <w:p w14:paraId="5D1E6D06" w14:textId="41580FFA" w:rsidR="00512502" w:rsidRPr="00B22727" w:rsidRDefault="00512502" w:rsidP="00B22727">
      <w:pPr>
        <w:pStyle w:val="Appendix"/>
        <w:numPr>
          <w:ilvl w:val="1"/>
          <w:numId w:val="73"/>
        </w:numPr>
        <w:ind w:left="426" w:hanging="426"/>
        <w:rPr>
          <w:sz w:val="36"/>
          <w:szCs w:val="16"/>
        </w:rPr>
      </w:pPr>
      <w:bookmarkStart w:id="1004" w:name="_Toc140137275"/>
      <w:r w:rsidRPr="00B22727">
        <w:rPr>
          <w:sz w:val="36"/>
          <w:szCs w:val="16"/>
        </w:rPr>
        <w:t>Introduction</w:t>
      </w:r>
      <w:bookmarkEnd w:id="1004"/>
    </w:p>
    <w:p w14:paraId="73496C46" w14:textId="06156697" w:rsidR="00512502" w:rsidRDefault="00512502" w:rsidP="000D6BF8">
      <w:pPr>
        <w:pStyle w:val="F9-Paragraph"/>
        <w:ind w:hanging="502"/>
        <w:rPr>
          <w:sz w:val="22"/>
          <w:szCs w:val="22"/>
        </w:rPr>
      </w:pPr>
      <w:r>
        <w:t xml:space="preserve">This </w:t>
      </w:r>
      <w:r w:rsidR="009B2F5B">
        <w:t>a</w:t>
      </w:r>
      <w:r>
        <w:t>ppendix to the TAG</w:t>
      </w:r>
      <w:r w:rsidR="0089501D">
        <w:t xml:space="preserve"> </w:t>
      </w:r>
      <w:r>
        <w:t xml:space="preserve">13 </w:t>
      </w:r>
      <w:r w:rsidR="005C3DFD">
        <w:t>m</w:t>
      </w:r>
      <w:r>
        <w:t xml:space="preserve">ain document collects together information that, whilst not part of the </w:t>
      </w:r>
      <w:r w:rsidR="0068348F">
        <w:t>m</w:t>
      </w:r>
      <w:r>
        <w:t>ain document, is considered to provide sufficiently useful advice to inspectors to warrant inclusion. The majority of the material is taken from the previous version of TAG</w:t>
      </w:r>
      <w:r w:rsidR="0089501D">
        <w:t xml:space="preserve"> </w:t>
      </w:r>
      <w:r>
        <w:t>13.</w:t>
      </w:r>
    </w:p>
    <w:p w14:paraId="62CBA540" w14:textId="0A3632C3" w:rsidR="00512502" w:rsidRDefault="00512502" w:rsidP="000D6BF8">
      <w:pPr>
        <w:pStyle w:val="F9-Paragraph"/>
        <w:ind w:hanging="502"/>
      </w:pPr>
      <w:r>
        <w:t xml:space="preserve">For definitions of acronyms and glossary, as well as Tables, refer to the </w:t>
      </w:r>
      <w:r w:rsidR="005C3DFD">
        <w:t>m</w:t>
      </w:r>
      <w:r>
        <w:t xml:space="preserve">ain </w:t>
      </w:r>
      <w:r w:rsidR="005C3DFD">
        <w:t>d</w:t>
      </w:r>
      <w:r>
        <w:t>ocument.</w:t>
      </w:r>
    </w:p>
    <w:p w14:paraId="398F70C7" w14:textId="1CEDF347" w:rsidR="00512502" w:rsidRPr="00B22727" w:rsidRDefault="00512502" w:rsidP="00B22727">
      <w:pPr>
        <w:pStyle w:val="Appendix"/>
        <w:numPr>
          <w:ilvl w:val="1"/>
          <w:numId w:val="73"/>
        </w:numPr>
        <w:ind w:left="709" w:hanging="709"/>
        <w:rPr>
          <w:sz w:val="36"/>
          <w:szCs w:val="36"/>
        </w:rPr>
      </w:pPr>
      <w:bookmarkStart w:id="1005" w:name="_Toc140137276"/>
      <w:r w:rsidRPr="00B22727">
        <w:rPr>
          <w:sz w:val="36"/>
          <w:szCs w:val="36"/>
        </w:rPr>
        <w:t xml:space="preserve">An </w:t>
      </w:r>
      <w:r w:rsidR="005C3DFD">
        <w:rPr>
          <w:sz w:val="36"/>
          <w:szCs w:val="36"/>
        </w:rPr>
        <w:t>A</w:t>
      </w:r>
      <w:r w:rsidRPr="00B22727">
        <w:rPr>
          <w:sz w:val="36"/>
          <w:szCs w:val="36"/>
        </w:rPr>
        <w:t xml:space="preserve">pproach for </w:t>
      </w:r>
      <w:r w:rsidR="005C3DFD">
        <w:rPr>
          <w:sz w:val="36"/>
          <w:szCs w:val="36"/>
        </w:rPr>
        <w:t>C</w:t>
      </w:r>
      <w:r w:rsidRPr="00B22727">
        <w:rPr>
          <w:sz w:val="36"/>
          <w:szCs w:val="36"/>
        </w:rPr>
        <w:t xml:space="preserve">omparing </w:t>
      </w:r>
      <w:r w:rsidR="005C3DFD">
        <w:rPr>
          <w:sz w:val="36"/>
          <w:szCs w:val="36"/>
        </w:rPr>
        <w:t>S</w:t>
      </w:r>
      <w:r w:rsidRPr="00B22727">
        <w:rPr>
          <w:sz w:val="36"/>
          <w:szCs w:val="36"/>
        </w:rPr>
        <w:t>ite-</w:t>
      </w:r>
      <w:r w:rsidR="005C3DFD">
        <w:rPr>
          <w:sz w:val="36"/>
          <w:szCs w:val="36"/>
        </w:rPr>
        <w:t>S</w:t>
      </w:r>
      <w:r w:rsidRPr="00B22727">
        <w:rPr>
          <w:sz w:val="36"/>
          <w:szCs w:val="36"/>
        </w:rPr>
        <w:t xml:space="preserve">pecific </w:t>
      </w:r>
      <w:r w:rsidR="005C3DFD">
        <w:rPr>
          <w:sz w:val="36"/>
          <w:szCs w:val="36"/>
        </w:rPr>
        <w:t>H</w:t>
      </w:r>
      <w:r w:rsidRPr="00B22727">
        <w:rPr>
          <w:sz w:val="36"/>
          <w:szCs w:val="36"/>
        </w:rPr>
        <w:t xml:space="preserve">azard </w:t>
      </w:r>
      <w:r w:rsidR="005C3DFD">
        <w:rPr>
          <w:sz w:val="36"/>
          <w:szCs w:val="36"/>
        </w:rPr>
        <w:t>V</w:t>
      </w:r>
      <w:r w:rsidRPr="00B22727">
        <w:rPr>
          <w:sz w:val="36"/>
          <w:szCs w:val="36"/>
        </w:rPr>
        <w:t xml:space="preserve">alues with the Generic Site Envelope </w:t>
      </w:r>
      <w:r w:rsidR="005C3DFD">
        <w:rPr>
          <w:sz w:val="36"/>
          <w:szCs w:val="36"/>
        </w:rPr>
        <w:t>H</w:t>
      </w:r>
      <w:r w:rsidRPr="00B22727">
        <w:rPr>
          <w:sz w:val="36"/>
          <w:szCs w:val="36"/>
        </w:rPr>
        <w:t xml:space="preserve">azard </w:t>
      </w:r>
      <w:r w:rsidR="005C3DFD">
        <w:rPr>
          <w:sz w:val="36"/>
          <w:szCs w:val="36"/>
        </w:rPr>
        <w:t>V</w:t>
      </w:r>
      <w:r w:rsidRPr="00B22727">
        <w:rPr>
          <w:sz w:val="36"/>
          <w:szCs w:val="36"/>
        </w:rPr>
        <w:t>alues.</w:t>
      </w:r>
      <w:bookmarkEnd w:id="1005"/>
    </w:p>
    <w:p w14:paraId="4EE644AE" w14:textId="09DC21A3" w:rsidR="00512502" w:rsidRPr="000D6BF8" w:rsidRDefault="00512502" w:rsidP="000D6BF8">
      <w:pPr>
        <w:pStyle w:val="F9-Paragraph"/>
        <w:ind w:hanging="502"/>
      </w:pPr>
      <w:r>
        <w:t xml:space="preserve">The </w:t>
      </w:r>
      <w:r w:rsidR="004F5D46">
        <w:t>m</w:t>
      </w:r>
      <w:r>
        <w:t xml:space="preserve">ain document Section </w:t>
      </w:r>
      <w:r w:rsidR="00543DA9" w:rsidRPr="000D6BF8">
        <w:fldChar w:fldCharType="begin"/>
      </w:r>
      <w:r w:rsidR="00543DA9">
        <w:instrText xml:space="preserve"> REF _Ref139549482 \r \h </w:instrText>
      </w:r>
      <w:r w:rsidR="00455323">
        <w:instrText xml:space="preserve"> \* MERGEFORMAT </w:instrText>
      </w:r>
      <w:r w:rsidR="00543DA9" w:rsidRPr="000D6BF8">
        <w:fldChar w:fldCharType="separate"/>
      </w:r>
      <w:r w:rsidR="008B51F7">
        <w:t>5.7.2.2</w:t>
      </w:r>
      <w:r w:rsidR="00543DA9" w:rsidRPr="000D6BF8">
        <w:fldChar w:fldCharType="end"/>
      </w:r>
      <w:r>
        <w:t xml:space="preserve"> describes the process that applies in the case of a </w:t>
      </w:r>
      <w:r w:rsidR="00476E9D">
        <w:t>GDA</w:t>
      </w:r>
      <w:r>
        <w:t xml:space="preserve"> for proposed new reactors. Due to the process for </w:t>
      </w:r>
      <w:r w:rsidR="005E2A40">
        <w:t>EHs</w:t>
      </w:r>
      <w:r>
        <w:t xml:space="preserve"> initially being formulated in terms of GSE</w:t>
      </w:r>
      <w:r w:rsidR="00E12F0C">
        <w:t>s</w:t>
      </w:r>
      <w:r>
        <w:t>, some useful approaches to the assessment of the EHs have been developed. Amongst them is a way with which to visualise how site-specific hazard values can be directly compared with the GSE hazard values. This applies in the following manner.</w:t>
      </w:r>
    </w:p>
    <w:p w14:paraId="72E59E80" w14:textId="143C6E85" w:rsidR="00512502" w:rsidRDefault="00512502" w:rsidP="000D6BF8">
      <w:pPr>
        <w:pStyle w:val="F9-Paragraph"/>
        <w:ind w:hanging="502"/>
      </w:pPr>
      <w:bookmarkStart w:id="1006" w:name="_Toc473126228"/>
      <w:bookmarkStart w:id="1007" w:name="_Toc473127848"/>
      <w:bookmarkStart w:id="1008" w:name="_Ref473368773"/>
      <w:bookmarkStart w:id="1009" w:name="_Ref473544413"/>
      <w:r>
        <w:t xml:space="preserve">For each new reactor construction project, the expectation is that a GSE is defined by the </w:t>
      </w:r>
      <w:r w:rsidR="00E93AA1">
        <w:t>RP</w:t>
      </w:r>
      <w:r>
        <w:t xml:space="preserve"> during the GDA, as a series of hazard-specific design bases. For a given EH</w:t>
      </w:r>
      <w:r w:rsidR="00F26628">
        <w:t>,</w:t>
      </w:r>
      <w:r>
        <w:t xml:space="preserve"> the GSE defines a benchmark hazard magnitude which the nuclear facility will be designed to withstand. It should be noted that not all EHs are normally represented in a GSE</w:t>
      </w:r>
      <w:r w:rsidR="00023D4A">
        <w:t>. Some EH</w:t>
      </w:r>
      <w:r>
        <w:t xml:space="preserve">, most notably off-site </w:t>
      </w:r>
      <w:r w:rsidR="00891E7C">
        <w:t xml:space="preserve">originating </w:t>
      </w:r>
      <w:r>
        <w:t>flooding related hazards, are generally considered as intrinsically site-specific and not amenable to generalising for the purposes of generic design. For these hazards, protection and mitigation measures will be bespoke to the site in question and form part of the site-specific design process.</w:t>
      </w:r>
      <w:bookmarkEnd w:id="1006"/>
      <w:bookmarkEnd w:id="1007"/>
      <w:bookmarkEnd w:id="1008"/>
      <w:bookmarkEnd w:id="1009"/>
      <w:r>
        <w:t xml:space="preserve"> The site-specific EH envelope should be based on screening of all potential EHs to confirm that all credible hazards and combinations of hazards have been identified for the site.</w:t>
      </w:r>
    </w:p>
    <w:p w14:paraId="6DFE85CA" w14:textId="0259A349" w:rsidR="00512502" w:rsidRPr="000D6BF8" w:rsidRDefault="00512502" w:rsidP="000D6BF8">
      <w:pPr>
        <w:pStyle w:val="F9-Paragraph"/>
        <w:ind w:hanging="502"/>
      </w:pPr>
      <w:bookmarkStart w:id="1010" w:name="_Toc473126229"/>
      <w:bookmarkStart w:id="1011" w:name="_Toc473127849"/>
      <w:bookmarkStart w:id="1012" w:name="_Ref473368778"/>
      <w:r>
        <w:t xml:space="preserve">At the site licensing and subsequent permissioning stages, the site-specific EHs </w:t>
      </w:r>
      <w:r w:rsidR="00740BCC">
        <w:t xml:space="preserve">should be </w:t>
      </w:r>
      <w:r>
        <w:t>defined in a manner consistent with the needs of the design process</w:t>
      </w:r>
      <w:r w:rsidR="00740BCC">
        <w:t xml:space="preserve">. </w:t>
      </w:r>
      <w:r w:rsidR="008F4A11">
        <w:t>The site-specific DBE</w:t>
      </w:r>
      <w:r>
        <w:t xml:space="preserve"> will be compared against th</w:t>
      </w:r>
      <w:r w:rsidR="006144B4">
        <w:t>e</w:t>
      </w:r>
      <w:r>
        <w:t xml:space="preserve"> GSE, a visual example of this comparison is shown in Figure 2. If the </w:t>
      </w:r>
      <w:r w:rsidR="009D581B">
        <w:t xml:space="preserve">site DBE </w:t>
      </w:r>
      <w:r>
        <w:t xml:space="preserve">is bounded by the GSE, then the generic design is likely to meet the regulatory expectations of ONR from the perspective of those EHs captured by the GSE. If any site-specific EH </w:t>
      </w:r>
      <w:r w:rsidR="009D581B">
        <w:t xml:space="preserve">DBE </w:t>
      </w:r>
      <w:r>
        <w:t xml:space="preserve">value exceeds the GSE value for that hazard, then the </w:t>
      </w:r>
      <w:r w:rsidR="009D581B">
        <w:t xml:space="preserve">SLA </w:t>
      </w:r>
      <w:r w:rsidR="00BC3FBD">
        <w:t xml:space="preserve">should </w:t>
      </w:r>
      <w:r>
        <w:t xml:space="preserve">provide an </w:t>
      </w:r>
      <w:r w:rsidR="007B1E88">
        <w:t>adequate</w:t>
      </w:r>
      <w:r>
        <w:t xml:space="preserve"> justification to demonstrate that the proposed design remains suitable for that </w:t>
      </w:r>
      <w:bookmarkEnd w:id="1010"/>
      <w:bookmarkEnd w:id="1011"/>
      <w:bookmarkEnd w:id="1012"/>
      <w:r w:rsidR="008F4A11">
        <w:t>site or</w:t>
      </w:r>
      <w:r w:rsidR="00714FA5">
        <w:t xml:space="preserve"> propose</w:t>
      </w:r>
      <w:r w:rsidR="0015610C">
        <w:t xml:space="preserve"> an a</w:t>
      </w:r>
      <w:r w:rsidR="007B1E88">
        <w:t>ppropriate</w:t>
      </w:r>
      <w:r w:rsidR="0015610C">
        <w:t xml:space="preserve"> design change</w:t>
      </w:r>
      <w:r w:rsidR="002C7FA7">
        <w:t>.</w:t>
      </w:r>
      <w:r w:rsidRPr="000D6BF8">
        <w:t xml:space="preserve"> </w:t>
      </w:r>
    </w:p>
    <w:p w14:paraId="585F88CC" w14:textId="19F531BB" w:rsidR="00512502" w:rsidRDefault="00512502" w:rsidP="000D6BF8">
      <w:pPr>
        <w:pStyle w:val="F9-Paragraph"/>
        <w:ind w:hanging="502"/>
      </w:pPr>
      <w:r>
        <w:lastRenderedPageBreak/>
        <w:t xml:space="preserve">Using Figure A1 as an example, the Wind Gust site-specific </w:t>
      </w:r>
      <w:r w:rsidR="00BF61B5">
        <w:t>DBE (</w:t>
      </w:r>
      <w:r>
        <w:t>hazard value defined conservatively at the 10</w:t>
      </w:r>
      <w:r w:rsidRPr="008874B0">
        <w:rPr>
          <w:vertAlign w:val="superscript"/>
        </w:rPr>
        <w:t>-4</w:t>
      </w:r>
      <w:r>
        <w:t>/y 84% confidence level</w:t>
      </w:r>
      <w:r w:rsidR="00BF61B5">
        <w:t>)</w:t>
      </w:r>
      <w:r>
        <w:t>, exceeds the GSE hazard value. The</w:t>
      </w:r>
      <w:r w:rsidR="00BF61B5">
        <w:t xml:space="preserve"> SLA</w:t>
      </w:r>
      <w:r>
        <w:t xml:space="preserve"> in this example, would therefore need to provide additional analysis to demonstrate that the site is suitable, or the SSC design is sufficiently robust. The </w:t>
      </w:r>
      <w:r w:rsidR="00626978">
        <w:t xml:space="preserve">SLA </w:t>
      </w:r>
      <w:r>
        <w:t xml:space="preserve">may also be required to provide additional safety justification for hazards where the site-specific </w:t>
      </w:r>
      <w:r w:rsidR="00BF61B5">
        <w:t>DBE</w:t>
      </w:r>
      <w:r>
        <w:t xml:space="preserve"> is close to exceeding the GSE hazard value, as is the case for Wind Hourly Average and High Air Temperature in Figure </w:t>
      </w:r>
      <w:r w:rsidR="00847450">
        <w:t>A1</w:t>
      </w:r>
      <w:r>
        <w:t xml:space="preserve">, to demonstrate consistency with the expectations of EHA.4. </w:t>
      </w:r>
    </w:p>
    <w:p w14:paraId="640FE208" w14:textId="21DC55DC" w:rsidR="00512502" w:rsidRDefault="00512502" w:rsidP="000D6BF8">
      <w:pPr>
        <w:pStyle w:val="F9-Paragraph"/>
        <w:ind w:hanging="502"/>
      </w:pPr>
      <w:r>
        <w:t xml:space="preserve">Where an EH has been screened out during the development of the GSE but is found to be significant in the site-specific context, then the </w:t>
      </w:r>
      <w:r w:rsidR="00F9616C">
        <w:t>SLA</w:t>
      </w:r>
      <w:r>
        <w:t xml:space="preserve"> will be required to provide additional justification to demonstrate that the design remains suitable for the site.</w:t>
      </w:r>
    </w:p>
    <w:p w14:paraId="155EE0C5" w14:textId="10613AA0" w:rsidR="00EA1DB7" w:rsidRDefault="00EF5B05" w:rsidP="0008133D">
      <w:pPr>
        <w:pStyle w:val="F9-Paragraph"/>
        <w:numPr>
          <w:ilvl w:val="0"/>
          <w:numId w:val="0"/>
        </w:numPr>
        <w:jc w:val="center"/>
      </w:pPr>
      <w:r>
        <w:rPr>
          <w:noProof/>
        </w:rPr>
        <w:drawing>
          <wp:inline distT="0" distB="0" distL="0" distR="0" wp14:anchorId="72CF0BE1" wp14:editId="71805DCB">
            <wp:extent cx="5732527" cy="5192202"/>
            <wp:effectExtent l="19050" t="19050" r="20955" b="279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9348" b="19905"/>
                    <a:stretch/>
                  </pic:blipFill>
                  <pic:spPr bwMode="auto">
                    <a:xfrm>
                      <a:off x="0" y="0"/>
                      <a:ext cx="5732780" cy="5192431"/>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p w14:paraId="505F4AA3" w14:textId="775086D1" w:rsidR="00512502" w:rsidRPr="00030898" w:rsidRDefault="00512502" w:rsidP="0008133D">
      <w:pPr>
        <w:pStyle w:val="TSNumberedParagraph1"/>
        <w:numPr>
          <w:ilvl w:val="0"/>
          <w:numId w:val="0"/>
        </w:numPr>
        <w:tabs>
          <w:tab w:val="left" w:pos="0"/>
        </w:tabs>
        <w:ind w:left="720" w:hanging="720"/>
        <w:jc w:val="center"/>
        <w:rPr>
          <w:sz w:val="24"/>
        </w:rPr>
      </w:pPr>
      <w:bookmarkStart w:id="1013" w:name="_Toc140137277"/>
      <w:r w:rsidRPr="00845641">
        <w:rPr>
          <w:b/>
          <w:bCs/>
          <w:sz w:val="20"/>
          <w:szCs w:val="20"/>
        </w:rPr>
        <w:t xml:space="preserve">Figure A1. A radar diagram providing a visual example of how site-specific </w:t>
      </w:r>
      <w:r w:rsidR="00E62083" w:rsidRPr="00845641">
        <w:rPr>
          <w:b/>
          <w:bCs/>
          <w:sz w:val="20"/>
          <w:szCs w:val="20"/>
        </w:rPr>
        <w:t>DBE</w:t>
      </w:r>
      <w:r w:rsidRPr="00845641">
        <w:rPr>
          <w:b/>
          <w:bCs/>
          <w:sz w:val="20"/>
          <w:szCs w:val="20"/>
        </w:rPr>
        <w:t xml:space="preserve"> values</w:t>
      </w:r>
      <w:r w:rsidR="001527FE" w:rsidRPr="00845641">
        <w:rPr>
          <w:b/>
          <w:bCs/>
          <w:sz w:val="20"/>
          <w:szCs w:val="20"/>
        </w:rPr>
        <w:t xml:space="preserve"> </w:t>
      </w:r>
      <w:r w:rsidRPr="00845641">
        <w:rPr>
          <w:b/>
          <w:bCs/>
          <w:sz w:val="20"/>
          <w:szCs w:val="20"/>
        </w:rPr>
        <w:t xml:space="preserve">can be directly compared with the GSE </w:t>
      </w:r>
      <w:r w:rsidR="00763F00" w:rsidRPr="00845641">
        <w:rPr>
          <w:b/>
          <w:bCs/>
          <w:sz w:val="20"/>
          <w:szCs w:val="20"/>
        </w:rPr>
        <w:t xml:space="preserve">and reference design </w:t>
      </w:r>
      <w:r w:rsidRPr="00845641">
        <w:rPr>
          <w:b/>
          <w:bCs/>
          <w:sz w:val="20"/>
          <w:szCs w:val="20"/>
        </w:rPr>
        <w:t xml:space="preserve">hazard values. The site-specific </w:t>
      </w:r>
      <w:r w:rsidR="00763F00" w:rsidRPr="00845641">
        <w:rPr>
          <w:b/>
          <w:bCs/>
          <w:sz w:val="20"/>
          <w:szCs w:val="20"/>
        </w:rPr>
        <w:t xml:space="preserve">DBE </w:t>
      </w:r>
      <w:r w:rsidRPr="00845641">
        <w:rPr>
          <w:b/>
          <w:bCs/>
          <w:sz w:val="20"/>
          <w:szCs w:val="20"/>
        </w:rPr>
        <w:t xml:space="preserve">values </w:t>
      </w:r>
      <w:r w:rsidR="00D21A89" w:rsidRPr="00845641">
        <w:rPr>
          <w:b/>
          <w:bCs/>
          <w:sz w:val="20"/>
          <w:szCs w:val="20"/>
        </w:rPr>
        <w:t>a</w:t>
      </w:r>
      <w:r w:rsidRPr="00845641">
        <w:rPr>
          <w:b/>
          <w:bCs/>
          <w:sz w:val="20"/>
          <w:szCs w:val="20"/>
        </w:rPr>
        <w:t>re shown as a percentage of the GSE hazard values</w:t>
      </w:r>
      <w:r w:rsidRPr="0008133D">
        <w:rPr>
          <w:sz w:val="20"/>
          <w:szCs w:val="20"/>
        </w:rPr>
        <w:t>.</w:t>
      </w:r>
      <w:bookmarkEnd w:id="1013"/>
    </w:p>
    <w:p w14:paraId="72BF211C" w14:textId="2701350E" w:rsidR="00512502" w:rsidRPr="00030898" w:rsidRDefault="00512502" w:rsidP="00030898">
      <w:pPr>
        <w:pStyle w:val="Appendix"/>
        <w:numPr>
          <w:ilvl w:val="1"/>
          <w:numId w:val="73"/>
        </w:numPr>
        <w:tabs>
          <w:tab w:val="left" w:pos="0"/>
        </w:tabs>
        <w:ind w:left="567" w:hanging="567"/>
        <w:rPr>
          <w:sz w:val="16"/>
          <w:szCs w:val="18"/>
        </w:rPr>
      </w:pPr>
      <w:bookmarkStart w:id="1014" w:name="_Toc140137278"/>
      <w:r w:rsidRPr="00030898">
        <w:rPr>
          <w:sz w:val="36"/>
          <w:szCs w:val="16"/>
        </w:rPr>
        <w:lastRenderedPageBreak/>
        <w:t xml:space="preserve">Licence Conditions </w:t>
      </w:r>
      <w:r w:rsidR="00095FC5">
        <w:rPr>
          <w:sz w:val="36"/>
          <w:szCs w:val="16"/>
        </w:rPr>
        <w:t>R</w:t>
      </w:r>
      <w:r w:rsidRPr="00030898">
        <w:rPr>
          <w:sz w:val="36"/>
          <w:szCs w:val="16"/>
        </w:rPr>
        <w:t>elevant to External Hazards</w:t>
      </w:r>
      <w:bookmarkEnd w:id="1014"/>
    </w:p>
    <w:p w14:paraId="0FB17106" w14:textId="3FDFDA49" w:rsidR="002C7FA7" w:rsidRPr="00591F14" w:rsidRDefault="002C7FA7" w:rsidP="000D6BF8">
      <w:pPr>
        <w:pStyle w:val="F9-Paragraph"/>
        <w:ind w:hanging="502"/>
      </w:pPr>
      <w:r>
        <w:t>The following commentary is provided to assist inspectors in scoping interventions</w:t>
      </w:r>
      <w:r w:rsidR="00B24A30">
        <w:t xml:space="preserve"> for EHs.</w:t>
      </w:r>
    </w:p>
    <w:p w14:paraId="29661D78" w14:textId="06B8749F" w:rsidR="00512502" w:rsidRDefault="00EF57BF" w:rsidP="000D6BF8">
      <w:pPr>
        <w:pStyle w:val="F9-Paragraph"/>
        <w:ind w:hanging="502"/>
      </w:pPr>
      <w:r w:rsidRPr="000D6BF8">
        <w:t xml:space="preserve">LC </w:t>
      </w:r>
      <w:r w:rsidR="00512502" w:rsidRPr="000D6BF8">
        <w:t>7: Incidents on the site</w:t>
      </w:r>
      <w:r w:rsidR="00512502">
        <w:t xml:space="preserve"> – records should be kept of the occurrence of relevant hazards where these affect personnel on-site or safety related plant. Monitoring equipment should be provided on the site to warn of the occurrence of EH events that exceed a specified level. Following a severe external event, it is expected that the </w:t>
      </w:r>
      <w:r w:rsidR="009F286F">
        <w:t>l</w:t>
      </w:r>
      <w:r w:rsidR="00512502">
        <w:t>icensee would review the EH severity-frequency relationship assumed in the safety case and the assumed effect on the site and plant</w:t>
      </w:r>
      <w:r w:rsidR="00531322">
        <w:t>.</w:t>
      </w:r>
      <w:r w:rsidR="00512502">
        <w:t xml:space="preserve"> </w:t>
      </w:r>
      <w:r w:rsidR="003A057F">
        <w:t xml:space="preserve">This may be done </w:t>
      </w:r>
      <w:r w:rsidR="00512502">
        <w:t>either immediately after the event or as part of a subsequent PSR under LC 15, if imminent.</w:t>
      </w:r>
    </w:p>
    <w:p w14:paraId="4D854675" w14:textId="6FF021A7" w:rsidR="00512502" w:rsidRDefault="00EF57BF" w:rsidP="000D6BF8">
      <w:pPr>
        <w:pStyle w:val="F9-Paragraph"/>
        <w:ind w:hanging="502"/>
      </w:pPr>
      <w:r w:rsidRPr="000D6BF8">
        <w:t>LC</w:t>
      </w:r>
      <w:r w:rsidR="00512502" w:rsidRPr="000D6BF8">
        <w:t xml:space="preserve"> 9: Instructions to persons on the site</w:t>
      </w:r>
      <w:r w:rsidR="00512502">
        <w:t xml:space="preserve"> – the instructions should provide explicit information on how to respond to EHs where reasonably practicable and how site personnel are best protected. These instructions may require cross-referencing to specific operating instructions and limits for some hazards, e.g., flooding and temperature, where there may be a period before the event where it is possible to prepare for developing hazards, e.g., by taking advantage of on-site EHs monitoring data or </w:t>
      </w:r>
      <w:r w:rsidR="006E4673">
        <w:t>third-party</w:t>
      </w:r>
      <w:r w:rsidR="00512502">
        <w:t xml:space="preserve"> weather and flood warnings. The SAPs specifically identify the need for </w:t>
      </w:r>
      <w:r w:rsidR="000F578F">
        <w:t>l</w:t>
      </w:r>
      <w:r w:rsidR="00512502">
        <w:t>icensees to define and act in response to a pre-defined level of seismic event, called an Operating Basis Earthquake.</w:t>
      </w:r>
    </w:p>
    <w:p w14:paraId="0CECC362" w14:textId="6588802E" w:rsidR="00512502" w:rsidRPr="000D6BF8" w:rsidRDefault="00EF57BF" w:rsidP="000D6BF8">
      <w:pPr>
        <w:pStyle w:val="F9-Paragraph"/>
        <w:ind w:hanging="502"/>
      </w:pPr>
      <w:r w:rsidRPr="000D6BF8">
        <w:t>LC</w:t>
      </w:r>
      <w:r w:rsidR="00512502" w:rsidRPr="000D6BF8">
        <w:t xml:space="preserve"> 10: Training</w:t>
      </w:r>
      <w:r w:rsidR="00512502">
        <w:t xml:space="preserve"> – where the </w:t>
      </w:r>
      <w:r w:rsidR="008413F0">
        <w:t>l</w:t>
      </w:r>
      <w:r w:rsidR="00512502">
        <w:t>icensee has provided deployable defences against EHs – such as flood barriers around doors, suitable training should be provided to ensure the actions can be carried out in a timely manner. It is important that the training takes cognisance of the environmental conditions under which any arrangements need to be implemented, such as during the build-up to a severe storm. Training in relation to EHs is also relevant to LC 11 – Emergency arrangements.</w:t>
      </w:r>
    </w:p>
    <w:p w14:paraId="72104803" w14:textId="0A7793AB" w:rsidR="00512502" w:rsidRDefault="00EF57BF" w:rsidP="000D6BF8">
      <w:pPr>
        <w:pStyle w:val="F9-Paragraph"/>
        <w:ind w:hanging="502"/>
      </w:pPr>
      <w:r w:rsidRPr="000D6BF8">
        <w:t>LC</w:t>
      </w:r>
      <w:r w:rsidR="00512502" w:rsidRPr="000D6BF8">
        <w:t xml:space="preserve"> 11: Emergency arrangements </w:t>
      </w:r>
      <w:r w:rsidR="00512502">
        <w:t xml:space="preserve">– EHs are one class of initiating events for the instigation of the emergency arrangement procedures. It is important for </w:t>
      </w:r>
      <w:r w:rsidR="00057448">
        <w:t>l</w:t>
      </w:r>
      <w:r w:rsidR="00512502">
        <w:t>icensees to establish the existence and nature of an EH event, if one occurs, that could lead to the deployment of emergency arrangements. Licensees should have access to sufficient sources of information to enable the site to respond to such events in a timely manner. The following is a non-exhaustive list or information sources:</w:t>
      </w:r>
    </w:p>
    <w:p w14:paraId="75A78AE1" w14:textId="313069AA" w:rsidR="00512502" w:rsidRDefault="00512502" w:rsidP="00591F14">
      <w:pPr>
        <w:pStyle w:val="Bulletlist1"/>
        <w:spacing w:before="120"/>
        <w:rPr>
          <w:sz w:val="22"/>
          <w:szCs w:val="24"/>
        </w:rPr>
      </w:pPr>
      <w:r>
        <w:t>Weather and flood warnings from services operated by, for example, the UK Meteorological Office and the Environment Agency.</w:t>
      </w:r>
    </w:p>
    <w:p w14:paraId="3787DA3E" w14:textId="0939F57F" w:rsidR="00512502" w:rsidRDefault="00512502" w:rsidP="00591F14">
      <w:pPr>
        <w:pStyle w:val="Bulletlist1"/>
        <w:spacing w:before="120"/>
      </w:pPr>
      <w:r>
        <w:t>Seismic hazard information service provided by, for example, the British Geological Survey.</w:t>
      </w:r>
    </w:p>
    <w:p w14:paraId="71CC43C7" w14:textId="77777777" w:rsidR="00512502" w:rsidRDefault="00512502" w:rsidP="00591F14">
      <w:pPr>
        <w:pStyle w:val="Bulletlist1"/>
        <w:spacing w:before="120"/>
      </w:pPr>
      <w:r>
        <w:t>Site monitoring equipment providing data on hazards at a site level such as: tide and river levels, air and sea temperatures, wind speed, site and in-plant seismicity levels, etc.</w:t>
      </w:r>
    </w:p>
    <w:p w14:paraId="44511F88" w14:textId="77777777" w:rsidR="00512502" w:rsidRDefault="00512502" w:rsidP="00591F14">
      <w:pPr>
        <w:pStyle w:val="Bulletlist1"/>
        <w:spacing w:before="120"/>
      </w:pPr>
      <w:r>
        <w:lastRenderedPageBreak/>
        <w:t xml:space="preserve">Site monitoring equipment is assumed to be under the control of the Licensee, and it may be appropriate to provide annunciations and data readouts directly to the site / plant control rooms, so that a site response can be initiated quickly. </w:t>
      </w:r>
    </w:p>
    <w:p w14:paraId="77337028" w14:textId="1F6CFE3D" w:rsidR="00512502" w:rsidRDefault="00512502" w:rsidP="000D6BF8">
      <w:pPr>
        <w:pStyle w:val="F9-Paragraph"/>
        <w:ind w:hanging="502"/>
      </w:pPr>
      <w:r>
        <w:t xml:space="preserve">Where defence against EHs requires operational action to implement, responsibility for this should be identified by the </w:t>
      </w:r>
      <w:r w:rsidR="001C6F06">
        <w:t>l</w:t>
      </w:r>
      <w:r>
        <w:t>icensee and appropriate training provided to relevant personnel in accordance with compliance arrangements under LC</w:t>
      </w:r>
      <w:r w:rsidR="00174C97">
        <w:t xml:space="preserve"> </w:t>
      </w:r>
      <w:r>
        <w:t>10.</w:t>
      </w:r>
    </w:p>
    <w:p w14:paraId="0B62A0E0" w14:textId="77750BDD" w:rsidR="00512502" w:rsidRDefault="00512502" w:rsidP="000D6BF8">
      <w:pPr>
        <w:pStyle w:val="F9-Paragraph"/>
        <w:ind w:hanging="502"/>
      </w:pPr>
      <w:r>
        <w:t xml:space="preserve">Post-event and post-accident recovery: The </w:t>
      </w:r>
      <w:r w:rsidR="009F24C0">
        <w:t>l</w:t>
      </w:r>
      <w:r>
        <w:t xml:space="preserve">icensee should put in place procedures to recover from an EH event. These could include plant walkdowns, inspections, testing and maintenance activities on susceptible equipment, etc. If an EH event leads to an accidental release, then the </w:t>
      </w:r>
      <w:r w:rsidR="00851984">
        <w:t>l</w:t>
      </w:r>
      <w:r>
        <w:t>icensees will engage their emergency arrangements, and these should acknowledge the potential for EHs to act as initiating events</w:t>
      </w:r>
      <w:r w:rsidR="00613C8E">
        <w:t xml:space="preserve"> and to </w:t>
      </w:r>
      <w:r w:rsidR="009C1F7F">
        <w:t xml:space="preserve">affect </w:t>
      </w:r>
      <w:r w:rsidR="00210A6A">
        <w:t>post-accident recovery</w:t>
      </w:r>
      <w:r>
        <w:t>.</w:t>
      </w:r>
    </w:p>
    <w:p w14:paraId="61C26C0B" w14:textId="09C68E12" w:rsidR="00512502" w:rsidRDefault="00EF57BF" w:rsidP="000D6BF8">
      <w:pPr>
        <w:pStyle w:val="F9-Paragraph"/>
        <w:ind w:hanging="502"/>
      </w:pPr>
      <w:r w:rsidRPr="000D6BF8">
        <w:t>LC</w:t>
      </w:r>
      <w:r w:rsidR="00512502" w:rsidRPr="000D6BF8">
        <w:t xml:space="preserve"> 14: Safety documentation</w:t>
      </w:r>
      <w:r w:rsidR="00512502">
        <w:t xml:space="preserve"> – this </w:t>
      </w:r>
      <w:r>
        <w:t>LC</w:t>
      </w:r>
      <w:r w:rsidR="00512502">
        <w:t xml:space="preserve"> requires arrangements for the production of documentation in which EHs should be considered as fault initiators. Systematic or repetitive problems with safety case documentation could be indicative of inadequate arrangements.</w:t>
      </w:r>
    </w:p>
    <w:p w14:paraId="7AB7C473" w14:textId="1546FED5" w:rsidR="00512502" w:rsidRDefault="00512502" w:rsidP="000D6BF8">
      <w:pPr>
        <w:pStyle w:val="F9-Paragraph"/>
        <w:ind w:hanging="502"/>
      </w:pPr>
      <w:r w:rsidRPr="000D6BF8">
        <w:t>L</w:t>
      </w:r>
      <w:r w:rsidR="00EF57BF" w:rsidRPr="000D6BF8">
        <w:t xml:space="preserve">C </w:t>
      </w:r>
      <w:r w:rsidRPr="000D6BF8">
        <w:t>15: Periodic review</w:t>
      </w:r>
      <w:r>
        <w:t xml:space="preserve"> – this </w:t>
      </w:r>
      <w:r w:rsidR="00EF57BF">
        <w:t>LC</w:t>
      </w:r>
      <w:r>
        <w:t xml:space="preserve"> requires EHs to be considered as part of the periodic review process. Typically, this will involve a review of on-site and relevant off-site events worldwide that have occurred since the last review, data and methodological developments, and operational feedback. The </w:t>
      </w:r>
      <w:r w:rsidR="004A3101">
        <w:t>l</w:t>
      </w:r>
      <w:r>
        <w:t>icensee should take advantage of these data and the data from EHs site monitoring equipment to test the adequacy of EHs assumptions made in safety cases. This includes consideration of the prediction of the impact of climate change since the last review.</w:t>
      </w:r>
    </w:p>
    <w:p w14:paraId="76F8638A" w14:textId="18B20644" w:rsidR="00512502" w:rsidRDefault="00EF57BF" w:rsidP="000D6BF8">
      <w:pPr>
        <w:pStyle w:val="F9-Paragraph"/>
        <w:ind w:hanging="502"/>
      </w:pPr>
      <w:r w:rsidRPr="000D6BF8">
        <w:t>LC</w:t>
      </w:r>
      <w:r w:rsidR="00512502" w:rsidRPr="000D6BF8">
        <w:t xml:space="preserve"> 19: Construction or installation of new plant</w:t>
      </w:r>
      <w:r w:rsidR="00512502">
        <w:t xml:space="preserve">, and </w:t>
      </w:r>
      <w:r w:rsidRPr="000D6BF8">
        <w:t>LC</w:t>
      </w:r>
      <w:r w:rsidR="00512502" w:rsidRPr="000D6BF8">
        <w:t xml:space="preserve"> 20: Modification to design of plant under construction</w:t>
      </w:r>
      <w:r w:rsidR="00512502">
        <w:t xml:space="preserve"> – these </w:t>
      </w:r>
      <w:r>
        <w:t>LCs</w:t>
      </w:r>
      <w:r w:rsidR="00512502">
        <w:t xml:space="preserve"> require that the design of plant under construction, or a modification to the design is assessed in the context of faults including those initiated by credible EHs.</w:t>
      </w:r>
    </w:p>
    <w:p w14:paraId="320F9766" w14:textId="28A4153D" w:rsidR="00512502" w:rsidRDefault="00EF57BF" w:rsidP="000D6BF8">
      <w:pPr>
        <w:pStyle w:val="F9-Paragraph"/>
        <w:ind w:hanging="502"/>
      </w:pPr>
      <w:r w:rsidRPr="000D6BF8">
        <w:t>LC</w:t>
      </w:r>
      <w:r w:rsidR="00512502" w:rsidRPr="000D6BF8">
        <w:t xml:space="preserve"> 22: Modification or experiment on an existing plant</w:t>
      </w:r>
      <w:r w:rsidR="00512502">
        <w:t xml:space="preserve"> – this </w:t>
      </w:r>
      <w:r>
        <w:t>LC</w:t>
      </w:r>
      <w:r w:rsidR="00512502">
        <w:t xml:space="preserve"> requires that a modification or experiment on an existing plant is assessed in the context of faults including those initiated by credible EHs.</w:t>
      </w:r>
    </w:p>
    <w:p w14:paraId="1B2FFE0C" w14:textId="57F8C4A0" w:rsidR="00512502" w:rsidRDefault="00EF57BF" w:rsidP="000D6BF8">
      <w:pPr>
        <w:pStyle w:val="F9-Paragraph"/>
        <w:ind w:hanging="502"/>
      </w:pPr>
      <w:r w:rsidRPr="000D6BF8">
        <w:t>LC</w:t>
      </w:r>
      <w:r w:rsidR="00512502" w:rsidRPr="000D6BF8">
        <w:t xml:space="preserve"> 23: Operating rules </w:t>
      </w:r>
      <w:r w:rsidR="00512502">
        <w:t xml:space="preserve">– this </w:t>
      </w:r>
      <w:r>
        <w:t>LC</w:t>
      </w:r>
      <w:r w:rsidR="00512502">
        <w:t xml:space="preserve"> requires that the </w:t>
      </w:r>
      <w:r w:rsidR="0024465D">
        <w:t>l</w:t>
      </w:r>
      <w:r w:rsidR="00512502">
        <w:t>icensee shall, in respect of any operation that may affect safety, produce an adequate safety case to demonstrate the safety of that operation and to identify the limits and conditions necessary in the interests of safety. Inspectors should refer to TAG 35 for further details</w:t>
      </w:r>
      <w:sdt>
        <w:sdtPr>
          <w:id w:val="-26254416"/>
          <w:citation/>
        </w:sdtPr>
        <w:sdtContent>
          <w:r w:rsidR="00DB7FAA">
            <w:fldChar w:fldCharType="begin"/>
          </w:r>
          <w:r w:rsidR="00CD103E">
            <w:instrText xml:space="preserve">CITATION ONRTAG35 \l 2057 </w:instrText>
          </w:r>
          <w:r w:rsidR="00DB7FAA">
            <w:fldChar w:fldCharType="separate"/>
          </w:r>
          <w:r w:rsidR="002A4EED">
            <w:t xml:space="preserve"> [41]</w:t>
          </w:r>
          <w:r w:rsidR="00DB7FAA">
            <w:fldChar w:fldCharType="end"/>
          </w:r>
        </w:sdtContent>
      </w:sdt>
      <w:r w:rsidR="00512502">
        <w:t>. Limits and conditions relevant to EHs may include:</w:t>
      </w:r>
    </w:p>
    <w:p w14:paraId="1B31CB9B" w14:textId="77777777" w:rsidR="00512502" w:rsidRDefault="00512502" w:rsidP="00591F14">
      <w:pPr>
        <w:pStyle w:val="Bulletlist1"/>
        <w:spacing w:before="120"/>
        <w:ind w:left="1417"/>
        <w:rPr>
          <w:sz w:val="22"/>
          <w:szCs w:val="24"/>
        </w:rPr>
      </w:pPr>
      <w:r>
        <w:t xml:space="preserve">Limitations on the state of the plant. The EHs protection mechanisms claimed in the safety case must be available according to safety case requirements including examination, inspection, maintenance, and testing (EIMT) and when systems are unavailable due to faults. For </w:t>
      </w:r>
      <w:r>
        <w:lastRenderedPageBreak/>
        <w:t>EHs that can be forecast, e.g., weather, a grace time for establishing a safe plant configuration may be applicable. Inspectors should assure themselves that a route to a safe operating state without transgressing the safe operating envelope is available.</w:t>
      </w:r>
    </w:p>
    <w:p w14:paraId="605CCA74" w14:textId="77777777" w:rsidR="00512502" w:rsidRDefault="00512502" w:rsidP="00591F14">
      <w:pPr>
        <w:pStyle w:val="Bulletlist1"/>
        <w:spacing w:before="120"/>
        <w:ind w:left="1417"/>
      </w:pPr>
      <w:r>
        <w:t>Limitations on activities during periods of extreme cold weather, high wind, or possible flooding conditions (or warnings of such conditions). For example, restrictions on activities / plant operations in areas that may be exposed to extreme weather conditions.</w:t>
      </w:r>
    </w:p>
    <w:p w14:paraId="62CFB97A" w14:textId="77777777" w:rsidR="00512502" w:rsidRDefault="00512502" w:rsidP="00591F14">
      <w:pPr>
        <w:pStyle w:val="Bulletlist1"/>
        <w:spacing w:before="120"/>
        <w:ind w:left="1417"/>
      </w:pPr>
      <w:r>
        <w:t>Limitations on activities that might breach an EH related safety case assumption, e.g., overloading a structure or restraint beyond the point that the relevant safety case has qualified its ability to withstand seismic or wind induced loads. For example, extreme wind hazard might impose a restriction on the use of an Overhead Travelling Crane.</w:t>
      </w:r>
    </w:p>
    <w:p w14:paraId="560B6864" w14:textId="320C0D1E" w:rsidR="00512502" w:rsidRDefault="00512502" w:rsidP="00591F14">
      <w:pPr>
        <w:pStyle w:val="Bulletlist1"/>
        <w:spacing w:before="120"/>
        <w:ind w:left="1417"/>
      </w:pPr>
      <w:r>
        <w:t xml:space="preserve">Inspection activities prompted by local seismic events greater than the </w:t>
      </w:r>
      <w:r w:rsidR="00DA1B42">
        <w:t>Operating Basis Earthquake</w:t>
      </w:r>
      <w:r>
        <w:t xml:space="preserve"> level, or occurrence of any other type of EH that could challenge the </w:t>
      </w:r>
      <w:r w:rsidR="00A057CF">
        <w:t>DB</w:t>
      </w:r>
      <w:r>
        <w:t xml:space="preserve"> assumptions in plant safety cases.</w:t>
      </w:r>
    </w:p>
    <w:p w14:paraId="0EB0B3D3" w14:textId="77777777" w:rsidR="00512502" w:rsidRDefault="00512502" w:rsidP="00591F14">
      <w:pPr>
        <w:pStyle w:val="Bulletlist1"/>
        <w:spacing w:before="120"/>
        <w:ind w:left="1417"/>
      </w:pPr>
      <w:r>
        <w:t>Plant conditions for which no safety case justification is available, e.g., the use of free-standing scaffolding or a temporary work platform close to safety-related equipment, where the scaffolding or platform might respond to an EH event causing interference with the safety function of the equipment.</w:t>
      </w:r>
    </w:p>
    <w:p w14:paraId="2BEF63EB" w14:textId="77777777" w:rsidR="00512502" w:rsidRDefault="00512502" w:rsidP="00591F14">
      <w:pPr>
        <w:pStyle w:val="Bulletlist1"/>
        <w:spacing w:before="120"/>
        <w:ind w:left="1417"/>
      </w:pPr>
      <w:r>
        <w:t>Plant conditions caused by maintenance activities that undermine the claimed EHs withstand of safety-related plant and equipment or undermine the functionality of EHs monitoring equipment needed to discharge activities claimed in safety cases.</w:t>
      </w:r>
    </w:p>
    <w:p w14:paraId="19D9060A" w14:textId="53A48CD5" w:rsidR="00512502" w:rsidRDefault="00EF57BF" w:rsidP="000D6BF8">
      <w:pPr>
        <w:pStyle w:val="F9-Paragraph"/>
        <w:ind w:hanging="502"/>
      </w:pPr>
      <w:bookmarkStart w:id="1015" w:name="_Toc473126254"/>
      <w:bookmarkStart w:id="1016" w:name="_Toc473127874"/>
      <w:r w:rsidRPr="000D6BF8">
        <w:t>LC</w:t>
      </w:r>
      <w:r w:rsidR="00512502" w:rsidRPr="000D6BF8">
        <w:t xml:space="preserve"> 27: Safety mechanisms, devices and circuits</w:t>
      </w:r>
      <w:r w:rsidR="00512502">
        <w:t xml:space="preserve"> – this </w:t>
      </w:r>
      <w:r>
        <w:t>LC</w:t>
      </w:r>
      <w:r w:rsidR="00512502">
        <w:t xml:space="preserve"> requires </w:t>
      </w:r>
      <w:r w:rsidR="007E6EFA">
        <w:t>l</w:t>
      </w:r>
      <w:r w:rsidR="00512502">
        <w:t>icensees to ensure that plant is not operated, inspected, maintained or tested unless suitable and sufficient safety mechanisms, devices and circuits are connected and in good working order. Generally, there are a large number of EHs safety claims made on plant and equipment, especially in respect of seismic hazard.</w:t>
      </w:r>
      <w:bookmarkEnd w:id="1015"/>
      <w:bookmarkEnd w:id="1016"/>
    </w:p>
    <w:p w14:paraId="35C9750A" w14:textId="77777777" w:rsidR="00512502" w:rsidRDefault="00512502" w:rsidP="000D6BF8">
      <w:pPr>
        <w:pStyle w:val="F9-Paragraph"/>
        <w:ind w:hanging="502"/>
      </w:pPr>
      <w:bookmarkStart w:id="1017" w:name="_Toc473126255"/>
      <w:bookmarkStart w:id="1018" w:name="_Toc473127875"/>
      <w:r>
        <w:t>Inspectors should be especially wary of situations where plant is operated when other plant on which it depends to deliver safety claims is out of service. This can occur, for example, when “other plant” comprises EHs monitoring equipment, which is either undergoing maintenance or is in a failed state. The plant being protected should either be operated in a way that removes the need for the safety claim(s), or substitute monitoring equipment should be employed that delivers a similar functionality to that which is out of service.</w:t>
      </w:r>
      <w:bookmarkEnd w:id="1017"/>
      <w:bookmarkEnd w:id="1018"/>
    </w:p>
    <w:p w14:paraId="0C9BDE72" w14:textId="13A677F1" w:rsidR="00512502" w:rsidRDefault="00EF57BF" w:rsidP="000D6BF8">
      <w:pPr>
        <w:pStyle w:val="F9-Paragraph"/>
        <w:ind w:hanging="502"/>
      </w:pPr>
      <w:bookmarkStart w:id="1019" w:name="_Toc473126256"/>
      <w:bookmarkStart w:id="1020" w:name="_Toc473127876"/>
      <w:r w:rsidRPr="000D6BF8">
        <w:t>LC</w:t>
      </w:r>
      <w:r w:rsidR="00512502" w:rsidRPr="000D6BF8">
        <w:t xml:space="preserve"> 28: Examination, inspection, maintenance and testing</w:t>
      </w:r>
      <w:r w:rsidR="00512502">
        <w:t xml:space="preserve">– this </w:t>
      </w:r>
      <w:r>
        <w:t>LC</w:t>
      </w:r>
      <w:r w:rsidR="00512502">
        <w:t xml:space="preserve"> requires that the </w:t>
      </w:r>
      <w:r w:rsidR="00BF1AC6">
        <w:t>l</w:t>
      </w:r>
      <w:r w:rsidR="00512502">
        <w:t xml:space="preserve">icensee makes and implement adequate arrangements for the regular and systematic EIMT of all SSCs which may affect safety. Generally (but not always), this will be plant and equipment upon which a safety case claim is made. In the case of EHs, the protection is often provided by passive safety related SSCs e.g., sea walls or building structures. The </w:t>
      </w:r>
      <w:r w:rsidR="008C20B7">
        <w:t>l</w:t>
      </w:r>
      <w:r w:rsidR="00512502">
        <w:t xml:space="preserve">icensee should ensure that these safety functions are recognised in the derivation of the EIMT </w:t>
      </w:r>
      <w:r w:rsidR="00512502">
        <w:lastRenderedPageBreak/>
        <w:t>requirements as this can often be overlooked. The EIMT procedures and instruction applied to such plant and equipment should:</w:t>
      </w:r>
      <w:bookmarkEnd w:id="1019"/>
      <w:bookmarkEnd w:id="1020"/>
    </w:p>
    <w:p w14:paraId="52B17EC6" w14:textId="77777777" w:rsidR="00512502" w:rsidRDefault="00512502" w:rsidP="00591F14">
      <w:pPr>
        <w:pStyle w:val="Bulletlist1"/>
        <w:spacing w:before="120"/>
        <w:ind w:left="1417"/>
        <w:rPr>
          <w:sz w:val="22"/>
          <w:szCs w:val="24"/>
        </w:rPr>
      </w:pPr>
      <w:r>
        <w:t>Explicitly identify relevant EHs safety claims, so that on return to service such plant and equipment meets the intended EH functional and reliability claims made on it.</w:t>
      </w:r>
    </w:p>
    <w:p w14:paraId="7E595714" w14:textId="77777777" w:rsidR="00512502" w:rsidRDefault="00512502" w:rsidP="00591F14">
      <w:pPr>
        <w:pStyle w:val="Bulletlist1"/>
        <w:spacing w:before="120"/>
        <w:ind w:left="1417"/>
      </w:pPr>
      <w:r>
        <w:t>Include other plant and equipment that can cause damage to safety related (SSCs</w:t>
      </w:r>
      <w:r w:rsidRPr="003A69AC">
        <w:rPr>
          <w:szCs w:val="24"/>
        </w:rPr>
        <w:t xml:space="preserve">) items </w:t>
      </w:r>
      <w:r w:rsidRPr="006A64A5">
        <w:rPr>
          <w:szCs w:val="24"/>
        </w:rPr>
        <w:t>t</w:t>
      </w:r>
      <w:r>
        <w:t>hrough secondary action following an EH event.</w:t>
      </w:r>
    </w:p>
    <w:p w14:paraId="446EA2B6" w14:textId="77777777" w:rsidR="00512502" w:rsidRDefault="00512502" w:rsidP="00591F14">
      <w:pPr>
        <w:pStyle w:val="Bulletlist1"/>
        <w:spacing w:before="120"/>
        <w:ind w:left="1417"/>
      </w:pPr>
      <w:r>
        <w:t>Include systems installed to warn of EHs events, e.g., temperature and wind monitoring, seismic detectors / alarms, and especially flood detection.</w:t>
      </w:r>
    </w:p>
    <w:p w14:paraId="0952AD2E" w14:textId="216E759C" w:rsidR="00512502" w:rsidRPr="002D211E" w:rsidRDefault="00512502" w:rsidP="002D211E">
      <w:pPr>
        <w:pStyle w:val="Appendix"/>
        <w:numPr>
          <w:ilvl w:val="1"/>
          <w:numId w:val="73"/>
        </w:numPr>
        <w:ind w:left="284" w:hanging="284"/>
        <w:rPr>
          <w:sz w:val="36"/>
          <w:szCs w:val="16"/>
        </w:rPr>
      </w:pPr>
      <w:bookmarkStart w:id="1021" w:name="_Ref445121476"/>
      <w:bookmarkStart w:id="1022" w:name="_Toc140137279"/>
      <w:r w:rsidRPr="002D211E">
        <w:rPr>
          <w:sz w:val="36"/>
          <w:szCs w:val="16"/>
        </w:rPr>
        <w:t>IAEA</w:t>
      </w:r>
      <w:bookmarkEnd w:id="1021"/>
      <w:r w:rsidRPr="002D211E">
        <w:rPr>
          <w:sz w:val="36"/>
          <w:szCs w:val="16"/>
        </w:rPr>
        <w:t xml:space="preserve"> Guidance</w:t>
      </w:r>
      <w:bookmarkEnd w:id="1022"/>
    </w:p>
    <w:p w14:paraId="346E8E8C" w14:textId="4D90109A" w:rsidR="00E65D41" w:rsidRPr="00710AF0" w:rsidRDefault="00411AE2" w:rsidP="000D6BF8">
      <w:pPr>
        <w:pStyle w:val="F9-Paragraph"/>
        <w:ind w:hanging="502"/>
      </w:pPr>
      <w:bookmarkStart w:id="1023" w:name="_Toc473126265"/>
      <w:bookmarkStart w:id="1024" w:name="_Toc473127885"/>
      <w:r>
        <w:t xml:space="preserve">With respect to IAEA TECDOCs and Safety Reports, </w:t>
      </w:r>
      <w:r w:rsidR="00787DB4">
        <w:t xml:space="preserve">it is </w:t>
      </w:r>
      <w:r w:rsidR="00365851">
        <w:t>not pr</w:t>
      </w:r>
      <w:r w:rsidR="00787DB4">
        <w:t>acticable to keep updating this TAG</w:t>
      </w:r>
      <w:r w:rsidR="00365851">
        <w:t xml:space="preserve"> </w:t>
      </w:r>
      <w:r w:rsidR="00F34083">
        <w:t xml:space="preserve">and provide </w:t>
      </w:r>
      <w:r w:rsidR="00474A33">
        <w:t xml:space="preserve">individual </w:t>
      </w:r>
      <w:r w:rsidR="00F34083">
        <w:t>comment</w:t>
      </w:r>
      <w:r w:rsidR="00474A33">
        <w:t xml:space="preserve">ary as new documents are published or revised. </w:t>
      </w:r>
      <w:r w:rsidR="00CC7F1D">
        <w:t>The inspector is advised to use</w:t>
      </w:r>
      <w:r w:rsidR="00E65D41">
        <w:t xml:space="preserve"> the IAEA website</w:t>
      </w:r>
      <w:r w:rsidR="00CC7F1D">
        <w:t xml:space="preserve"> to find the TECDOCs and Safety Reports most relevant to the activity or assessment </w:t>
      </w:r>
      <w:r w:rsidR="00CC7F1D" w:rsidRPr="00710AF0">
        <w:t>being undertaken</w:t>
      </w:r>
      <w:r w:rsidR="00E65D41" w:rsidRPr="00710AF0">
        <w:t>.</w:t>
      </w:r>
    </w:p>
    <w:p w14:paraId="44BB708A" w14:textId="46D897E6" w:rsidR="00512502" w:rsidRPr="00464540" w:rsidRDefault="00B64D8D" w:rsidP="000D6BF8">
      <w:pPr>
        <w:pStyle w:val="F9-Paragraph"/>
        <w:ind w:hanging="502"/>
      </w:pPr>
      <w:r w:rsidRPr="00710AF0">
        <w:t xml:space="preserve">Moreover, </w:t>
      </w:r>
      <w:r w:rsidR="009149DA" w:rsidRPr="00710AF0">
        <w:t>t</w:t>
      </w:r>
      <w:r w:rsidR="008B468D" w:rsidRPr="00710AF0">
        <w:t xml:space="preserve">he inspector should note that </w:t>
      </w:r>
      <w:r w:rsidR="00365851" w:rsidRPr="00710AF0">
        <w:t xml:space="preserve">the content of </w:t>
      </w:r>
      <w:r w:rsidR="00787DB4" w:rsidRPr="00710AF0">
        <w:t>IAEA TECDOCs and Safety Reports</w:t>
      </w:r>
      <w:r w:rsidR="00365851" w:rsidRPr="00710AF0">
        <w:t xml:space="preserve"> cannot always be assumed to r</w:t>
      </w:r>
      <w:r w:rsidR="005A6825" w:rsidRPr="00710AF0">
        <w:t>epresent</w:t>
      </w:r>
      <w:r w:rsidR="00411AE2" w:rsidRPr="00710AF0">
        <w:t xml:space="preserve"> RGP due to the influence of </w:t>
      </w:r>
      <w:r w:rsidR="009149DA" w:rsidRPr="00710AF0">
        <w:t xml:space="preserve">individual </w:t>
      </w:r>
      <w:r w:rsidR="00411AE2" w:rsidRPr="00710AF0">
        <w:t xml:space="preserve">member states </w:t>
      </w:r>
      <w:r w:rsidR="009149DA" w:rsidRPr="00710AF0">
        <w:t>on</w:t>
      </w:r>
      <w:r w:rsidR="00411AE2" w:rsidRPr="00710AF0">
        <w:t xml:space="preserve"> their development. </w:t>
      </w:r>
      <w:bookmarkEnd w:id="1023"/>
      <w:bookmarkEnd w:id="1024"/>
    </w:p>
    <w:p w14:paraId="65D93127" w14:textId="3E517DF0" w:rsidR="00512502" w:rsidRPr="00710AF0" w:rsidRDefault="00512502" w:rsidP="00E54171">
      <w:pPr>
        <w:pStyle w:val="Appendix"/>
        <w:numPr>
          <w:ilvl w:val="1"/>
          <w:numId w:val="73"/>
        </w:numPr>
        <w:ind w:left="426" w:hanging="426"/>
        <w:rPr>
          <w:sz w:val="36"/>
          <w:szCs w:val="16"/>
        </w:rPr>
      </w:pPr>
      <w:bookmarkStart w:id="1025" w:name="_Toc140137280"/>
      <w:r w:rsidRPr="00710AF0">
        <w:rPr>
          <w:sz w:val="36"/>
          <w:szCs w:val="16"/>
        </w:rPr>
        <w:t>External Hazards Combinations</w:t>
      </w:r>
      <w:bookmarkEnd w:id="1025"/>
    </w:p>
    <w:p w14:paraId="583F88E5" w14:textId="52953AD3" w:rsidR="00512502" w:rsidRPr="000D6BF8" w:rsidRDefault="00512502" w:rsidP="000D6BF8">
      <w:pPr>
        <w:pStyle w:val="F9-Paragraph"/>
        <w:ind w:hanging="502"/>
      </w:pPr>
      <w:r>
        <w:t>When considering combined EHs it is sometimes helpful to categorise them in terms of their relationships between one another. The following bullets suggest a way in which this could be done.</w:t>
      </w:r>
    </w:p>
    <w:p w14:paraId="1873B055" w14:textId="77777777" w:rsidR="00512502" w:rsidRDefault="00512502" w:rsidP="00591F14">
      <w:pPr>
        <w:pStyle w:val="Bulletlist1"/>
        <w:spacing w:before="120"/>
        <w:ind w:left="1417"/>
      </w:pPr>
      <w:r>
        <w:rPr>
          <w:i/>
        </w:rPr>
        <w:t>Primary hazard</w:t>
      </w:r>
      <w:r>
        <w:t>: An EH generated directly by a physical process outside the control of the site, for example, a storm event giving rise to wind and precipitation hazards.</w:t>
      </w:r>
    </w:p>
    <w:p w14:paraId="29405903" w14:textId="77777777" w:rsidR="00512502" w:rsidRDefault="00512502" w:rsidP="00591F14">
      <w:pPr>
        <w:pStyle w:val="Bulletlist1"/>
        <w:spacing w:before="120"/>
        <w:ind w:left="1417"/>
      </w:pPr>
      <w:r>
        <w:rPr>
          <w:i/>
        </w:rPr>
        <w:t>Correlated hazard</w:t>
      </w:r>
      <w:r>
        <w:t xml:space="preserve">: An EH that can occur simultaneously with the primary hazard because both depend on a common physical process, for example, a storm may give rise to both rain and lightning hazards at the same time. </w:t>
      </w:r>
    </w:p>
    <w:p w14:paraId="24A3A168" w14:textId="77777777" w:rsidR="00512502" w:rsidRDefault="00512502" w:rsidP="00591F14">
      <w:pPr>
        <w:pStyle w:val="Bulletlist1"/>
        <w:spacing w:before="120"/>
        <w:ind w:left="1417"/>
      </w:pPr>
      <w:r>
        <w:rPr>
          <w:i/>
        </w:rPr>
        <w:t>Secondary hazard</w:t>
      </w:r>
      <w:r>
        <w:t>: An EH that is caused by and dependent on the occurrence of a primary hazard, for example, wind-driven waves occur as a direct result of wind effects on open water.</w:t>
      </w:r>
    </w:p>
    <w:p w14:paraId="3473DA0A" w14:textId="77777777" w:rsidR="00512502" w:rsidRDefault="00512502" w:rsidP="00591F14">
      <w:pPr>
        <w:pStyle w:val="Bulletlist1"/>
        <w:spacing w:before="120"/>
        <w:ind w:left="1417"/>
      </w:pPr>
      <w:r>
        <w:rPr>
          <w:i/>
        </w:rPr>
        <w:t>Coincidental hazards</w:t>
      </w:r>
      <w:r>
        <w:t>: Realistic combinations of randomly occurring independent EHs affecting the site simultaneously, for example, earthquake and air temperature hazards. These hazards are not correlated through a physical process.</w:t>
      </w:r>
    </w:p>
    <w:p w14:paraId="5B808181" w14:textId="77777777" w:rsidR="00512502" w:rsidRDefault="00512502" w:rsidP="00591F14">
      <w:pPr>
        <w:pStyle w:val="Bulletlist1"/>
        <w:spacing w:before="120"/>
        <w:ind w:left="1417"/>
      </w:pPr>
      <w:r>
        <w:rPr>
          <w:i/>
        </w:rPr>
        <w:t>Consequential hazard / effects</w:t>
      </w:r>
      <w:r>
        <w:t>: Hazards (internal and external) that are the derived effects of primary, correlated, and secondary hazards and / or their typical effects, leading to a direct challenge to site safety and / or site operations.</w:t>
      </w:r>
    </w:p>
    <w:p w14:paraId="6BF523D4" w14:textId="77777777" w:rsidR="00512502" w:rsidRDefault="00512502" w:rsidP="000D6BF8">
      <w:pPr>
        <w:pStyle w:val="F9-Paragraph"/>
        <w:ind w:hanging="502"/>
      </w:pPr>
      <w:r>
        <w:lastRenderedPageBreak/>
        <w:t>A possible approach to assist in avoiding missing important combinations is to identify the most significant hazards first, seeking potential combinations with those of equal and lesser significance. In this way the intent is to present a cascade of possible combinations with those likely to be most significant being identified early on.</w:t>
      </w:r>
    </w:p>
    <w:p w14:paraId="1E73F769" w14:textId="74A6BB3E" w:rsidR="00512502" w:rsidRDefault="00512502" w:rsidP="000D6BF8">
      <w:pPr>
        <w:pStyle w:val="F9-Paragraph"/>
        <w:ind w:hanging="502"/>
      </w:pPr>
      <w:r>
        <w:t>For all types of hazard combinations, it is the duration of the consequential effects of each hazard that needs to be considered, rather than the duration of the hazard itself. For example, a seismic event may last just a few tens of seconds, but the overall effect on the plant could last several days or weeks. If a severe rainfall event were to occur before damage from the seismic event had been repaired, the consequences of the rainfall event could be more significant. This needs to be considered in the safety analysis</w:t>
      </w:r>
      <w:r w:rsidR="008C6735">
        <w:t>.</w:t>
      </w:r>
    </w:p>
    <w:p w14:paraId="61E72D9E" w14:textId="70BA771B" w:rsidR="00512502" w:rsidRDefault="00512502" w:rsidP="00E54171">
      <w:pPr>
        <w:pStyle w:val="Appendix"/>
        <w:numPr>
          <w:ilvl w:val="1"/>
          <w:numId w:val="73"/>
        </w:numPr>
        <w:ind w:left="567" w:hanging="567"/>
        <w:rPr>
          <w:sz w:val="36"/>
          <w:szCs w:val="16"/>
        </w:rPr>
      </w:pPr>
      <w:bookmarkStart w:id="1026" w:name="_Toc140137281"/>
      <w:r w:rsidRPr="00E54171">
        <w:rPr>
          <w:sz w:val="36"/>
          <w:szCs w:val="16"/>
        </w:rPr>
        <w:t xml:space="preserve">Relationship </w:t>
      </w:r>
      <w:r w:rsidR="00095FC5">
        <w:rPr>
          <w:sz w:val="36"/>
          <w:szCs w:val="16"/>
        </w:rPr>
        <w:t>B</w:t>
      </w:r>
      <w:r w:rsidRPr="00E54171">
        <w:rPr>
          <w:sz w:val="36"/>
          <w:szCs w:val="16"/>
        </w:rPr>
        <w:t xml:space="preserve">etween External </w:t>
      </w:r>
      <w:r w:rsidR="00095FC5">
        <w:rPr>
          <w:sz w:val="36"/>
          <w:szCs w:val="16"/>
        </w:rPr>
        <w:t>H</w:t>
      </w:r>
      <w:r w:rsidRPr="00E54171">
        <w:rPr>
          <w:sz w:val="36"/>
          <w:szCs w:val="16"/>
        </w:rPr>
        <w:t>azards and Fault Studies</w:t>
      </w:r>
      <w:bookmarkEnd w:id="1026"/>
    </w:p>
    <w:p w14:paraId="62E276B5" w14:textId="134B121D" w:rsidR="00E510D7" w:rsidRDefault="00E510D7" w:rsidP="000D6BF8">
      <w:pPr>
        <w:pStyle w:val="F9-Paragraph"/>
        <w:ind w:hanging="502"/>
      </w:pPr>
      <w:r>
        <w:t>This section elaborates on the relationship between EHs and FS, with a particular emphasis on the BDB, which was brought into sharp focus by the accident at Fukushima, Japan in 2011.</w:t>
      </w:r>
    </w:p>
    <w:p w14:paraId="47F5E398" w14:textId="55CDD434" w:rsidR="00E510D7" w:rsidRDefault="00E510D7" w:rsidP="000D6BF8">
      <w:pPr>
        <w:pStyle w:val="F9-Paragraph"/>
        <w:ind w:hanging="502"/>
      </w:pPr>
      <w:bookmarkStart w:id="1027" w:name="_Ref505264724"/>
      <w:r>
        <w:t xml:space="preserve">Consideration of plant response to EHs beyond the </w:t>
      </w:r>
      <w:r w:rsidR="00A057CF">
        <w:t>DB</w:t>
      </w:r>
      <w:r>
        <w:t xml:space="preserve"> has been an established principle in the SAPs since 1992 and within some </w:t>
      </w:r>
      <w:r w:rsidR="00EE2E32">
        <w:t>l</w:t>
      </w:r>
      <w:r>
        <w:t>icensee’s arrangements before then, but its origins date back to development work by the US Nuclear Regulatory Commission (USNRC) in the 1980s, see</w:t>
      </w:r>
      <w:sdt>
        <w:sdtPr>
          <w:id w:val="-630870833"/>
          <w:citation/>
        </w:sdtPr>
        <w:sdtContent>
          <w:r w:rsidR="00B80F36">
            <w:fldChar w:fldCharType="begin"/>
          </w:r>
          <w:r w:rsidR="00B80F36">
            <w:instrText xml:space="preserve"> CITATION USN02 \l 2057 </w:instrText>
          </w:r>
          <w:r w:rsidR="00B80F36">
            <w:fldChar w:fldCharType="separate"/>
          </w:r>
          <w:r w:rsidR="002A4EED">
            <w:t xml:space="preserve"> [42]</w:t>
          </w:r>
          <w:r w:rsidR="00B80F36">
            <w:fldChar w:fldCharType="end"/>
          </w:r>
        </w:sdtContent>
      </w:sdt>
      <w:r w:rsidRPr="000D6BF8">
        <w:footnoteReference w:id="16"/>
      </w:r>
      <w:r>
        <w:t xml:space="preserve">. In the main, the response to this principle by UK </w:t>
      </w:r>
      <w:r w:rsidR="00CA336B">
        <w:t>l</w:t>
      </w:r>
      <w:r>
        <w:t>icensees has primarily concentrated on seismic ground motion hazard</w:t>
      </w:r>
      <w:r w:rsidR="00E94D1C">
        <w:t>.</w:t>
      </w:r>
      <w:r>
        <w:t xml:space="preserve"> </w:t>
      </w:r>
      <w:r w:rsidR="00E94D1C">
        <w:t>This</w:t>
      </w:r>
      <w:r>
        <w:t xml:space="preserve"> has generally taken the form of an enhanced </w:t>
      </w:r>
      <w:r w:rsidR="00A057CF">
        <w:t>DB</w:t>
      </w:r>
      <w:r>
        <w:t xml:space="preserve"> approach, either calling on known conservative assumptions in the design process itself or extending the </w:t>
      </w:r>
      <w:r w:rsidR="00A057CF">
        <w:t>DB</w:t>
      </w:r>
      <w:r>
        <w:t xml:space="preserve"> hazard severity by a known (but somewhat arbitrarily defined) factor.</w:t>
      </w:r>
      <w:bookmarkEnd w:id="1027"/>
      <w:r>
        <w:t xml:space="preserve"> </w:t>
      </w:r>
    </w:p>
    <w:p w14:paraId="15B74664" w14:textId="4A06ECA0" w:rsidR="00E510D7" w:rsidRDefault="00E510D7" w:rsidP="000D6BF8">
      <w:pPr>
        <w:pStyle w:val="F9-Paragraph"/>
        <w:ind w:hanging="502"/>
      </w:pPr>
      <w:r>
        <w:t>The accident at Fukushima in 2011 has generally been interpreted, in terms of plant response, as a BDB event. It raised serious concerns over the operator’s knowledge of how the plant would respond to such an event and the lack of adequate protection in place to mitigate the deleterious effects of consequential plant failures.</w:t>
      </w:r>
      <w:r w:rsidRPr="00794580">
        <w:t xml:space="preserve"> </w:t>
      </w:r>
      <w:r>
        <w:t>Subsequently, the role of BDBA has attracted significant interest worldwide. Of direct relevance is SAP EHA.18, and associated text revisions in the 2014 edition of the SAPs</w:t>
      </w:r>
      <w:sdt>
        <w:sdtPr>
          <w:id w:val="1519043754"/>
          <w:citation/>
        </w:sdtPr>
        <w:sdtContent>
          <w:r>
            <w:fldChar w:fldCharType="begin"/>
          </w:r>
          <w:r w:rsidR="00F12D69">
            <w:instrText xml:space="preserve">CITATION ONR2013 \l 2057 </w:instrText>
          </w:r>
          <w:r>
            <w:fldChar w:fldCharType="separate"/>
          </w:r>
          <w:r w:rsidR="002A4EED">
            <w:t xml:space="preserve"> [1]</w:t>
          </w:r>
          <w:r>
            <w:fldChar w:fldCharType="end"/>
          </w:r>
        </w:sdtContent>
      </w:sdt>
      <w:r>
        <w:t>.</w:t>
      </w:r>
    </w:p>
    <w:p w14:paraId="55EDA643" w14:textId="131E75A1" w:rsidR="00E510D7" w:rsidRPr="00B53A02" w:rsidRDefault="00E510D7" w:rsidP="00045127">
      <w:pPr>
        <w:pStyle w:val="Appendix"/>
        <w:numPr>
          <w:ilvl w:val="2"/>
          <w:numId w:val="73"/>
        </w:numPr>
        <w:rPr>
          <w:sz w:val="28"/>
          <w:szCs w:val="12"/>
        </w:rPr>
      </w:pPr>
      <w:bookmarkStart w:id="1028" w:name="_Toc140137282"/>
      <w:r w:rsidRPr="00B53A02">
        <w:rPr>
          <w:sz w:val="28"/>
          <w:szCs w:val="12"/>
        </w:rPr>
        <w:lastRenderedPageBreak/>
        <w:t>External hazards PSA</w:t>
      </w:r>
      <w:bookmarkEnd w:id="1028"/>
    </w:p>
    <w:p w14:paraId="15FD4CE8" w14:textId="4DF7A9CC" w:rsidR="00512502" w:rsidRDefault="00512502" w:rsidP="000D6BF8">
      <w:pPr>
        <w:pStyle w:val="F9-Paragraph"/>
        <w:ind w:hanging="502"/>
      </w:pPr>
      <w:bookmarkStart w:id="1029" w:name="_Ref447802520"/>
      <w:bookmarkStart w:id="1030" w:name="_Toc473127956"/>
      <w:bookmarkStart w:id="1031" w:name="_Toc473126336"/>
      <w:bookmarkStart w:id="1032" w:name="_Toc462321757"/>
      <w:bookmarkStart w:id="1033" w:name="_Ref448416248"/>
      <w:r>
        <w:t>EHs PSA supports the DBA by quantifying the frequencies with which radiation doses to both public and workers from EH faults could occur. This enables direct comparison with risk targets SAP NT</w:t>
      </w:r>
      <w:r w:rsidR="00586F69">
        <w:t>.</w:t>
      </w:r>
      <w:r>
        <w:t>1 and provides quantitative support that</w:t>
      </w:r>
      <w:r w:rsidR="00B129B9">
        <w:t>,</w:t>
      </w:r>
      <w:r>
        <w:t xml:space="preserve"> for </w:t>
      </w:r>
      <w:r w:rsidRPr="00774883">
        <w:t>the design, risk has been reduced to ALARP.</w:t>
      </w:r>
      <w:bookmarkEnd w:id="1029"/>
      <w:r w:rsidRPr="00774883">
        <w:t xml:space="preserve"> As </w:t>
      </w:r>
      <w:r w:rsidRPr="00591F14">
        <w:t xml:space="preserve">discussed in </w:t>
      </w:r>
      <w:r w:rsidR="00774883" w:rsidRPr="00591F14">
        <w:t xml:space="preserve">Section </w:t>
      </w:r>
      <w:r w:rsidR="00774883" w:rsidRPr="00591F14">
        <w:fldChar w:fldCharType="begin"/>
      </w:r>
      <w:r w:rsidR="00774883" w:rsidRPr="00591F14">
        <w:instrText xml:space="preserve"> REF _Ref138770250 \r \h </w:instrText>
      </w:r>
      <w:r w:rsidR="00774883">
        <w:instrText xml:space="preserve"> \* MERGEFORMAT </w:instrText>
      </w:r>
      <w:r w:rsidR="00774883" w:rsidRPr="00591F14">
        <w:fldChar w:fldCharType="separate"/>
      </w:r>
      <w:r w:rsidR="008B51F7">
        <w:t>5.6.4.2</w:t>
      </w:r>
      <w:r w:rsidR="00774883" w:rsidRPr="00591F14">
        <w:fldChar w:fldCharType="end"/>
      </w:r>
      <w:r>
        <w:t xml:space="preserve">, EHs PSA can be used to support the selected </w:t>
      </w:r>
      <w:r w:rsidR="00A057CF">
        <w:t>DB</w:t>
      </w:r>
      <w:r>
        <w:t xml:space="preserve"> definitions for non-discrete EHs (10</w:t>
      </w:r>
      <w:r w:rsidRPr="008874B0">
        <w:rPr>
          <w:vertAlign w:val="superscript"/>
        </w:rPr>
        <w:t>-4</w:t>
      </w:r>
      <w:r w:rsidR="00247489">
        <w:t>/y</w:t>
      </w:r>
      <w:r>
        <w:t xml:space="preserve"> annual </w:t>
      </w:r>
      <w:r w:rsidR="00247489">
        <w:t>frequency</w:t>
      </w:r>
      <w:r>
        <w:t xml:space="preserve"> of exceedance) as being sufficiently conservative. Finally, the EH PSA can contribute to the wider PSA calculations to show that a balanced design has been achieved such that reasonably practicable protection is provided across all hazard and fault types (SAP paragraph 749).</w:t>
      </w:r>
      <w:bookmarkEnd w:id="1030"/>
      <w:bookmarkEnd w:id="1031"/>
      <w:bookmarkEnd w:id="1032"/>
      <w:bookmarkEnd w:id="1033"/>
    </w:p>
    <w:p w14:paraId="317C2478" w14:textId="1ED98D33" w:rsidR="00512502" w:rsidRDefault="00512502" w:rsidP="000D6BF8">
      <w:pPr>
        <w:pStyle w:val="F9-Paragraph"/>
        <w:ind w:hanging="502"/>
      </w:pPr>
      <w:r>
        <w:t>PSA generally is covered by comprehensive guidance in NS-TAST-GD-030</w:t>
      </w:r>
      <w:sdt>
        <w:sdtPr>
          <w:id w:val="726647598"/>
          <w:citation/>
        </w:sdtPr>
        <w:sdtContent>
          <w:r w:rsidR="00A4020F">
            <w:fldChar w:fldCharType="begin"/>
          </w:r>
          <w:r w:rsidR="00CD103E">
            <w:instrText xml:space="preserve">CITATION ONRTAG30 \l 2057 </w:instrText>
          </w:r>
          <w:r w:rsidR="00A4020F">
            <w:fldChar w:fldCharType="separate"/>
          </w:r>
          <w:r w:rsidR="002A4EED">
            <w:t xml:space="preserve"> [18]</w:t>
          </w:r>
          <w:r w:rsidR="00A4020F">
            <w:fldChar w:fldCharType="end"/>
          </w:r>
        </w:sdtContent>
      </w:sdt>
      <w:r>
        <w:t xml:space="preserve">, including the expectation that such analyses include EHs initiated faults. There is specific guidance on seismic hazard PSA but not on other hazards. This reflects the greater maturity within the world-wide nuclear industry on undertaking seismic PSAs. Currently, PSAs on meteorological and coastal flood hazards are less mature. </w:t>
      </w:r>
    </w:p>
    <w:p w14:paraId="028FCE50" w14:textId="3074DEC4" w:rsidR="00512502" w:rsidRDefault="00512502" w:rsidP="000D6BF8">
      <w:pPr>
        <w:pStyle w:val="F9-Paragraph"/>
        <w:ind w:hanging="502"/>
      </w:pPr>
      <w:bookmarkStart w:id="1034" w:name="_Toc462321758"/>
      <w:bookmarkStart w:id="1035" w:name="_Toc473126337"/>
      <w:bookmarkStart w:id="1036" w:name="_Toc473127957"/>
      <w:bookmarkStart w:id="1037" w:name="_Ref485750874"/>
      <w:r>
        <w:t xml:space="preserve">For major nuclear hazards plant, the expectation is that a Level 1 and 2 PSA will be </w:t>
      </w:r>
      <w:r w:rsidR="00AE143A">
        <w:t>undertaken,</w:t>
      </w:r>
      <w:r>
        <w:t xml:space="preserve"> and this is </w:t>
      </w:r>
      <w:r w:rsidRPr="00637C68">
        <w:t>reflected in the UK’s response to the Fukushima event as Recommendation FR.4</w:t>
      </w:r>
      <w:sdt>
        <w:sdtPr>
          <w:id w:val="1674922718"/>
          <w:citation/>
        </w:sdtPr>
        <w:sdtContent>
          <w:r w:rsidR="00DA3B28" w:rsidRPr="00637C68">
            <w:fldChar w:fldCharType="begin"/>
          </w:r>
          <w:r w:rsidR="00BF7FC3" w:rsidRPr="00637C68">
            <w:instrText xml:space="preserve">CITATION ONR11 \l 2057 </w:instrText>
          </w:r>
          <w:r w:rsidR="00880E76" w:rsidRPr="00637C68">
            <w:instrText xml:space="preserve"> \m ONR111</w:instrText>
          </w:r>
          <w:r w:rsidR="00DA3B28" w:rsidRPr="00637C68">
            <w:fldChar w:fldCharType="separate"/>
          </w:r>
          <w:r w:rsidR="002A4EED">
            <w:t xml:space="preserve"> [43, 44]</w:t>
          </w:r>
          <w:r w:rsidR="00DA3B28" w:rsidRPr="00637C68">
            <w:fldChar w:fldCharType="end"/>
          </w:r>
        </w:sdtContent>
      </w:sdt>
      <w:r w:rsidRPr="00637C68">
        <w:t>. Note that if a Level 3 PSA is performed, extreme environmental co</w:t>
      </w:r>
      <w:r>
        <w:t>nditions may affect the transport of fission products and also expectations regarding countermeasures. These possibilities should also be borne in mind when interpreting the Level 2 PSA results.</w:t>
      </w:r>
      <w:bookmarkEnd w:id="1034"/>
      <w:bookmarkEnd w:id="1035"/>
      <w:bookmarkEnd w:id="1036"/>
      <w:bookmarkEnd w:id="1037"/>
    </w:p>
    <w:p w14:paraId="61EA87CF" w14:textId="77777777" w:rsidR="00512502" w:rsidRDefault="00512502" w:rsidP="000D6BF8">
      <w:pPr>
        <w:pStyle w:val="F9-Paragraph"/>
        <w:ind w:hanging="502"/>
      </w:pPr>
      <w:bookmarkStart w:id="1038" w:name="_Toc462321759"/>
      <w:bookmarkStart w:id="1039" w:name="_Toc473126338"/>
      <w:bookmarkStart w:id="1040" w:name="_Toc473127958"/>
      <w:r>
        <w:t>For new facilities, it is anticipated that a PSA would include specific consideration of EHs as initiating events (FA.14). Fragility data tends to be expressed as mean (best estimate) SFR capability or withstands rather than conservatively as for deterministic purposes, or the uncertainties are fully quantified as a probability distribution. However, any withstand data should be developed from the same base information, subject to relevant scale factors and uncertainties.</w:t>
      </w:r>
      <w:bookmarkEnd w:id="1038"/>
      <w:bookmarkEnd w:id="1039"/>
      <w:bookmarkEnd w:id="1040"/>
      <w:r>
        <w:t xml:space="preserve"> </w:t>
      </w:r>
    </w:p>
    <w:p w14:paraId="7D690B9B" w14:textId="6AD0E131" w:rsidR="00512502" w:rsidRDefault="00512502" w:rsidP="000D6BF8">
      <w:pPr>
        <w:pStyle w:val="F9-Paragraph"/>
        <w:ind w:hanging="502"/>
      </w:pPr>
      <w:bookmarkStart w:id="1041" w:name="_Toc462321760"/>
      <w:bookmarkStart w:id="1042" w:name="_Toc473126339"/>
      <w:bookmarkStart w:id="1043" w:name="_Toc473127959"/>
      <w:bookmarkStart w:id="1044" w:name="_Ref475516680"/>
      <w:r>
        <w:t xml:space="preserve">For existing facilities, the need for EH PSA also exists, however in the UK, </w:t>
      </w:r>
      <w:r w:rsidR="001E67B7">
        <w:t>l</w:t>
      </w:r>
      <w:r>
        <w:t>icensees have adopted a pragmatic approach based on a qualitative appreciation of the EH risks. The expectation of a quantified analysis of EH risks even for existing major nuclear hazards facilities has been promulgated by post Fukushima recommendations</w:t>
      </w:r>
      <w:r w:rsidR="00F921AC">
        <w:t xml:space="preserve"> </w:t>
      </w:r>
      <w:sdt>
        <w:sdtPr>
          <w:id w:val="-137110962"/>
          <w:citation/>
        </w:sdtPr>
        <w:sdtContent>
          <w:r w:rsidR="001527FE">
            <w:fldChar w:fldCharType="begin"/>
          </w:r>
          <w:r w:rsidR="001527FE">
            <w:instrText xml:space="preserve"> CITATION ONR11 \l 2057 </w:instrText>
          </w:r>
          <w:r w:rsidR="001527FE">
            <w:fldChar w:fldCharType="separate"/>
          </w:r>
          <w:r w:rsidR="002A4EED">
            <w:t>[43]</w:t>
          </w:r>
          <w:r w:rsidR="001527FE">
            <w:fldChar w:fldCharType="end"/>
          </w:r>
        </w:sdtContent>
      </w:sdt>
      <w:r w:rsidR="00F921AC">
        <w:t>.</w:t>
      </w:r>
    </w:p>
    <w:p w14:paraId="41EF305F" w14:textId="7373DEAD" w:rsidR="00512502" w:rsidRDefault="00512502" w:rsidP="000D6BF8">
      <w:pPr>
        <w:pStyle w:val="F9-Paragraph"/>
        <w:ind w:hanging="502"/>
      </w:pPr>
      <w:r>
        <w:t xml:space="preserve">Development of fragilities against EHs is a potentially complex and </w:t>
      </w:r>
      <w:r w:rsidR="001527FE">
        <w:t>time-consuming</w:t>
      </w:r>
      <w:r>
        <w:t xml:space="preserve"> process, with large levels of uncertainty associated with it. Following completion of the PSA it is suggested that the results are interrogated, and the relative importance of plant, structures and equipment extracted. This will give an indication of those areas where the inspectors should focus their attention. Care should be taken in the use of generic fragility data, especially when applied to bespoke SSCs or items of high importance to safety.</w:t>
      </w:r>
      <w:bookmarkEnd w:id="1041"/>
      <w:bookmarkEnd w:id="1042"/>
      <w:bookmarkEnd w:id="1043"/>
      <w:bookmarkEnd w:id="1044"/>
      <w:r>
        <w:t xml:space="preserve"> </w:t>
      </w:r>
    </w:p>
    <w:p w14:paraId="670F7B1F" w14:textId="7AA354D2" w:rsidR="00620583" w:rsidRDefault="00512502" w:rsidP="000D6BF8">
      <w:pPr>
        <w:pStyle w:val="F9-Paragraph"/>
        <w:ind w:hanging="502"/>
      </w:pPr>
      <w:bookmarkStart w:id="1045" w:name="_Ref448416261"/>
      <w:bookmarkStart w:id="1046" w:name="_Toc462321761"/>
      <w:bookmarkStart w:id="1047" w:name="_Toc473126340"/>
      <w:bookmarkStart w:id="1048" w:name="_Toc473127960"/>
      <w:r>
        <w:lastRenderedPageBreak/>
        <w:t xml:space="preserve">As noted above, non-discrete EHs are characterised by a hazard curve extending well below the </w:t>
      </w:r>
      <w:r w:rsidR="00A057CF">
        <w:t>DB</w:t>
      </w:r>
      <w:r>
        <w:t xml:space="preserve"> level. The risk potential of the hazard is likely to be adequately controlled down to the </w:t>
      </w:r>
      <w:r w:rsidR="00A057CF">
        <w:t>DB</w:t>
      </w:r>
      <w:r>
        <w:t xml:space="preserve"> frequency, and the significant risk will likely be attributable to BDB frequencies. Thus, PSA is a useful means of characterising the risk from non-discrete EHs, helping to ensure the risks are ALARP and that a balanced plant design is achieved.</w:t>
      </w:r>
      <w:bookmarkEnd w:id="1045"/>
      <w:bookmarkEnd w:id="1046"/>
      <w:bookmarkEnd w:id="1047"/>
      <w:bookmarkEnd w:id="1048"/>
    </w:p>
    <w:p w14:paraId="0B8ED85B" w14:textId="52A9D328" w:rsidR="00D11A28" w:rsidRPr="00B53A02" w:rsidRDefault="00D11A28" w:rsidP="00B53A02">
      <w:pPr>
        <w:pStyle w:val="Appendix"/>
        <w:numPr>
          <w:ilvl w:val="2"/>
          <w:numId w:val="73"/>
        </w:numPr>
        <w:rPr>
          <w:sz w:val="28"/>
          <w:szCs w:val="12"/>
        </w:rPr>
      </w:pPr>
      <w:bookmarkStart w:id="1049" w:name="_Toc140137283"/>
      <w:r w:rsidRPr="00B53A02">
        <w:rPr>
          <w:sz w:val="28"/>
          <w:szCs w:val="12"/>
        </w:rPr>
        <w:t>Hazard Schedules</w:t>
      </w:r>
      <w:bookmarkEnd w:id="1049"/>
    </w:p>
    <w:p w14:paraId="307F5BBF" w14:textId="0A061457" w:rsidR="00853586" w:rsidRDefault="00853586" w:rsidP="000D6BF8">
      <w:pPr>
        <w:pStyle w:val="F9-Paragraph"/>
        <w:ind w:hanging="502"/>
      </w:pPr>
      <w:r w:rsidRPr="003A5DC7">
        <w:t xml:space="preserve">SAPs ESS.11 and FA.8 set an expectation for a fault schedule to be included within safety cases to provide a clear link between fault, fault sequences and safety measures. </w:t>
      </w:r>
      <w:r>
        <w:t>In a similar manner, licensees</w:t>
      </w:r>
      <w:r w:rsidRPr="003A5DC7">
        <w:t xml:space="preserve"> may provide a hazard schedule</w:t>
      </w:r>
      <w:r>
        <w:t xml:space="preserve">, which provides a building-by-building or </w:t>
      </w:r>
      <w:r w:rsidRPr="00057D76">
        <w:t>compartment</w:t>
      </w:r>
      <w:r>
        <w:t>-</w:t>
      </w:r>
      <w:r w:rsidRPr="00057D76">
        <w:t>by</w:t>
      </w:r>
      <w:r>
        <w:t>-</w:t>
      </w:r>
      <w:r w:rsidRPr="00057D76">
        <w:t xml:space="preserve">compartment view of the hazards and provided protection </w:t>
      </w:r>
      <w:r>
        <w:t>measures.</w:t>
      </w:r>
    </w:p>
    <w:p w14:paraId="20EF6A2F" w14:textId="3D8CF4AC" w:rsidR="00853586" w:rsidRPr="00C940D1" w:rsidRDefault="00853586" w:rsidP="000D6BF8">
      <w:pPr>
        <w:pStyle w:val="F9-Paragraph"/>
        <w:ind w:hanging="502"/>
      </w:pPr>
      <w:r w:rsidRPr="000D6BF8">
        <w:t xml:space="preserve">Hazard schedules are a powerful means of demonstrating the completeness of the </w:t>
      </w:r>
      <w:r w:rsidR="0028414A" w:rsidRPr="000D6BF8">
        <w:t>EH</w:t>
      </w:r>
      <w:r w:rsidRPr="00C940D1">
        <w:t xml:space="preserve">s safety </w:t>
      </w:r>
      <w:r w:rsidR="00F035DB" w:rsidRPr="00C940D1">
        <w:t>case,</w:t>
      </w:r>
      <w:r w:rsidRPr="00C940D1">
        <w:t xml:space="preserve"> presenting the </w:t>
      </w:r>
      <w:r>
        <w:t>screened-in</w:t>
      </w:r>
      <w:r w:rsidRPr="00C940D1">
        <w:t xml:space="preserve"> external hazards events, the required safety functions and the protection measures delivering those safety functions. The schedule provides a useful sign-posting document to supporting safety case analysis, such as </w:t>
      </w:r>
      <w:r>
        <w:t xml:space="preserve">evidence of </w:t>
      </w:r>
      <w:r w:rsidRPr="00C940D1">
        <w:t xml:space="preserve">the performance of claimed protection measures. The hazard schedule can also efficiently show </w:t>
      </w:r>
      <w:r w:rsidR="00471A83">
        <w:t xml:space="preserve">that </w:t>
      </w:r>
      <w:r w:rsidRPr="00C940D1">
        <w:t>safety case expectations have been met (</w:t>
      </w:r>
      <w:r w:rsidR="00234E07" w:rsidRPr="00C940D1">
        <w:t>e.g.,</w:t>
      </w:r>
      <w:r w:rsidRPr="00C940D1">
        <w:t xml:space="preserve"> all normally permitted operating modes are considered, safety functions are appropriately categorised and safety measures classified etc.)</w:t>
      </w:r>
      <w:r w:rsidR="00471A83">
        <w:t>.</w:t>
      </w:r>
      <w:r w:rsidRPr="00C940D1">
        <w:t xml:space="preserve"> </w:t>
      </w:r>
    </w:p>
    <w:p w14:paraId="1BC93E9B" w14:textId="5FECA9CB" w:rsidR="00853586" w:rsidRPr="00C940D1" w:rsidRDefault="00853586" w:rsidP="000D6BF8">
      <w:pPr>
        <w:pStyle w:val="F9-Paragraph"/>
        <w:ind w:hanging="502"/>
      </w:pPr>
      <w:r w:rsidRPr="00C940D1">
        <w:t xml:space="preserve">Appendix 2 of the </w:t>
      </w:r>
      <w:r w:rsidR="0028414A">
        <w:t>DBA</w:t>
      </w:r>
      <w:r w:rsidRPr="00C940D1">
        <w:t xml:space="preserve"> technical assessment guide</w:t>
      </w:r>
      <w:sdt>
        <w:sdtPr>
          <w:id w:val="-1981062451"/>
          <w:citation/>
        </w:sdtPr>
        <w:sdtContent>
          <w:r w:rsidR="002173CE">
            <w:fldChar w:fldCharType="begin"/>
          </w:r>
          <w:r w:rsidR="002A4EED">
            <w:instrText xml:space="preserve">CITATION ONR22 \l 2057 </w:instrText>
          </w:r>
          <w:r w:rsidR="002173CE">
            <w:fldChar w:fldCharType="separate"/>
          </w:r>
          <w:r w:rsidR="002A4EED">
            <w:t xml:space="preserve"> [17]</w:t>
          </w:r>
          <w:r w:rsidR="002173CE">
            <w:fldChar w:fldCharType="end"/>
          </w:r>
        </w:sdtContent>
      </w:sdt>
      <w:r w:rsidRPr="00C940D1">
        <w:t xml:space="preserve"> provides useful information on the expectations for a fault schedule. Some of those expectations are applicable to hazard schedules. </w:t>
      </w:r>
      <w:r>
        <w:t>H</w:t>
      </w:r>
      <w:r w:rsidRPr="00C940D1">
        <w:t xml:space="preserve">azard schedule should </w:t>
      </w:r>
      <w:r>
        <w:t>typically</w:t>
      </w:r>
      <w:r w:rsidRPr="00C940D1">
        <w:t xml:space="preserve"> provide: </w:t>
      </w:r>
    </w:p>
    <w:p w14:paraId="12737643" w14:textId="77777777" w:rsidR="00853586" w:rsidRPr="00C940D1" w:rsidRDefault="00853586" w:rsidP="00B53A02">
      <w:pPr>
        <w:pStyle w:val="Bulletlist1"/>
        <w:spacing w:before="120"/>
        <w:ind w:left="1417"/>
      </w:pPr>
      <w:r>
        <w:t>L</w:t>
      </w:r>
      <w:r w:rsidRPr="00C940D1">
        <w:t>inks between hazards and protection and safety measures</w:t>
      </w:r>
      <w:r>
        <w:t>.</w:t>
      </w:r>
    </w:p>
    <w:p w14:paraId="728C936C" w14:textId="77777777" w:rsidR="00853586" w:rsidRPr="00C940D1" w:rsidRDefault="00853586" w:rsidP="00B53A02">
      <w:pPr>
        <w:pStyle w:val="Bulletlist1"/>
        <w:spacing w:before="120"/>
        <w:ind w:left="1417"/>
      </w:pPr>
      <w:r>
        <w:t>T</w:t>
      </w:r>
      <w:r w:rsidRPr="00C940D1">
        <w:t>he frequency of the external hazards event; it is expected that both design basis and relevant beyond design basis events will be presented.</w:t>
      </w:r>
    </w:p>
    <w:p w14:paraId="16008116" w14:textId="77777777" w:rsidR="00853586" w:rsidRPr="00C940D1" w:rsidRDefault="00853586" w:rsidP="00B53A02">
      <w:pPr>
        <w:pStyle w:val="Bulletlist1"/>
        <w:spacing w:before="120"/>
        <w:ind w:left="1417"/>
      </w:pPr>
      <w:r>
        <w:t>S</w:t>
      </w:r>
      <w:r w:rsidRPr="00C940D1">
        <w:t>afety functions and performance requirements of claimed SSCs</w:t>
      </w:r>
      <w:r>
        <w:t>.</w:t>
      </w:r>
    </w:p>
    <w:p w14:paraId="2C64DD5E" w14:textId="77777777" w:rsidR="00853586" w:rsidRPr="00C940D1" w:rsidRDefault="00853586" w:rsidP="00B53A02">
      <w:pPr>
        <w:pStyle w:val="Bulletlist1"/>
        <w:spacing w:before="120"/>
        <w:ind w:left="1417"/>
      </w:pPr>
      <w:r>
        <w:t>C</w:t>
      </w:r>
      <w:r w:rsidRPr="00C940D1">
        <w:t>ategorisation and classification of safety functions and claimed SSCs respectively.</w:t>
      </w:r>
    </w:p>
    <w:p w14:paraId="348D37B7" w14:textId="77777777" w:rsidR="00853586" w:rsidRPr="00C940D1" w:rsidRDefault="00853586" w:rsidP="00B53A02">
      <w:pPr>
        <w:pStyle w:val="Bulletlist1"/>
        <w:spacing w:before="120"/>
        <w:ind w:left="1417"/>
      </w:pPr>
      <w:r w:rsidRPr="00C940D1">
        <w:t>Whether a safety measure is passive, automatic or manually initiated</w:t>
      </w:r>
      <w:r>
        <w:t>.</w:t>
      </w:r>
    </w:p>
    <w:p w14:paraId="289F35C8" w14:textId="77777777" w:rsidR="00853586" w:rsidRPr="00C940D1" w:rsidRDefault="00853586" w:rsidP="00B53A02">
      <w:pPr>
        <w:pStyle w:val="Bulletlist1"/>
        <w:spacing w:before="120"/>
        <w:ind w:left="1417"/>
      </w:pPr>
      <w:r>
        <w:t>P</w:t>
      </w:r>
      <w:r w:rsidRPr="00C940D1">
        <w:t>rovision of defence in depth measures</w:t>
      </w:r>
      <w:r>
        <w:t>.</w:t>
      </w:r>
    </w:p>
    <w:p w14:paraId="7EDF0C60" w14:textId="77777777" w:rsidR="00853586" w:rsidRPr="00C940D1" w:rsidRDefault="00853586" w:rsidP="00B53A02">
      <w:pPr>
        <w:pStyle w:val="Bulletlist1"/>
        <w:spacing w:before="120"/>
        <w:ind w:left="1417"/>
      </w:pPr>
      <w:r>
        <w:t>T</w:t>
      </w:r>
      <w:r w:rsidRPr="00C940D1">
        <w:t>he relevant operating mode, plant configuration or plant state assumed</w:t>
      </w:r>
      <w:r>
        <w:t>.</w:t>
      </w:r>
    </w:p>
    <w:p w14:paraId="4DEAAD18" w14:textId="77777777" w:rsidR="00853586" w:rsidRDefault="00853586" w:rsidP="00B53A02">
      <w:pPr>
        <w:pStyle w:val="Bulletlist1"/>
        <w:spacing w:before="120"/>
        <w:ind w:left="1417"/>
      </w:pPr>
      <w:r>
        <w:t>Links to other schedules (fault, engineering etc.), such as via a coding system.</w:t>
      </w:r>
    </w:p>
    <w:p w14:paraId="3EFF530D" w14:textId="77777777" w:rsidR="00853586" w:rsidRPr="00C940D1" w:rsidRDefault="00853586" w:rsidP="00B53A02">
      <w:pPr>
        <w:pStyle w:val="Bulletlist1"/>
        <w:spacing w:before="120"/>
        <w:ind w:left="1417"/>
      </w:pPr>
      <w:r>
        <w:t>L</w:t>
      </w:r>
      <w:r w:rsidRPr="00C940D1">
        <w:t>inks to relevant references including engineering details and substantiation in safety case submission</w:t>
      </w:r>
      <w:r>
        <w:t>s.</w:t>
      </w:r>
    </w:p>
    <w:p w14:paraId="3F477F1B" w14:textId="2DCD6543" w:rsidR="00F73DB9" w:rsidRPr="00E54171" w:rsidRDefault="00512502" w:rsidP="00E54171">
      <w:pPr>
        <w:pStyle w:val="Appendix"/>
        <w:numPr>
          <w:ilvl w:val="1"/>
          <w:numId w:val="73"/>
        </w:numPr>
        <w:ind w:left="426" w:hanging="426"/>
        <w:rPr>
          <w:sz w:val="36"/>
          <w:szCs w:val="16"/>
        </w:rPr>
      </w:pPr>
      <w:bookmarkStart w:id="1050" w:name="_Toc140137284"/>
      <w:r w:rsidRPr="00E54171">
        <w:rPr>
          <w:sz w:val="36"/>
          <w:szCs w:val="16"/>
        </w:rPr>
        <w:lastRenderedPageBreak/>
        <w:t xml:space="preserve">Consideration of Reliability </w:t>
      </w:r>
      <w:r w:rsidR="0052119E">
        <w:rPr>
          <w:sz w:val="36"/>
          <w:szCs w:val="16"/>
        </w:rPr>
        <w:t>R</w:t>
      </w:r>
      <w:r w:rsidRPr="00E54171">
        <w:rPr>
          <w:sz w:val="36"/>
          <w:szCs w:val="16"/>
        </w:rPr>
        <w:t>elated to External Hazards</w:t>
      </w:r>
      <w:bookmarkStart w:id="1051" w:name="_Ref475373759"/>
      <w:bookmarkStart w:id="1052" w:name="_Ref473998230"/>
      <w:bookmarkStart w:id="1053" w:name="_Ref473998202"/>
      <w:bookmarkStart w:id="1054" w:name="_Ref473992283"/>
      <w:bookmarkStart w:id="1055" w:name="_Toc473127992"/>
      <w:bookmarkStart w:id="1056" w:name="_Toc473126372"/>
      <w:bookmarkEnd w:id="1050"/>
    </w:p>
    <w:p w14:paraId="494BA4D5" w14:textId="5F8D264C" w:rsidR="00512502" w:rsidRDefault="001A4929" w:rsidP="000D6BF8">
      <w:pPr>
        <w:pStyle w:val="F9-Paragraph"/>
        <w:ind w:hanging="502"/>
      </w:pPr>
      <w:r>
        <w:t>EHs</w:t>
      </w:r>
      <w:r w:rsidR="00512502">
        <w:t xml:space="preserve"> have the potential to initiate many SSC / plant faults </w:t>
      </w:r>
      <w:bookmarkStart w:id="1057" w:name="_Ref475373540"/>
      <w:r w:rsidR="00512502">
        <w:t xml:space="preserve">simultaneously. They can adversely affect the off-site infrastructure on which the site depends for supplies of materials, energy, and personnel. They can even affect severe accident off-site consequences and the effectiveness of emergency arrangements. Common cause effects should be considered as part of the </w:t>
      </w:r>
      <w:r w:rsidR="00A057CF">
        <w:t>DB</w:t>
      </w:r>
      <w:r w:rsidR="00512502">
        <w:t xml:space="preserve">, BDB and within the </w:t>
      </w:r>
      <w:r w:rsidR="00E0091E">
        <w:t>l</w:t>
      </w:r>
      <w:r w:rsidR="00512502">
        <w:t>icensee’s Severe Accident Management Guidelines.</w:t>
      </w:r>
      <w:bookmarkEnd w:id="1057"/>
      <w:r w:rsidR="00985B49" w:rsidRPr="00985B49">
        <w:t xml:space="preserve"> </w:t>
      </w:r>
      <w:r w:rsidR="00985B49">
        <w:t>In practice, if the plant is well designed and maintained, it should withstand DB hazards without any damage that has a significant nuclear safety impact, even with common cause effects included. However this may be less clear cut and more complex when considering conventional safety, BDB hazards and severe accidents.</w:t>
      </w:r>
    </w:p>
    <w:p w14:paraId="608185D7" w14:textId="48FA7017" w:rsidR="00512502" w:rsidRPr="000D6BF8" w:rsidRDefault="00512502" w:rsidP="000D6BF8">
      <w:pPr>
        <w:pStyle w:val="F9-Paragraph"/>
        <w:ind w:hanging="502"/>
      </w:pPr>
      <w:bookmarkStart w:id="1058" w:name="_Toc473126249"/>
      <w:bookmarkStart w:id="1059" w:name="_Toc473127869"/>
      <w:r>
        <w:t xml:space="preserve">Protection is generally provided by a combination of engineered SSC withstand, engineered protection and procedural measures. Robust engineered withstand is provided through the application of appropriate design codes using load function(s) derived through conservatively evaluated </w:t>
      </w:r>
      <w:r w:rsidR="00A057CF">
        <w:t>DB</w:t>
      </w:r>
      <w:r>
        <w:t xml:space="preserve"> hazard definition. Wherever possible, engineered protection measures should be diverse, redundant, and segregated (see Section </w:t>
      </w:r>
      <w:r w:rsidR="004A4527" w:rsidRPr="000D6BF8">
        <w:fldChar w:fldCharType="begin"/>
      </w:r>
      <w:r w:rsidR="004A4527">
        <w:instrText xml:space="preserve"> REF _Ref139550083 \r \h </w:instrText>
      </w:r>
      <w:r w:rsidR="00455323">
        <w:instrText xml:space="preserve"> \* MERGEFORMAT </w:instrText>
      </w:r>
      <w:r w:rsidR="004A4527" w:rsidRPr="000D6BF8">
        <w:fldChar w:fldCharType="separate"/>
      </w:r>
      <w:r w:rsidR="008B51F7">
        <w:t>A.7.2</w:t>
      </w:r>
      <w:r w:rsidR="004A4527" w:rsidRPr="000D6BF8">
        <w:fldChar w:fldCharType="end"/>
      </w:r>
      <w:r>
        <w:t xml:space="preserve">) to minimise the potential for common cause faults. This is particularly important for EHs that can simultaneously affecting the whole facility. In addition to this, protection measures should maximise </w:t>
      </w:r>
      <w:proofErr w:type="spellStart"/>
      <w:r>
        <w:t>DiD</w:t>
      </w:r>
      <w:proofErr w:type="spellEnd"/>
      <w:r>
        <w:t xml:space="preserve"> in terms of the hierarchy of safety measures, particularly since the first level of defence – prevention or elimination - is generally not possible for EHs. In all cases the application of the single failure criterion is an important consideration (see Section </w:t>
      </w:r>
      <w:r w:rsidR="008B2B6F" w:rsidRPr="000D6BF8">
        <w:fldChar w:fldCharType="begin"/>
      </w:r>
      <w:r w:rsidR="008B2B6F">
        <w:instrText xml:space="preserve"> REF _Ref139549980 \r \h </w:instrText>
      </w:r>
      <w:r w:rsidR="00455323">
        <w:instrText xml:space="preserve"> \* MERGEFORMAT </w:instrText>
      </w:r>
      <w:r w:rsidR="008B2B6F" w:rsidRPr="000D6BF8">
        <w:fldChar w:fldCharType="separate"/>
      </w:r>
      <w:r w:rsidR="008B51F7">
        <w:t>A.7.1</w:t>
      </w:r>
      <w:r w:rsidR="008B2B6F" w:rsidRPr="000D6BF8">
        <w:fldChar w:fldCharType="end"/>
      </w:r>
      <w:r>
        <w:t>).</w:t>
      </w:r>
      <w:bookmarkEnd w:id="1058"/>
      <w:bookmarkEnd w:id="1059"/>
      <w:r>
        <w:t xml:space="preserve"> </w:t>
      </w:r>
    </w:p>
    <w:p w14:paraId="63F87D9E" w14:textId="7ED1BFF9" w:rsidR="00512502" w:rsidRPr="00E54171" w:rsidRDefault="00512502" w:rsidP="00E54171">
      <w:pPr>
        <w:pStyle w:val="Appendix"/>
        <w:numPr>
          <w:ilvl w:val="2"/>
          <w:numId w:val="73"/>
        </w:numPr>
        <w:ind w:left="851" w:hanging="142"/>
        <w:rPr>
          <w:b/>
          <w:sz w:val="28"/>
          <w:szCs w:val="12"/>
        </w:rPr>
      </w:pPr>
      <w:bookmarkStart w:id="1060" w:name="_Ref139549980"/>
      <w:bookmarkStart w:id="1061" w:name="_Toc140137285"/>
      <w:r w:rsidRPr="00E54171">
        <w:rPr>
          <w:sz w:val="28"/>
          <w:szCs w:val="12"/>
        </w:rPr>
        <w:t>Single failure criterion</w:t>
      </w:r>
      <w:bookmarkEnd w:id="1051"/>
      <w:bookmarkEnd w:id="1052"/>
      <w:bookmarkEnd w:id="1053"/>
      <w:bookmarkEnd w:id="1054"/>
      <w:bookmarkEnd w:id="1055"/>
      <w:bookmarkEnd w:id="1056"/>
      <w:bookmarkEnd w:id="1060"/>
      <w:bookmarkEnd w:id="1061"/>
      <w:r w:rsidRPr="00E54171">
        <w:rPr>
          <w:sz w:val="28"/>
          <w:szCs w:val="12"/>
        </w:rPr>
        <w:t xml:space="preserve"> </w:t>
      </w:r>
    </w:p>
    <w:p w14:paraId="1B6027F6" w14:textId="3412AEB6" w:rsidR="00512502" w:rsidRDefault="00512502" w:rsidP="000D6BF8">
      <w:pPr>
        <w:pStyle w:val="F9-Paragraph"/>
        <w:ind w:hanging="502"/>
      </w:pPr>
      <w:bookmarkStart w:id="1062" w:name="_Toc473126373"/>
      <w:bookmarkStart w:id="1063" w:name="_Toc473127993"/>
      <w:bookmarkStart w:id="1064" w:name="_Ref443656106"/>
      <w:r>
        <w:t>The single failure SAP EDR.4 states:</w:t>
      </w:r>
      <w:bookmarkStart w:id="1065" w:name="_Toc473126374"/>
      <w:bookmarkStart w:id="1066" w:name="_Toc473127994"/>
      <w:bookmarkEnd w:id="1062"/>
      <w:bookmarkEnd w:id="1063"/>
      <w:r w:rsidR="0068543D">
        <w:t xml:space="preserve"> </w:t>
      </w:r>
      <w:r>
        <w:t>During any normally permissible state of plant or SSC availability, no single random failure, assumed to occur anywhere within the systems provided to secure a safety function, should prevent the performance of that safety function.</w:t>
      </w:r>
      <w:bookmarkEnd w:id="1065"/>
      <w:bookmarkEnd w:id="1066"/>
      <w:r>
        <w:t xml:space="preserve"> </w:t>
      </w:r>
    </w:p>
    <w:p w14:paraId="52E9C283" w14:textId="348BAFCE" w:rsidR="00512502" w:rsidRDefault="00512502" w:rsidP="000D6BF8">
      <w:pPr>
        <w:pStyle w:val="F9-Paragraph"/>
        <w:ind w:hanging="502"/>
      </w:pPr>
      <w:bookmarkStart w:id="1067" w:name="_Toc473126375"/>
      <w:bookmarkStart w:id="1068" w:name="_Toc473127995"/>
      <w:r>
        <w:t xml:space="preserve">The single failure criterion is usually considered in relation to </w:t>
      </w:r>
      <w:r w:rsidR="00041DBC">
        <w:t>plant-initiated</w:t>
      </w:r>
      <w:r>
        <w:t xml:space="preserve"> faults where the plant fault leads directly to a requirement for a safety system to operate in order to restore or provide a safety function. The safety system, which will probably contain active components</w:t>
      </w:r>
      <w:r w:rsidRPr="000D6BF8">
        <w:footnoteReference w:id="17"/>
      </w:r>
      <w:r>
        <w:t xml:space="preserve">, should be single random failure tolerant. </w:t>
      </w:r>
      <w:r w:rsidR="00467DBA">
        <w:t xml:space="preserve">The failure is random in the sense that the initial plant fault does not prevent the safety system from performing its function, unlike a </w:t>
      </w:r>
      <w:r w:rsidR="00467DBA">
        <w:lastRenderedPageBreak/>
        <w:t>systematic failure that affects redundant components simultaneously, e.g. due to a common design or manufacturing defect</w:t>
      </w:r>
      <w:r>
        <w:t>.</w:t>
      </w:r>
      <w:bookmarkEnd w:id="1067"/>
      <w:bookmarkEnd w:id="1068"/>
    </w:p>
    <w:p w14:paraId="6CD7F3A1" w14:textId="07A4A8CB" w:rsidR="00512502" w:rsidRDefault="00512502" w:rsidP="000D6BF8">
      <w:pPr>
        <w:pStyle w:val="F9-Paragraph"/>
        <w:ind w:hanging="502"/>
      </w:pPr>
      <w:bookmarkStart w:id="1069" w:name="_Toc473126376"/>
      <w:bookmarkStart w:id="1070" w:name="_Toc473127996"/>
      <w:r>
        <w:t>The single failure criterion is not normally a key issue in the context of EHs assessment, but its applicability may be somewhat more complex than that for internal plant faults. There are two basic ways in which protection may be provided against EHs. Most commonly, protection is provided by virtue of structural or equipment withstand capability against the EH. In other cases, however, equipment may not be resilient to the hazard and protection may be provided by back-up equipment</w:t>
      </w:r>
      <w:r w:rsidR="004E10B1" w:rsidRPr="004E10B1">
        <w:t xml:space="preserve"> </w:t>
      </w:r>
      <w:r w:rsidR="004E10B1">
        <w:t>that is adequately diverse or segregated</w:t>
      </w:r>
      <w:r>
        <w:t>. The two cases are discussed below.</w:t>
      </w:r>
      <w:bookmarkEnd w:id="1069"/>
      <w:bookmarkEnd w:id="1070"/>
    </w:p>
    <w:p w14:paraId="33AA51BD" w14:textId="14E15F85" w:rsidR="00512502" w:rsidRPr="00F41695" w:rsidRDefault="00512502" w:rsidP="00F41695">
      <w:pPr>
        <w:pStyle w:val="Appendix"/>
        <w:numPr>
          <w:ilvl w:val="3"/>
          <w:numId w:val="73"/>
        </w:numPr>
        <w:tabs>
          <w:tab w:val="left" w:pos="993"/>
        </w:tabs>
        <w:ind w:left="284" w:hanging="284"/>
        <w:rPr>
          <w:b/>
          <w:bCs/>
          <w:sz w:val="24"/>
          <w:szCs w:val="10"/>
        </w:rPr>
      </w:pPr>
      <w:bookmarkStart w:id="1071" w:name="_Toc140137286"/>
      <w:bookmarkStart w:id="1072" w:name="_Toc473126378"/>
      <w:bookmarkStart w:id="1073" w:name="_Toc473127998"/>
      <w:r w:rsidRPr="00F41695">
        <w:rPr>
          <w:b/>
          <w:bCs/>
          <w:sz w:val="24"/>
          <w:szCs w:val="10"/>
        </w:rPr>
        <w:t xml:space="preserve">Protection by </w:t>
      </w:r>
      <w:r w:rsidR="0052119E">
        <w:rPr>
          <w:b/>
          <w:bCs/>
          <w:sz w:val="24"/>
          <w:szCs w:val="10"/>
        </w:rPr>
        <w:t>s</w:t>
      </w:r>
      <w:r w:rsidRPr="00F41695">
        <w:rPr>
          <w:b/>
          <w:bCs/>
          <w:sz w:val="24"/>
          <w:szCs w:val="10"/>
        </w:rPr>
        <w:t xml:space="preserve">tructure or </w:t>
      </w:r>
      <w:r w:rsidR="0052119E">
        <w:rPr>
          <w:b/>
          <w:bCs/>
          <w:sz w:val="24"/>
          <w:szCs w:val="10"/>
        </w:rPr>
        <w:t>e</w:t>
      </w:r>
      <w:r w:rsidRPr="00F41695">
        <w:rPr>
          <w:b/>
          <w:bCs/>
          <w:sz w:val="24"/>
          <w:szCs w:val="10"/>
        </w:rPr>
        <w:t xml:space="preserve">quipment </w:t>
      </w:r>
      <w:r w:rsidR="0052119E">
        <w:rPr>
          <w:b/>
          <w:bCs/>
          <w:sz w:val="24"/>
          <w:szCs w:val="10"/>
        </w:rPr>
        <w:t>w</w:t>
      </w:r>
      <w:r w:rsidRPr="00F41695">
        <w:rPr>
          <w:b/>
          <w:bCs/>
          <w:sz w:val="24"/>
          <w:szCs w:val="10"/>
        </w:rPr>
        <w:t xml:space="preserve">ithstand </w:t>
      </w:r>
      <w:r w:rsidR="0052119E">
        <w:rPr>
          <w:b/>
          <w:bCs/>
          <w:sz w:val="24"/>
          <w:szCs w:val="10"/>
        </w:rPr>
        <w:t>c</w:t>
      </w:r>
      <w:r w:rsidRPr="00F41695">
        <w:rPr>
          <w:b/>
          <w:bCs/>
          <w:sz w:val="24"/>
          <w:szCs w:val="10"/>
        </w:rPr>
        <w:t>apability</w:t>
      </w:r>
      <w:bookmarkEnd w:id="1071"/>
    </w:p>
    <w:p w14:paraId="280E8904" w14:textId="5980722E" w:rsidR="00512502" w:rsidRDefault="00512502" w:rsidP="000D6BF8">
      <w:pPr>
        <w:pStyle w:val="F9-Paragraph"/>
        <w:ind w:hanging="502"/>
      </w:pPr>
      <w:bookmarkStart w:id="1074" w:name="_Ref475371340"/>
      <w:r>
        <w:t>Where the primary protection against an EH is by virtue of the withstand capability of a safety related structure not involving active components (often referred to as massive and passive) the application of the single failure criterion is generally not applicable (e.g., a sea wall to protect against coastal flooding). The reliability of a structure or system is likely to be a function of the hazard severity (the reliability often characterised by a fragility function). If the structure / system does involve active components</w:t>
      </w:r>
      <w:r w:rsidR="00286C9D" w:rsidRPr="000D6BF8">
        <w:footnoteReference w:id="18"/>
      </w:r>
      <w:r>
        <w:t xml:space="preserve"> (although this is not common), the safety function should still be single failure tolerant. In this case single random failure (applied as appropriate to the active components) should be assumed to occur over and above any failures relating the hazard impact. The inspector is advised to liaise with </w:t>
      </w:r>
      <w:r w:rsidR="00D64835">
        <w:t>FS</w:t>
      </w:r>
      <w:r>
        <w:t xml:space="preserve"> specialist inspectors to clarify the application of the single failure criterion to systems consisting of passive structures with active components.</w:t>
      </w:r>
      <w:bookmarkEnd w:id="1072"/>
      <w:bookmarkEnd w:id="1073"/>
      <w:bookmarkEnd w:id="1074"/>
    </w:p>
    <w:p w14:paraId="50AB319F" w14:textId="21721EFE" w:rsidR="00512502" w:rsidRPr="000D6BF8" w:rsidRDefault="00512502" w:rsidP="000D6BF8">
      <w:pPr>
        <w:pStyle w:val="F9-Paragraph"/>
        <w:ind w:hanging="502"/>
      </w:pPr>
      <w:bookmarkStart w:id="1075" w:name="_Toc473126380"/>
      <w:bookmarkStart w:id="1076" w:name="_Toc473128000"/>
      <w:r>
        <w:t xml:space="preserve">Where massive </w:t>
      </w:r>
      <w:r w:rsidRPr="002B7F7F">
        <w:t>and passive structures are employed, the concept of single random failure is not applicable</w:t>
      </w:r>
      <w:r w:rsidR="00C06291" w:rsidRPr="000D6BF8">
        <w:footnoteReference w:id="19"/>
      </w:r>
      <w:r w:rsidRPr="002B7F7F">
        <w:t xml:space="preserve">. </w:t>
      </w:r>
      <w:r w:rsidRPr="00591F14">
        <w:t>As i</w:t>
      </w:r>
      <w:r w:rsidRPr="002B7F7F">
        <w:t xml:space="preserve">t is not reasonable to assume a massive or passive structure may randomly </w:t>
      </w:r>
      <w:r>
        <w:t>fail in such a way that the safety function is lost. There may be a possibility of a design shortfall or manufacture / material deficiency, but that is not a random failure in the sense of the single failure criterion as it is a function of the hazard impact. Such vulnerabilities should be accounted for in the assessment of the structural reliability / fragility.</w:t>
      </w:r>
      <w:bookmarkEnd w:id="1075"/>
      <w:bookmarkEnd w:id="1076"/>
      <w:r>
        <w:t xml:space="preserve"> Such considerations are not generally the preserve of EHs specialists, instead reference should be made to the civil engineering and mechanical disciplines.</w:t>
      </w:r>
      <w:bookmarkStart w:id="1077" w:name="_Toc473126382"/>
      <w:bookmarkStart w:id="1078" w:name="_Toc473128002"/>
    </w:p>
    <w:p w14:paraId="529B926D" w14:textId="2D617DFA" w:rsidR="00512502" w:rsidRPr="00F41695" w:rsidRDefault="00512502" w:rsidP="00F41695">
      <w:pPr>
        <w:pStyle w:val="Appendix"/>
        <w:numPr>
          <w:ilvl w:val="3"/>
          <w:numId w:val="73"/>
        </w:numPr>
        <w:ind w:left="993" w:hanging="993"/>
        <w:rPr>
          <w:b/>
          <w:bCs/>
          <w:sz w:val="24"/>
          <w:szCs w:val="10"/>
        </w:rPr>
      </w:pPr>
      <w:bookmarkStart w:id="1079" w:name="_Toc140137287"/>
      <w:r w:rsidRPr="00F41695">
        <w:rPr>
          <w:b/>
          <w:bCs/>
          <w:sz w:val="24"/>
          <w:szCs w:val="10"/>
        </w:rPr>
        <w:t xml:space="preserve">Protection by </w:t>
      </w:r>
      <w:r w:rsidR="0052119E">
        <w:rPr>
          <w:b/>
          <w:bCs/>
          <w:sz w:val="24"/>
          <w:szCs w:val="10"/>
        </w:rPr>
        <w:t>p</w:t>
      </w:r>
      <w:r w:rsidRPr="00F41695">
        <w:rPr>
          <w:b/>
          <w:bCs/>
          <w:sz w:val="24"/>
          <w:szCs w:val="10"/>
        </w:rPr>
        <w:t xml:space="preserve">rovision of </w:t>
      </w:r>
      <w:r w:rsidR="0052119E">
        <w:rPr>
          <w:b/>
          <w:bCs/>
          <w:sz w:val="24"/>
          <w:szCs w:val="10"/>
        </w:rPr>
        <w:t>b</w:t>
      </w:r>
      <w:r w:rsidRPr="00F41695">
        <w:rPr>
          <w:b/>
          <w:bCs/>
          <w:sz w:val="24"/>
          <w:szCs w:val="10"/>
        </w:rPr>
        <w:t xml:space="preserve">ack-up </w:t>
      </w:r>
      <w:r w:rsidR="0052119E">
        <w:rPr>
          <w:b/>
          <w:bCs/>
          <w:sz w:val="24"/>
          <w:szCs w:val="10"/>
        </w:rPr>
        <w:t>e</w:t>
      </w:r>
      <w:r w:rsidRPr="00F41695">
        <w:rPr>
          <w:b/>
          <w:bCs/>
          <w:sz w:val="24"/>
          <w:szCs w:val="10"/>
        </w:rPr>
        <w:t>quipment</w:t>
      </w:r>
      <w:bookmarkEnd w:id="1079"/>
    </w:p>
    <w:p w14:paraId="354D4E7E" w14:textId="76BA125C" w:rsidR="00512502" w:rsidRDefault="00512502" w:rsidP="000D6BF8">
      <w:pPr>
        <w:pStyle w:val="F9-Paragraph"/>
        <w:ind w:hanging="502"/>
      </w:pPr>
      <w:r>
        <w:t xml:space="preserve">In some cases, the single failure criterion applies to EHs in a similar way to that of internal plant faults. Here an EH may cause a failure of a duty system </w:t>
      </w:r>
      <w:r>
        <w:lastRenderedPageBreak/>
        <w:t>and protection against the hazard is secured through the deployment of a back-up system. For example, electrical supplies could be vulnerable to flooding, and a back-up diesel generator system may provide essential power supplies. The diesel generator group would be expected to be single-failure tolerant</w:t>
      </w:r>
      <w:r w:rsidRPr="000D6BF8">
        <w:footnoteReference w:id="20"/>
      </w:r>
      <w:r>
        <w:t>. The concept of “random” failure is not so straight forward if the hazard can also affect the reliability of the back-up system. In principle though, the single failure criterion is still applicable as the back-up system is likely to have active components that could be vulnerable to random failure. As discussed above</w:t>
      </w:r>
      <w:r w:rsidR="00FD3831">
        <w:t>,</w:t>
      </w:r>
      <w:r>
        <w:t xml:space="preserve"> the inspector is advised to liaise with </w:t>
      </w:r>
      <w:r w:rsidR="00D64835">
        <w:t>FS</w:t>
      </w:r>
      <w:r>
        <w:t xml:space="preserve"> specialist inspectors to check that single failure tolerance and system reliability claims are appropriate.</w:t>
      </w:r>
      <w:bookmarkEnd w:id="1077"/>
      <w:bookmarkEnd w:id="1078"/>
    </w:p>
    <w:p w14:paraId="71C90B04" w14:textId="685A90E7" w:rsidR="00512502" w:rsidRPr="00EE0309" w:rsidRDefault="00512502" w:rsidP="00B2153F">
      <w:pPr>
        <w:pStyle w:val="Appendix"/>
        <w:numPr>
          <w:ilvl w:val="2"/>
          <w:numId w:val="73"/>
        </w:numPr>
        <w:rPr>
          <w:sz w:val="28"/>
          <w:szCs w:val="12"/>
        </w:rPr>
      </w:pPr>
      <w:bookmarkStart w:id="1080" w:name="_Toc473126383"/>
      <w:bookmarkStart w:id="1081" w:name="_Toc473128003"/>
      <w:bookmarkStart w:id="1082" w:name="_Ref475373715"/>
      <w:bookmarkStart w:id="1083" w:name="_Ref475373993"/>
      <w:bookmarkStart w:id="1084" w:name="_Ref139550083"/>
      <w:bookmarkStart w:id="1085" w:name="_Toc140137288"/>
      <w:bookmarkEnd w:id="1064"/>
      <w:r w:rsidRPr="00EE0309">
        <w:rPr>
          <w:sz w:val="28"/>
          <w:szCs w:val="12"/>
        </w:rPr>
        <w:t>Reliability, redundancy, diversity, and segregation</w:t>
      </w:r>
      <w:bookmarkEnd w:id="1080"/>
      <w:bookmarkEnd w:id="1081"/>
      <w:bookmarkEnd w:id="1082"/>
      <w:bookmarkEnd w:id="1083"/>
      <w:bookmarkEnd w:id="1084"/>
      <w:bookmarkEnd w:id="1085"/>
      <w:r w:rsidRPr="00EE0309">
        <w:rPr>
          <w:sz w:val="28"/>
          <w:szCs w:val="12"/>
        </w:rPr>
        <w:t xml:space="preserve"> </w:t>
      </w:r>
    </w:p>
    <w:p w14:paraId="48B89116" w14:textId="13848DDC" w:rsidR="00512502" w:rsidRPr="000D6BF8" w:rsidRDefault="00512502" w:rsidP="000D6BF8">
      <w:pPr>
        <w:pStyle w:val="F9-Paragraph"/>
        <w:ind w:hanging="502"/>
      </w:pPr>
      <w:r>
        <w:t>In assessing safety systems claimed to mitigate the effects of EHs, in conjunction with the FS inspector, the EH inspector should have due regard to SAPs EDR.1, 2 and 3. EHs may particularly give rise to common mode or common cause failures. Good design against EHs makes use of redundancy, diversity and segregation to mitigate the effects of common mode and common cause effects. The inspectors should seek evidence of these features in new facilities. An ALARP based proportionate approach to the implementatio</w:t>
      </w:r>
      <w:bookmarkStart w:id="1086" w:name="_Ref448411139"/>
      <w:bookmarkStart w:id="1087" w:name="_Toc462321793"/>
      <w:bookmarkStart w:id="1088" w:name="_Toc473126384"/>
      <w:bookmarkStart w:id="1089" w:name="_Toc473128004"/>
      <w:r>
        <w:t>n of such features should be taken for the modification of existing facilities.</w:t>
      </w:r>
      <w:bookmarkEnd w:id="1086"/>
      <w:bookmarkEnd w:id="1087"/>
      <w:bookmarkEnd w:id="1088"/>
      <w:bookmarkEnd w:id="1089"/>
      <w:r w:rsidR="00714729">
        <w:t xml:space="preserve"> Diverse systems tend to be more resilient to E</w:t>
      </w:r>
      <w:r w:rsidR="00DE7760">
        <w:t>H</w:t>
      </w:r>
      <w:r w:rsidR="00714729">
        <w:t xml:space="preserve">s than systems with identical redundant components, </w:t>
      </w:r>
      <w:r w:rsidR="009F7C5E">
        <w:t>e.g.,</w:t>
      </w:r>
      <w:r w:rsidR="00714729">
        <w:t xml:space="preserve"> a component qualified against seismic events combined with one qualified against flooding may provide the required level of reliability. </w:t>
      </w:r>
      <w:r w:rsidR="009F7C5E">
        <w:t>However,</w:t>
      </w:r>
      <w:r w:rsidR="00714729">
        <w:t xml:space="preserve"> the potential for combined hazards should be considered in such cases.</w:t>
      </w:r>
    </w:p>
    <w:p w14:paraId="6BA2E3EA" w14:textId="0FB57A29" w:rsidR="00512502" w:rsidRPr="000D6BF8" w:rsidRDefault="00512502" w:rsidP="000D6BF8">
      <w:pPr>
        <w:pStyle w:val="F9-Paragraph"/>
        <w:ind w:hanging="502"/>
      </w:pPr>
      <w:bookmarkStart w:id="1090" w:name="_Toc473126424"/>
      <w:bookmarkStart w:id="1091" w:name="_Toc473128044"/>
      <w:bookmarkStart w:id="1092" w:name="_Ref473547679"/>
      <w:r>
        <w:t>Following an EH event</w:t>
      </w:r>
      <w:r w:rsidR="002570FE">
        <w:t>,</w:t>
      </w:r>
      <w:r>
        <w:t xml:space="preserve"> the plant may have a reduced capability to accommodate the effects of other hazards until such times as repairs have been undertaken. Licensees should have in place systems to rapidly assess any damage caused by EHs, assess any potential undermining of any safety case claims and, if necessary, undertake repairs in a timescale appropriate to the increase in risk posed. If repairs cannot be made readily, then mitigation strategies should be developed to reduce the residual risk to ALARP. At all times, however, the plant / SSCs must be operated within the conditions of its Operating Rules</w:t>
      </w:r>
      <w:r w:rsidR="00867C5A">
        <w:t xml:space="preserve"> (LC 23)</w:t>
      </w:r>
      <w:r>
        <w:t>.</w:t>
      </w:r>
      <w:bookmarkEnd w:id="1090"/>
      <w:bookmarkEnd w:id="1091"/>
      <w:bookmarkEnd w:id="1092"/>
      <w:r w:rsidR="009F7C5E" w:rsidRPr="009F7C5E">
        <w:t xml:space="preserve"> </w:t>
      </w:r>
      <w:r w:rsidR="009F7C5E">
        <w:t>The safety case may prescribe Operating Rules to cover specified states of repair and maintenance, e.g., reduced power operation of a reactor while a system is being inspected or repaired.</w:t>
      </w:r>
    </w:p>
    <w:p w14:paraId="01EFFC97" w14:textId="77777777" w:rsidR="00132AFF" w:rsidRDefault="00132AFF" w:rsidP="00132AFF">
      <w:pPr>
        <w:tabs>
          <w:tab w:val="left" w:pos="1440"/>
        </w:tabs>
        <w:spacing w:line="240" w:lineRule="auto"/>
        <w:contextualSpacing/>
      </w:pPr>
    </w:p>
    <w:p w14:paraId="6EB9CFD8" w14:textId="77777777" w:rsidR="00132AFF" w:rsidRDefault="00132AFF" w:rsidP="00132AFF">
      <w:pPr>
        <w:tabs>
          <w:tab w:val="left" w:pos="1440"/>
        </w:tabs>
        <w:spacing w:line="240" w:lineRule="auto"/>
        <w:contextualSpacing/>
      </w:pPr>
    </w:p>
    <w:p w14:paraId="0D537461" w14:textId="77777777" w:rsidR="00E52545" w:rsidRDefault="00E52545" w:rsidP="00132AFF">
      <w:pPr>
        <w:spacing w:after="0" w:line="240" w:lineRule="auto"/>
      </w:pPr>
    </w:p>
    <w:sectPr w:rsidR="00E52545" w:rsidSect="000B2BCD">
      <w:headerReference w:type="default" r:id="rId23"/>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GADkAIAAtACAAIwAgAFAAYQByAGEAZwByAGEAcABo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DD2E0" w14:textId="77777777" w:rsidR="00035BD5" w:rsidRDefault="00035BD5" w:rsidP="007D199A">
      <w:pPr>
        <w:spacing w:after="0"/>
      </w:pPr>
      <w:r>
        <w:separator/>
      </w:r>
    </w:p>
    <w:p w14:paraId="06FFC2B4" w14:textId="77777777" w:rsidR="00035BD5" w:rsidRDefault="00035BD5"/>
    <w:p w14:paraId="1CDD3960" w14:textId="77777777" w:rsidR="00035BD5" w:rsidRDefault="00035BD5"/>
  </w:endnote>
  <w:endnote w:type="continuationSeparator" w:id="0">
    <w:p w14:paraId="00BC222D" w14:textId="77777777" w:rsidR="00035BD5" w:rsidRDefault="00035BD5" w:rsidP="007D199A">
      <w:pPr>
        <w:spacing w:after="0"/>
      </w:pPr>
      <w:r>
        <w:continuationSeparator/>
      </w:r>
    </w:p>
    <w:p w14:paraId="4C77D005" w14:textId="77777777" w:rsidR="00035BD5" w:rsidRDefault="00035BD5"/>
    <w:p w14:paraId="2B742816" w14:textId="77777777" w:rsidR="00035BD5" w:rsidRDefault="00035BD5"/>
  </w:endnote>
  <w:endnote w:type="continuationNotice" w:id="1">
    <w:p w14:paraId="0913664B" w14:textId="77777777" w:rsidR="00035BD5" w:rsidRDefault="00035B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361B8932" w:rsidR="007C3C1D" w:rsidRPr="006A525B" w:rsidRDefault="006A525B" w:rsidP="007C3C1D">
    <w:pPr>
      <w:pStyle w:val="Footer"/>
      <w:jc w:val="left"/>
      <w:rPr>
        <w:szCs w:val="24"/>
      </w:rPr>
    </w:pPr>
    <w:r w:rsidRPr="006A525B">
      <w:rPr>
        <w:szCs w:val="24"/>
      </w:rPr>
      <w:t>ONR-DOC-TEMP-</w:t>
    </w:r>
    <w:r w:rsidR="001321E2">
      <w:rPr>
        <w:szCs w:val="24"/>
      </w:rPr>
      <w:t>002</w:t>
    </w:r>
    <w:r w:rsidRPr="006A525B">
      <w:rPr>
        <w:szCs w:val="24"/>
      </w:rPr>
      <w:t xml:space="preserve"> (Issue </w:t>
    </w:r>
    <w:r w:rsidR="001321E2">
      <w:rPr>
        <w:szCs w:val="24"/>
      </w:rPr>
      <w:t>5</w:t>
    </w:r>
    <w:r w:rsidR="00CE1DB2">
      <w:rPr>
        <w:szCs w:val="24"/>
      </w:rPr>
      <w:t>.</w:t>
    </w:r>
    <w:r w:rsidR="003C18C4">
      <w:rPr>
        <w:szCs w:val="24"/>
      </w:rPr>
      <w:t>2</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44C0D" w14:textId="77777777" w:rsidR="00CE6198" w:rsidRDefault="00CE6198"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208BD" w14:textId="2343CE92" w:rsidR="00CE6198" w:rsidRPr="000B2BCD" w:rsidRDefault="00261FB6" w:rsidP="000B2BCD">
    <w:pPr>
      <w:pStyle w:val="Footer"/>
      <w:spacing w:before="240" w:after="0" w:line="240" w:lineRule="auto"/>
      <w:rPr>
        <w:rStyle w:val="PageNumber"/>
        <w:color w:val="22413A"/>
        <w:sz w:val="24"/>
      </w:rPr>
    </w:pPr>
    <w:r w:rsidRPr="008229BA">
      <w:t xml:space="preserve">Page </w:t>
    </w:r>
    <w:r w:rsidRPr="008229BA">
      <w:fldChar w:fldCharType="begin"/>
    </w:r>
    <w:r w:rsidRPr="008229BA">
      <w:instrText xml:space="preserve"> PAGE   \* MERGEFORMAT </w:instrText>
    </w:r>
    <w:r w:rsidRPr="008229BA">
      <w:fldChar w:fldCharType="separate"/>
    </w:r>
    <w:r>
      <w:t>4</w:t>
    </w:r>
    <w:r w:rsidRPr="008229BA">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C87D4" w14:textId="07FF8408" w:rsidR="000B2BCD" w:rsidRPr="000B2BCD" w:rsidRDefault="00A8606E" w:rsidP="000B2BCD">
    <w:pPr>
      <w:pStyle w:val="Footer"/>
      <w:spacing w:before="240" w:after="0" w:line="240" w:lineRule="auto"/>
      <w:rPr>
        <w:rStyle w:val="PageNumber"/>
        <w:color w:val="22413A"/>
        <w:sz w:val="24"/>
      </w:rPr>
    </w:pPr>
    <w:r w:rsidRPr="00A8606E">
      <w:rPr>
        <w:rStyle w:val="PageNumber"/>
        <w:color w:val="22413A"/>
        <w:sz w:val="24"/>
      </w:rPr>
      <w:t xml:space="preserve">Page | </w:t>
    </w:r>
    <w:r w:rsidRPr="00A8606E">
      <w:rPr>
        <w:rStyle w:val="PageNumber"/>
        <w:color w:val="22413A"/>
        <w:sz w:val="24"/>
      </w:rPr>
      <w:fldChar w:fldCharType="begin"/>
    </w:r>
    <w:r w:rsidRPr="00A8606E">
      <w:rPr>
        <w:rStyle w:val="PageNumber"/>
        <w:color w:val="22413A"/>
        <w:sz w:val="24"/>
      </w:rPr>
      <w:instrText xml:space="preserve"> PAGE   \* MERGEFORMAT </w:instrText>
    </w:r>
    <w:r w:rsidRPr="00A8606E">
      <w:rPr>
        <w:rStyle w:val="PageNumber"/>
        <w:color w:val="22413A"/>
        <w:sz w:val="24"/>
      </w:rPr>
      <w:fldChar w:fldCharType="separate"/>
    </w:r>
    <w:r w:rsidRPr="00A8606E">
      <w:rPr>
        <w:rStyle w:val="PageNumber"/>
        <w:noProof/>
        <w:color w:val="22413A"/>
        <w:sz w:val="24"/>
      </w:rPr>
      <w:t>1</w:t>
    </w:r>
    <w:r w:rsidRPr="00A8606E">
      <w:rPr>
        <w:rStyle w:val="PageNumber"/>
        <w:noProof/>
        <w:color w:val="22413A"/>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C3FAEA" w14:textId="77777777" w:rsidR="00035BD5" w:rsidRPr="005E0344" w:rsidRDefault="00035BD5" w:rsidP="005E0344">
      <w:pPr>
        <w:spacing w:after="120"/>
        <w:rPr>
          <w:color w:val="000000" w:themeColor="text2"/>
        </w:rPr>
      </w:pPr>
      <w:r w:rsidRPr="005E0344">
        <w:rPr>
          <w:color w:val="000000" w:themeColor="text2"/>
        </w:rPr>
        <w:separator/>
      </w:r>
    </w:p>
    <w:p w14:paraId="237DAC24" w14:textId="77777777" w:rsidR="00035BD5" w:rsidRDefault="00035BD5"/>
  </w:footnote>
  <w:footnote w:type="continuationSeparator" w:id="0">
    <w:p w14:paraId="1B8ACAA3" w14:textId="77777777" w:rsidR="00035BD5" w:rsidRPr="005E0344" w:rsidRDefault="00035BD5" w:rsidP="0090581D">
      <w:pPr>
        <w:spacing w:after="120"/>
        <w:rPr>
          <w:color w:val="000000" w:themeColor="text2"/>
        </w:rPr>
      </w:pPr>
      <w:r w:rsidRPr="005E0344">
        <w:rPr>
          <w:color w:val="000000" w:themeColor="text2"/>
        </w:rPr>
        <w:continuationSeparator/>
      </w:r>
    </w:p>
    <w:p w14:paraId="368C969F" w14:textId="77777777" w:rsidR="00035BD5" w:rsidRDefault="00035BD5"/>
    <w:p w14:paraId="4A7B2F92" w14:textId="77777777" w:rsidR="00035BD5" w:rsidRDefault="00035BD5"/>
  </w:footnote>
  <w:footnote w:type="continuationNotice" w:id="1">
    <w:p w14:paraId="1E3466FF" w14:textId="77777777" w:rsidR="00035BD5" w:rsidRDefault="00035BD5">
      <w:pPr>
        <w:spacing w:after="0"/>
      </w:pPr>
    </w:p>
    <w:p w14:paraId="5B600081" w14:textId="77777777" w:rsidR="00035BD5" w:rsidRDefault="00035BD5"/>
    <w:p w14:paraId="0D0033BA" w14:textId="77777777" w:rsidR="00035BD5" w:rsidRDefault="00035BD5"/>
  </w:footnote>
  <w:footnote w:id="2">
    <w:p w14:paraId="55E09694" w14:textId="77777777" w:rsidR="00930799" w:rsidRDefault="00930799" w:rsidP="00930799">
      <w:pPr>
        <w:pStyle w:val="FootnoteText"/>
        <w:rPr>
          <w:i/>
        </w:rPr>
      </w:pPr>
      <w:r>
        <w:rPr>
          <w:rStyle w:val="FootnoteReference"/>
          <w:i/>
        </w:rPr>
        <w:footnoteRef/>
      </w:r>
      <w:r>
        <w:t xml:space="preserve"> Including severe accident scenarios if relevant.</w:t>
      </w:r>
    </w:p>
  </w:footnote>
  <w:footnote w:id="3">
    <w:p w14:paraId="6154A4CE" w14:textId="07A1EC02" w:rsidR="003C67D0" w:rsidRDefault="003C67D0" w:rsidP="00552E59">
      <w:pPr>
        <w:pStyle w:val="FootnoteText"/>
        <w:ind w:left="0" w:firstLine="0"/>
      </w:pPr>
      <w:r>
        <w:rPr>
          <w:rStyle w:val="FootnoteReference"/>
        </w:rPr>
        <w:footnoteRef/>
      </w:r>
      <w:r>
        <w:t xml:space="preserve"> </w:t>
      </w:r>
      <w:r w:rsidR="002A3DD4">
        <w:t xml:space="preserve">It should be noted that when the term licensee is used in this guidance it may also apply to requesting parties or potential </w:t>
      </w:r>
      <w:r w:rsidR="00216477">
        <w:t>licensees</w:t>
      </w:r>
      <w:r w:rsidR="00CA78B6">
        <w:t>.</w:t>
      </w:r>
    </w:p>
  </w:footnote>
  <w:footnote w:id="4">
    <w:p w14:paraId="7022CFE8" w14:textId="77777777" w:rsidR="005F0580" w:rsidRDefault="005F0580" w:rsidP="00605B43">
      <w:pPr>
        <w:pStyle w:val="FootnoteText"/>
        <w:ind w:left="0" w:firstLine="0"/>
        <w:rPr>
          <w:i/>
        </w:rPr>
      </w:pPr>
      <w:r>
        <w:rPr>
          <w:rStyle w:val="FootnoteReference"/>
          <w:i/>
        </w:rPr>
        <w:footnoteRef/>
      </w:r>
      <w:r>
        <w:t xml:space="preserve"> This guide uses the term “hazard” in two ways. Firstly, as a reference to an event that has the potential to lead to an accident; this usage is consistent with that in health and safety generally. Secondly, as a reference to radiological hazard, which is a usage common within the nuclear industry and represents the consequential effects arising from a release of nuclear material. The SAPs take advantage of both forms of use. The text in this guide makes clear explicitly, or from the context, which form is intended.</w:t>
      </w:r>
    </w:p>
  </w:footnote>
  <w:footnote w:id="5">
    <w:p w14:paraId="42A1E6F7" w14:textId="1724705F" w:rsidR="008E2914" w:rsidRDefault="008E2914" w:rsidP="008E2914">
      <w:pPr>
        <w:pStyle w:val="FootnoteText"/>
        <w:ind w:left="0" w:firstLine="0"/>
        <w:rPr>
          <w:i/>
        </w:rPr>
      </w:pPr>
      <w:r>
        <w:rPr>
          <w:rStyle w:val="FootnoteReference"/>
          <w:i/>
        </w:rPr>
        <w:footnoteRef/>
      </w:r>
      <w:r>
        <w:t xml:space="preserve"> EHs specialist inspectors are supported by a panel of technical experts in seismic (and related disciplines), meteorology and coastal flooding hazards. The latter two hazard areas are supported by expertise in climate change.</w:t>
      </w:r>
    </w:p>
  </w:footnote>
  <w:footnote w:id="6">
    <w:p w14:paraId="10DCB6BB" w14:textId="0B872D47" w:rsidR="00B573A9" w:rsidRDefault="00B573A9" w:rsidP="00EC002D">
      <w:pPr>
        <w:pStyle w:val="FootnoteText"/>
        <w:ind w:left="0" w:firstLine="0"/>
      </w:pPr>
      <w:r>
        <w:rPr>
          <w:rStyle w:val="FootnoteReference"/>
        </w:rPr>
        <w:footnoteRef/>
      </w:r>
      <w:r>
        <w:t xml:space="preserve"> </w:t>
      </w:r>
      <w:r w:rsidR="00B80903">
        <w:t>An example here could be l</w:t>
      </w:r>
      <w:r w:rsidR="002B4256">
        <w:t xml:space="preserve">oss of offsite power </w:t>
      </w:r>
      <w:r w:rsidR="00B80903">
        <w:t xml:space="preserve">(LOOP) </w:t>
      </w:r>
      <w:r w:rsidR="000F4FD4">
        <w:t xml:space="preserve">as </w:t>
      </w:r>
      <w:r w:rsidR="00BB742A">
        <w:t>a consequence of EHs</w:t>
      </w:r>
      <w:r w:rsidR="000F4FD4">
        <w:t xml:space="preserve">. </w:t>
      </w:r>
      <w:r w:rsidR="00FF50B6">
        <w:t xml:space="preserve">The consideration of </w:t>
      </w:r>
      <w:r w:rsidR="004D4C1D">
        <w:rPr>
          <w:rStyle w:val="ui-provider"/>
        </w:rPr>
        <w:t>LOOP usually requires some cross-cutting discussion between disciplines, e.g. EH and Electrical Engineering, to clarify which discipline will take the lead on the topic or possibly how to divide it between disciplines</w:t>
      </w:r>
      <w:r w:rsidR="00F163FD">
        <w:rPr>
          <w:rStyle w:val="ui-provider"/>
        </w:rPr>
        <w:t>.</w:t>
      </w:r>
    </w:p>
  </w:footnote>
  <w:footnote w:id="7">
    <w:p w14:paraId="7BFD75D0" w14:textId="77777777" w:rsidR="00642F4D" w:rsidRDefault="00642F4D" w:rsidP="00547634">
      <w:pPr>
        <w:pStyle w:val="FootnoteText"/>
        <w:ind w:left="0" w:firstLine="0"/>
        <w:rPr>
          <w:i/>
        </w:rPr>
      </w:pPr>
      <w:r>
        <w:rPr>
          <w:rStyle w:val="FootnoteReference"/>
          <w:i/>
        </w:rPr>
        <w:footnoteRef/>
      </w:r>
      <w:r>
        <w:t xml:space="preserve"> Weather and flood hazards are often referred to with the inclusion of the descriptor “extreme”. This terminology is not generally used in this guide, except occasionally to provide emphasis.</w:t>
      </w:r>
    </w:p>
  </w:footnote>
  <w:footnote w:id="8">
    <w:p w14:paraId="62C6AA38" w14:textId="620FCA2E" w:rsidR="008E525E" w:rsidRDefault="008E525E" w:rsidP="00547634">
      <w:pPr>
        <w:pStyle w:val="FootnoteText"/>
        <w:ind w:left="0" w:firstLine="0"/>
        <w:rPr>
          <w:i/>
        </w:rPr>
      </w:pPr>
      <w:r w:rsidRPr="00547634">
        <w:rPr>
          <w:rStyle w:val="FootnoteReference"/>
          <w:i/>
        </w:rPr>
        <w:footnoteRef/>
      </w:r>
      <w:r w:rsidRPr="00547634">
        <w:t xml:space="preserve"> Note that the Government has pre-determined the location of potential new reactor build sites in the UK</w:t>
      </w:r>
      <w:sdt>
        <w:sdtPr>
          <w:id w:val="-1670548202"/>
          <w:citation/>
        </w:sdtPr>
        <w:sdtContent>
          <w:r w:rsidR="00852679" w:rsidRPr="00547634">
            <w:fldChar w:fldCharType="begin"/>
          </w:r>
          <w:r w:rsidR="00F12D69">
            <w:instrText xml:space="preserve">CITATION Depdf \l 2057 </w:instrText>
          </w:r>
          <w:r w:rsidR="00852679" w:rsidRPr="00547634">
            <w:fldChar w:fldCharType="separate"/>
          </w:r>
          <w:r w:rsidR="002A4EED">
            <w:rPr>
              <w:noProof/>
            </w:rPr>
            <w:t xml:space="preserve"> </w:t>
          </w:r>
          <w:r w:rsidR="002A4EED" w:rsidRPr="002A4EED">
            <w:rPr>
              <w:noProof/>
            </w:rPr>
            <w:t>[45]</w:t>
          </w:r>
          <w:r w:rsidR="00852679" w:rsidRPr="00547634">
            <w:fldChar w:fldCharType="end"/>
          </w:r>
        </w:sdtContent>
      </w:sdt>
      <w:r w:rsidRPr="00547634">
        <w:t xml:space="preserve">. These sites are </w:t>
      </w:r>
      <w:r w:rsidR="00E65218">
        <w:t xml:space="preserve">(or would be) </w:t>
      </w:r>
      <w:r w:rsidRPr="00547634">
        <w:t xml:space="preserve">subjected to detailed site-specific hazard analysis by the </w:t>
      </w:r>
      <w:r w:rsidR="00322136">
        <w:t>Site Licence Applicant (</w:t>
      </w:r>
      <w:r w:rsidRPr="00547634">
        <w:t>SLA</w:t>
      </w:r>
      <w:r w:rsidR="00322136">
        <w:t>)</w:t>
      </w:r>
      <w:r w:rsidRPr="00547634">
        <w:t xml:space="preserve"> in order to demonstrate site suitability.</w:t>
      </w:r>
    </w:p>
  </w:footnote>
  <w:footnote w:id="9">
    <w:p w14:paraId="102A51CB" w14:textId="11885AE5" w:rsidR="001B650A" w:rsidRPr="00B22642" w:rsidRDefault="001B650A" w:rsidP="00547634">
      <w:pPr>
        <w:pStyle w:val="FootnoteText"/>
        <w:ind w:left="0" w:firstLine="0"/>
        <w:rPr>
          <w:i/>
        </w:rPr>
      </w:pPr>
      <w:r w:rsidRPr="00B22642">
        <w:rPr>
          <w:rStyle w:val="FootnoteReference"/>
          <w:i/>
        </w:rPr>
        <w:footnoteRef/>
      </w:r>
      <w:r w:rsidRPr="00B22642">
        <w:t xml:space="preserve"> A further </w:t>
      </w:r>
      <w:r w:rsidRPr="009D03C1">
        <w:t xml:space="preserve">report </w:t>
      </w:r>
      <w:sdt>
        <w:sdtPr>
          <w:id w:val="-1358039893"/>
          <w:citation/>
        </w:sdtPr>
        <w:sdtContent>
          <w:r w:rsidR="00F54D2A">
            <w:fldChar w:fldCharType="begin"/>
          </w:r>
          <w:r w:rsidR="00F54D2A">
            <w:instrText xml:space="preserve"> CITATION Decdf \l 2057 </w:instrText>
          </w:r>
          <w:r w:rsidR="00F54D2A">
            <w:fldChar w:fldCharType="separate"/>
          </w:r>
          <w:r w:rsidR="002A4EED" w:rsidRPr="002A4EED">
            <w:rPr>
              <w:noProof/>
            </w:rPr>
            <w:t>[26]</w:t>
          </w:r>
          <w:r w:rsidR="00F54D2A">
            <w:fldChar w:fldCharType="end"/>
          </w:r>
        </w:sdtContent>
      </w:sdt>
      <w:r w:rsidR="00C70210">
        <w:t xml:space="preserve"> </w:t>
      </w:r>
      <w:r w:rsidR="00C70210" w:rsidRPr="00547634">
        <w:rPr>
          <w:rStyle w:val="TSNumberedParagraph1Char"/>
          <w:rFonts w:eastAsia="Calibri"/>
          <w:iCs/>
          <w:sz w:val="20"/>
        </w:rPr>
        <w:t xml:space="preserve">prepared </w:t>
      </w:r>
      <w:r w:rsidRPr="00B22642">
        <w:t>as part of a research project to extend the PSA methodology to better accommodate EHs has provided what it claims is a comprehensive list of EHs to be considered in a Level 1 EHs PSA.</w:t>
      </w:r>
    </w:p>
  </w:footnote>
  <w:footnote w:id="10">
    <w:p w14:paraId="4039716D" w14:textId="2B424DE5" w:rsidR="00F06F95" w:rsidRDefault="00F06F95" w:rsidP="00547634">
      <w:pPr>
        <w:pStyle w:val="FootnoteText"/>
        <w:ind w:left="0" w:firstLine="0"/>
      </w:pPr>
      <w:r w:rsidRPr="00945CA7">
        <w:rPr>
          <w:rStyle w:val="FootnoteReference"/>
        </w:rPr>
        <w:footnoteRef/>
      </w:r>
      <w:r w:rsidRPr="00945CA7">
        <w:t xml:space="preserve"> </w:t>
      </w:r>
      <w:r w:rsidR="006E38DA" w:rsidRPr="00547634">
        <w:t>For most practical purposes the</w:t>
      </w:r>
      <w:r w:rsidR="005308B4" w:rsidRPr="00945CA7">
        <w:t xml:space="preserve"> disparity between </w:t>
      </w:r>
      <w:r w:rsidR="00094056" w:rsidRPr="00547634">
        <w:t xml:space="preserve">annual probability of exceedance vs annual frequency of exceedance </w:t>
      </w:r>
      <w:r w:rsidR="005308B4" w:rsidRPr="00945CA7">
        <w:t>becomes n</w:t>
      </w:r>
      <w:r w:rsidR="00320898" w:rsidRPr="00945CA7">
        <w:t xml:space="preserve">egligible </w:t>
      </w:r>
      <w:r w:rsidR="005308B4" w:rsidRPr="00945CA7">
        <w:t xml:space="preserve">at </w:t>
      </w:r>
      <w:r w:rsidR="00B435D7" w:rsidRPr="00945CA7">
        <w:t>frequencies &lt;</w:t>
      </w:r>
      <w:r w:rsidR="00D02720" w:rsidRPr="00547634">
        <w:t>10</w:t>
      </w:r>
      <w:r w:rsidR="00D02720" w:rsidRPr="00547634">
        <w:rPr>
          <w:vertAlign w:val="superscript"/>
        </w:rPr>
        <w:t>-2</w:t>
      </w:r>
      <w:r w:rsidR="00D02720" w:rsidRPr="00547634">
        <w:t>/y</w:t>
      </w:r>
      <w:r w:rsidR="00BD2019">
        <w:t>.</w:t>
      </w:r>
    </w:p>
  </w:footnote>
  <w:footnote w:id="11">
    <w:p w14:paraId="16834210" w14:textId="3750205E" w:rsidR="00DF4935" w:rsidRPr="00CD3562" w:rsidRDefault="00DF4935" w:rsidP="00547634">
      <w:pPr>
        <w:pStyle w:val="FootnoteText"/>
        <w:ind w:left="0" w:firstLine="0"/>
        <w:rPr>
          <w:iCs/>
          <w:color w:val="7030A0"/>
        </w:rPr>
      </w:pPr>
      <w:r w:rsidRPr="00824090">
        <w:rPr>
          <w:rStyle w:val="FootnoteReference"/>
          <w:i/>
        </w:rPr>
        <w:footnoteRef/>
      </w:r>
      <w:r w:rsidRPr="00824090">
        <w:t xml:space="preserve"> </w:t>
      </w:r>
      <w:r w:rsidRPr="00547634">
        <w:t>Inspectors should note that the conservative 10</w:t>
      </w:r>
      <w:r w:rsidRPr="00547634">
        <w:rPr>
          <w:vertAlign w:val="superscript"/>
        </w:rPr>
        <w:t>-4</w:t>
      </w:r>
      <w:r w:rsidRPr="00547634">
        <w:t xml:space="preserve">/y value </w:t>
      </w:r>
      <w:r w:rsidR="00331A8F" w:rsidRPr="00824090">
        <w:t xml:space="preserve">was originally assumed to be </w:t>
      </w:r>
      <w:r w:rsidRPr="00547634">
        <w:t xml:space="preserve">commensurate with </w:t>
      </w:r>
      <w:r w:rsidR="00960233" w:rsidRPr="00547634">
        <w:t>a mean based</w:t>
      </w:r>
      <w:r w:rsidRPr="00547634">
        <w:t xml:space="preserve"> 10</w:t>
      </w:r>
      <w:r w:rsidRPr="00547634">
        <w:rPr>
          <w:vertAlign w:val="superscript"/>
        </w:rPr>
        <w:t>-5</w:t>
      </w:r>
      <w:r w:rsidRPr="00547634">
        <w:t>/y value</w:t>
      </w:r>
      <w:r w:rsidR="002572CB" w:rsidRPr="00824090">
        <w:t xml:space="preserve"> (refer to Figure 2)</w:t>
      </w:r>
      <w:r w:rsidRPr="00824090">
        <w:t xml:space="preserve"> used for discrete hazards (and other non-EH initiating events</w:t>
      </w:r>
      <w:r w:rsidRPr="00547634">
        <w:t>).</w:t>
      </w:r>
    </w:p>
  </w:footnote>
  <w:footnote w:id="12">
    <w:p w14:paraId="6215B4DE" w14:textId="17F67757" w:rsidR="00B33A92" w:rsidRPr="00F168BE" w:rsidRDefault="00B33A92" w:rsidP="00547634">
      <w:pPr>
        <w:pStyle w:val="FootnoteText"/>
        <w:keepNext/>
        <w:keepLines/>
        <w:ind w:left="0" w:firstLine="0"/>
        <w:rPr>
          <w:i/>
        </w:rPr>
      </w:pPr>
      <w:r w:rsidRPr="00F168BE">
        <w:rPr>
          <w:rStyle w:val="FootnoteReference"/>
          <w:i/>
        </w:rPr>
        <w:footnoteRef/>
      </w:r>
      <w:r w:rsidRPr="00F168BE">
        <w:t xml:space="preserve"> </w:t>
      </w:r>
      <w:r w:rsidRPr="00910415">
        <w:rPr>
          <w:szCs w:val="16"/>
        </w:rPr>
        <w:t>This is generally interpreted as any fault down to a mean frequency of 10</w:t>
      </w:r>
      <w:r w:rsidRPr="00910415">
        <w:rPr>
          <w:szCs w:val="16"/>
          <w:vertAlign w:val="superscript"/>
        </w:rPr>
        <w:t>-5</w:t>
      </w:r>
      <w:r w:rsidRPr="00910415">
        <w:rPr>
          <w:szCs w:val="16"/>
        </w:rPr>
        <w:t>/y.</w:t>
      </w:r>
    </w:p>
  </w:footnote>
  <w:footnote w:id="13">
    <w:p w14:paraId="255152C9" w14:textId="04AF2D3B" w:rsidR="006A65F3" w:rsidRDefault="006A65F3" w:rsidP="00547634">
      <w:pPr>
        <w:pStyle w:val="FootnoteText"/>
        <w:ind w:left="0" w:firstLine="0"/>
      </w:pPr>
      <w:r w:rsidRPr="00B05EED">
        <w:rPr>
          <w:rStyle w:val="FootnoteReference"/>
        </w:rPr>
        <w:footnoteRef/>
      </w:r>
      <w:r w:rsidRPr="00B05EED">
        <w:t xml:space="preserve"> </w:t>
      </w:r>
      <w:r w:rsidRPr="00547634">
        <w:t>A helpful cross-correlation matrix has been included in a recent report by a European Union funded project called ASAMPSA_E, as part of developing a revised EHs PSA methodology</w:t>
      </w:r>
      <w:sdt>
        <w:sdtPr>
          <w:id w:val="-137342624"/>
          <w:citation/>
        </w:sdtPr>
        <w:sdtContent>
          <w:r w:rsidRPr="00547634">
            <w:fldChar w:fldCharType="begin"/>
          </w:r>
          <w:r w:rsidRPr="00547634">
            <w:instrText xml:space="preserve">CITATION Decdf \l 2057 </w:instrText>
          </w:r>
          <w:r w:rsidRPr="00547634">
            <w:fldChar w:fldCharType="separate"/>
          </w:r>
          <w:r w:rsidR="002A4EED">
            <w:rPr>
              <w:noProof/>
            </w:rPr>
            <w:t xml:space="preserve"> </w:t>
          </w:r>
          <w:r w:rsidR="002A4EED" w:rsidRPr="002A4EED">
            <w:rPr>
              <w:noProof/>
            </w:rPr>
            <w:t>[26]</w:t>
          </w:r>
          <w:r w:rsidRPr="00547634">
            <w:fldChar w:fldCharType="end"/>
          </w:r>
        </w:sdtContent>
      </w:sdt>
    </w:p>
  </w:footnote>
  <w:footnote w:id="14">
    <w:p w14:paraId="3C5991B1" w14:textId="55B0C2A6" w:rsidR="00AC7AA0" w:rsidRPr="00F910AD" w:rsidRDefault="00AC7AA0" w:rsidP="00AC7AA0">
      <w:pPr>
        <w:pStyle w:val="FootnoteText"/>
        <w:ind w:left="0" w:firstLine="0"/>
        <w:rPr>
          <w:iCs/>
        </w:rPr>
      </w:pPr>
      <w:r>
        <w:rPr>
          <w:rStyle w:val="FootnoteReference"/>
        </w:rPr>
        <w:footnoteRef/>
      </w:r>
      <w:r>
        <w:t xml:space="preserve"> </w:t>
      </w:r>
      <w:r w:rsidRPr="00F910AD">
        <w:rPr>
          <w:iCs/>
        </w:rPr>
        <w:t>Requesting Party is the generic name given to nuclear reactor system vendors seeking an opportunity to sell their design to a SLA. The SLA becomes the site Licensee once a site licence has been granted.</w:t>
      </w:r>
    </w:p>
    <w:p w14:paraId="625F4FB0" w14:textId="53371275" w:rsidR="00AC7AA0" w:rsidRDefault="00AC7AA0">
      <w:pPr>
        <w:pStyle w:val="FootnoteText"/>
      </w:pPr>
    </w:p>
  </w:footnote>
  <w:footnote w:id="15">
    <w:p w14:paraId="00858510" w14:textId="208104C6" w:rsidR="002E5D63" w:rsidRDefault="002E5D63" w:rsidP="00547634">
      <w:pPr>
        <w:pStyle w:val="FootnoteText"/>
        <w:ind w:left="0" w:firstLine="0"/>
      </w:pPr>
      <w:r>
        <w:rPr>
          <w:rStyle w:val="FootnoteReference"/>
        </w:rPr>
        <w:footnoteRef/>
      </w:r>
      <w:r>
        <w:t xml:space="preserve"> Inspectors should note that there is international precedence for these terms, see WENRA guidance</w:t>
      </w:r>
      <w:r w:rsidR="00C932EA">
        <w:t xml:space="preserve"> at</w:t>
      </w:r>
      <w:r>
        <w:t xml:space="preserve"> Ref.</w:t>
      </w:r>
      <w:sdt>
        <w:sdtPr>
          <w:id w:val="-1475054638"/>
          <w:citation/>
        </w:sdtPr>
        <w:sdtContent>
          <w:r w:rsidR="00DF1EFB">
            <w:fldChar w:fldCharType="begin"/>
          </w:r>
          <w:r w:rsidR="00DF1EFB">
            <w:instrText xml:space="preserve"> CITATION WENns \l 2057 </w:instrText>
          </w:r>
          <w:r w:rsidR="00DF1EFB">
            <w:fldChar w:fldCharType="separate"/>
          </w:r>
          <w:r w:rsidR="002A4EED">
            <w:rPr>
              <w:noProof/>
            </w:rPr>
            <w:t xml:space="preserve"> </w:t>
          </w:r>
          <w:r w:rsidR="002A4EED" w:rsidRPr="002A4EED">
            <w:rPr>
              <w:noProof/>
            </w:rPr>
            <w:t>[12]</w:t>
          </w:r>
          <w:r w:rsidR="00DF1EFB">
            <w:fldChar w:fldCharType="end"/>
          </w:r>
        </w:sdtContent>
      </w:sdt>
      <w:r>
        <w:t>.</w:t>
      </w:r>
    </w:p>
  </w:footnote>
  <w:footnote w:id="16">
    <w:p w14:paraId="2927AB1F" w14:textId="72CAB649" w:rsidR="00E510D7" w:rsidRPr="00637C68" w:rsidRDefault="00E510D7" w:rsidP="00E510D7">
      <w:pPr>
        <w:pStyle w:val="FootnoteText"/>
        <w:ind w:left="0" w:firstLine="0"/>
        <w:rPr>
          <w:iCs/>
        </w:rPr>
      </w:pPr>
      <w:r w:rsidRPr="006C5373">
        <w:rPr>
          <w:rStyle w:val="FootnoteReference"/>
          <w:iCs/>
        </w:rPr>
        <w:footnoteRef/>
      </w:r>
      <w:r w:rsidRPr="006C5373">
        <w:rPr>
          <w:iCs/>
        </w:rPr>
        <w:t xml:space="preserve"> This work derives from the USNRC’s Severe Accident Program set up in the aftermath of the Three Mile Island accident. A major programme of Independent Plant Examinations was undertaken at all existing US sites. In tandem a specific programme of Independent Plant Examinations for External Events was undertaken to cover EH specifically. Ref.</w:t>
      </w:r>
      <w:sdt>
        <w:sdtPr>
          <w:rPr>
            <w:iCs/>
          </w:rPr>
          <w:id w:val="-782500212"/>
          <w:citation/>
        </w:sdtPr>
        <w:sdtContent>
          <w:r w:rsidR="00D566BA" w:rsidRPr="006C5373">
            <w:rPr>
              <w:iCs/>
            </w:rPr>
            <w:fldChar w:fldCharType="begin"/>
          </w:r>
          <w:r w:rsidR="00D566BA" w:rsidRPr="006C5373">
            <w:rPr>
              <w:iCs/>
            </w:rPr>
            <w:instrText xml:space="preserve"> CITATION USN02 \l 2057 </w:instrText>
          </w:r>
          <w:r w:rsidR="00D566BA" w:rsidRPr="006C5373">
            <w:rPr>
              <w:iCs/>
            </w:rPr>
            <w:fldChar w:fldCharType="separate"/>
          </w:r>
          <w:r w:rsidR="002A4EED">
            <w:rPr>
              <w:iCs/>
              <w:noProof/>
            </w:rPr>
            <w:t xml:space="preserve"> </w:t>
          </w:r>
          <w:r w:rsidR="002A4EED" w:rsidRPr="002A4EED">
            <w:rPr>
              <w:noProof/>
            </w:rPr>
            <w:t>[42]</w:t>
          </w:r>
          <w:r w:rsidR="00D566BA" w:rsidRPr="006C5373">
            <w:rPr>
              <w:iCs/>
            </w:rPr>
            <w:fldChar w:fldCharType="end"/>
          </w:r>
        </w:sdtContent>
      </w:sdt>
      <w:r w:rsidRPr="003A69AC">
        <w:rPr>
          <w:rStyle w:val="TSNumberedParagraph1Char"/>
          <w:rFonts w:eastAsia="Calibri"/>
          <w:iCs/>
          <w:sz w:val="20"/>
          <w:szCs w:val="20"/>
        </w:rPr>
        <w:t xml:space="preserve"> provides</w:t>
      </w:r>
      <w:r w:rsidRPr="003A69AC">
        <w:rPr>
          <w:iCs/>
        </w:rPr>
        <w:t xml:space="preserve"> </w:t>
      </w:r>
      <w:r w:rsidRPr="006C5373">
        <w:rPr>
          <w:iCs/>
        </w:rPr>
        <w:t>the learning from that programme. Subsequently, USNRC has undertaken extensive post-Fukushima development work that effectively extends the IPEEE work, including re-examination of seismic and flood protection arrangements. At the time of writing the USNRC is proposing new rulemaking on the mitigation of BDB events.</w:t>
      </w:r>
      <w:r w:rsidRPr="00637C68">
        <w:rPr>
          <w:iCs/>
        </w:rPr>
        <w:t xml:space="preserve"> </w:t>
      </w:r>
    </w:p>
  </w:footnote>
  <w:footnote w:id="17">
    <w:p w14:paraId="795FC744" w14:textId="386801E6" w:rsidR="00512502" w:rsidRPr="001527FE" w:rsidRDefault="00512502" w:rsidP="00591F14">
      <w:pPr>
        <w:pStyle w:val="FootnoteText"/>
        <w:ind w:left="0" w:firstLine="0"/>
        <w:rPr>
          <w:iCs/>
        </w:rPr>
      </w:pPr>
      <w:r w:rsidRPr="001527FE">
        <w:rPr>
          <w:rStyle w:val="FootnoteReference"/>
          <w:iCs/>
        </w:rPr>
        <w:footnoteRef/>
      </w:r>
      <w:r w:rsidRPr="001527FE">
        <w:rPr>
          <w:iCs/>
        </w:rPr>
        <w:t xml:space="preserve"> An active component is one that must be energised to perform its safety function. Electrical and mechanical components are typical examples.</w:t>
      </w:r>
      <w:r w:rsidR="009E7642">
        <w:rPr>
          <w:iCs/>
        </w:rPr>
        <w:t xml:space="preserve"> Passive systems, such as reinforced concrete structures, are usually more reliable than active systems.</w:t>
      </w:r>
    </w:p>
    <w:p w14:paraId="6A6C8100" w14:textId="77777777" w:rsidR="00512502" w:rsidRDefault="00512502" w:rsidP="00512502">
      <w:pPr>
        <w:pStyle w:val="FootnoteText"/>
        <w:rPr>
          <w:rFonts w:cs="Times New Roman"/>
          <w:i/>
          <w:sz w:val="16"/>
        </w:rPr>
      </w:pPr>
    </w:p>
  </w:footnote>
  <w:footnote w:id="18">
    <w:p w14:paraId="2FA942C7" w14:textId="77777777" w:rsidR="00286C9D" w:rsidRDefault="00286C9D" w:rsidP="00C06291">
      <w:pPr>
        <w:pStyle w:val="FootnoteText"/>
        <w:ind w:left="0" w:firstLine="0"/>
      </w:pPr>
      <w:r>
        <w:rPr>
          <w:rStyle w:val="FootnoteReference"/>
        </w:rPr>
        <w:footnoteRef/>
      </w:r>
      <w:r>
        <w:t xml:space="preserve"> A dam incorporating a non-return valve is an example of a passive structure with an active component. The valve has the potential to fail by jamming open or shut. </w:t>
      </w:r>
    </w:p>
  </w:footnote>
  <w:footnote w:id="19">
    <w:p w14:paraId="321BCA6C" w14:textId="77777777" w:rsidR="00C06291" w:rsidRDefault="00C06291" w:rsidP="00C06291">
      <w:pPr>
        <w:pStyle w:val="FootnoteText"/>
        <w:ind w:left="0" w:firstLine="0"/>
      </w:pPr>
      <w:r>
        <w:rPr>
          <w:rStyle w:val="FootnoteReference"/>
        </w:rPr>
        <w:footnoteRef/>
      </w:r>
      <w:r>
        <w:t xml:space="preserve"> However it may be useful to distinguish between partial and complete failures, e.g. a crack in a wall versus complete collapse of the wall. Such distinctions may be important for BDB analysis where partial failures may be deemed to be ALARP. </w:t>
      </w:r>
    </w:p>
  </w:footnote>
  <w:footnote w:id="20">
    <w:p w14:paraId="5F9DBC3B" w14:textId="77777777" w:rsidR="00512502" w:rsidRPr="001527FE" w:rsidRDefault="00512502" w:rsidP="00591F14">
      <w:pPr>
        <w:pStyle w:val="FootnoteText"/>
        <w:ind w:left="0" w:firstLine="0"/>
        <w:rPr>
          <w:iCs/>
        </w:rPr>
      </w:pPr>
      <w:r w:rsidRPr="001527FE">
        <w:rPr>
          <w:rStyle w:val="FootnoteReference"/>
          <w:iCs/>
        </w:rPr>
        <w:footnoteRef/>
      </w:r>
      <w:r w:rsidRPr="001527FE">
        <w:rPr>
          <w:iCs/>
        </w:rPr>
        <w:t xml:space="preserve"> This could be achieved by having a system consisting of DGs from diverse suppliers and located in segregated locations.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688BC" w14:textId="77777777" w:rsidR="00267815" w:rsidRPr="00267815" w:rsidRDefault="00267815" w:rsidP="002572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6A3E0" w14:textId="77777777" w:rsidR="00CE6198" w:rsidRDefault="00CE6198" w:rsidP="00091EEA">
    <w:pPr>
      <w:pStyle w:val="Header"/>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A65B1" w14:textId="7CFCB985" w:rsidR="000B2BCD" w:rsidRPr="00046936" w:rsidRDefault="00000000" w:rsidP="009E0E52">
    <w:pPr>
      <w:pStyle w:val="Header"/>
      <w:rPr>
        <w:sz w:val="20"/>
        <w:szCs w:val="24"/>
      </w:rPr>
    </w:pPr>
    <w:sdt>
      <w:sdtPr>
        <w:rPr>
          <w:sz w:val="20"/>
          <w:szCs w:val="24"/>
        </w:rPr>
        <w:alias w:val="Title"/>
        <w:tag w:val=""/>
        <w:id w:val="2101294540"/>
        <w:placeholder>
          <w:docPart w:val="30CB27CBF28C4D2FBF0903761E9BCFB8"/>
        </w:placeholder>
        <w:dataBinding w:prefixMappings="xmlns:ns0='http://purl.org/dc/elements/1.1/' xmlns:ns1='http://schemas.openxmlformats.org/package/2006/metadata/core-properties' " w:xpath="/ns1:coreProperties[1]/ns0:title[1]" w:storeItemID="{6C3C8BC8-F283-45AE-878A-BAB7291924A1}"/>
        <w:text/>
      </w:sdtPr>
      <w:sdtContent>
        <w:r w:rsidR="00425CD1">
          <w:rPr>
            <w:sz w:val="20"/>
            <w:szCs w:val="24"/>
          </w:rPr>
          <w:t>External Hazards</w:t>
        </w:r>
      </w:sdtContent>
    </w:sdt>
    <w:r w:rsidR="000B2BCD" w:rsidRPr="00046936">
      <w:rPr>
        <w:sz w:val="20"/>
        <w:szCs w:val="24"/>
      </w:rPr>
      <w:t xml:space="preserve"> | Issue No.: </w:t>
    </w:r>
    <w:sdt>
      <w:sdtPr>
        <w:rPr>
          <w:sz w:val="20"/>
          <w:szCs w:val="24"/>
        </w:rPr>
        <w:alias w:val="Status"/>
        <w:tag w:val=""/>
        <w:id w:val="801957864"/>
        <w:placeholder>
          <w:docPart w:val="3E5B43D4E703445285DC56911DA95DBF"/>
        </w:placeholder>
        <w:dataBinding w:prefixMappings="xmlns:ns0='http://purl.org/dc/elements/1.1/' xmlns:ns1='http://schemas.openxmlformats.org/package/2006/metadata/core-properties' " w:xpath="/ns1:coreProperties[1]/ns1:contentStatus[1]" w:storeItemID="{6C3C8BC8-F283-45AE-878A-BAB7291924A1}"/>
        <w:text/>
      </w:sdtPr>
      <w:sdtContent>
        <w:r w:rsidR="00A928C6">
          <w:rPr>
            <w:sz w:val="20"/>
            <w:szCs w:val="24"/>
          </w:rPr>
          <w:t>9</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C09E3" w14:textId="15CCA9E5" w:rsidR="00660109" w:rsidRPr="00046936" w:rsidRDefault="00000000" w:rsidP="009E0E52">
    <w:pPr>
      <w:pStyle w:val="Header"/>
      <w:rPr>
        <w:sz w:val="20"/>
        <w:szCs w:val="24"/>
      </w:rPr>
    </w:pPr>
    <w:sdt>
      <w:sdtPr>
        <w:rPr>
          <w:sz w:val="20"/>
          <w:szCs w:val="24"/>
        </w:rPr>
        <w:alias w:val="Title"/>
        <w:tag w:val=""/>
        <w:id w:val="741448590"/>
        <w:placeholder>
          <w:docPart w:val="1F5777D6B93B411C86CF27D468A59C7A"/>
        </w:placeholder>
        <w:dataBinding w:prefixMappings="xmlns:ns0='http://purl.org/dc/elements/1.1/' xmlns:ns1='http://schemas.openxmlformats.org/package/2006/metadata/core-properties' " w:xpath="/ns1:coreProperties[1]/ns0:title[1]" w:storeItemID="{6C3C8BC8-F283-45AE-878A-BAB7291924A1}"/>
        <w:text/>
      </w:sdtPr>
      <w:sdtContent>
        <w:r w:rsidR="00425CD1">
          <w:rPr>
            <w:sz w:val="20"/>
            <w:szCs w:val="24"/>
          </w:rPr>
          <w:t>External Hazards</w:t>
        </w:r>
      </w:sdtContent>
    </w:sdt>
    <w:r w:rsidR="00660109" w:rsidRPr="00046936">
      <w:rPr>
        <w:sz w:val="20"/>
        <w:szCs w:val="24"/>
      </w:rPr>
      <w:t xml:space="preserve"> | Issue No.: </w:t>
    </w:r>
    <w:sdt>
      <w:sdtPr>
        <w:rPr>
          <w:sz w:val="20"/>
          <w:szCs w:val="24"/>
        </w:rPr>
        <w:alias w:val="Status"/>
        <w:tag w:val=""/>
        <w:id w:val="-73438129"/>
        <w:placeholder>
          <w:docPart w:val="15F9126A14004D17B8883DD4FAEC8119"/>
        </w:placeholder>
        <w:dataBinding w:prefixMappings="xmlns:ns0='http://purl.org/dc/elements/1.1/' xmlns:ns1='http://schemas.openxmlformats.org/package/2006/metadata/core-properties' " w:xpath="/ns1:coreProperties[1]/ns1:contentStatus[1]" w:storeItemID="{6C3C8BC8-F283-45AE-878A-BAB7291924A1}"/>
        <w:text/>
      </w:sdtPr>
      <w:sdtContent>
        <w:r w:rsidR="00A928C6">
          <w:rPr>
            <w:sz w:val="20"/>
            <w:szCs w:val="24"/>
          </w:rPr>
          <w:t>9</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0562F"/>
    <w:multiLevelType w:val="multilevel"/>
    <w:tmpl w:val="EF064756"/>
    <w:numStyleLink w:val="AppendixA"/>
  </w:abstractNum>
  <w:abstractNum w:abstractNumId="11" w15:restartNumberingAfterBreak="0">
    <w:nsid w:val="03075CD1"/>
    <w:multiLevelType w:val="multilevel"/>
    <w:tmpl w:val="49E2B3AE"/>
    <w:lvl w:ilvl="0">
      <w:start w:val="1"/>
      <w:numFmt w:val="decimal"/>
      <w:pStyle w:val="NumList1"/>
      <w:lvlText w:val="%1)"/>
      <w:lvlJc w:val="left"/>
      <w:pPr>
        <w:ind w:left="1276" w:hanging="357"/>
      </w:pPr>
      <w:rPr>
        <w:rFonts w:hint="default"/>
      </w:rPr>
    </w:lvl>
    <w:lvl w:ilvl="1">
      <w:start w:val="1"/>
      <w:numFmt w:val="lowerLetter"/>
      <w:pStyle w:val="NumList2"/>
      <w:lvlText w:val="%2)"/>
      <w:lvlJc w:val="left"/>
      <w:pPr>
        <w:ind w:left="1633" w:hanging="357"/>
      </w:pPr>
      <w:rPr>
        <w:rFonts w:hint="default"/>
      </w:rPr>
    </w:lvl>
    <w:lvl w:ilvl="2">
      <w:start w:val="1"/>
      <w:numFmt w:val="lowerRoman"/>
      <w:lvlText w:val="%3)"/>
      <w:lvlJc w:val="left"/>
      <w:pPr>
        <w:ind w:left="1999" w:hanging="360"/>
      </w:pPr>
      <w:rPr>
        <w:rFonts w:hint="default"/>
      </w:rPr>
    </w:lvl>
    <w:lvl w:ilvl="3">
      <w:start w:val="1"/>
      <w:numFmt w:val="decimal"/>
      <w:lvlText w:val="(%4)"/>
      <w:lvlJc w:val="left"/>
      <w:pPr>
        <w:ind w:left="2359" w:hanging="360"/>
      </w:pPr>
      <w:rPr>
        <w:rFonts w:hint="default"/>
      </w:rPr>
    </w:lvl>
    <w:lvl w:ilvl="4">
      <w:start w:val="1"/>
      <w:numFmt w:val="lowerLetter"/>
      <w:lvlText w:val="(%5)"/>
      <w:lvlJc w:val="left"/>
      <w:pPr>
        <w:ind w:left="2719" w:hanging="360"/>
      </w:pPr>
      <w:rPr>
        <w:rFonts w:hint="default"/>
      </w:rPr>
    </w:lvl>
    <w:lvl w:ilvl="5">
      <w:start w:val="1"/>
      <w:numFmt w:val="lowerRoman"/>
      <w:lvlText w:val="(%6)"/>
      <w:lvlJc w:val="left"/>
      <w:pPr>
        <w:ind w:left="3079" w:hanging="360"/>
      </w:pPr>
      <w:rPr>
        <w:rFonts w:hint="default"/>
      </w:rPr>
    </w:lvl>
    <w:lvl w:ilvl="6">
      <w:start w:val="1"/>
      <w:numFmt w:val="decimal"/>
      <w:lvlText w:val="%7."/>
      <w:lvlJc w:val="left"/>
      <w:pPr>
        <w:ind w:left="3439" w:hanging="360"/>
      </w:pPr>
      <w:rPr>
        <w:rFonts w:hint="default"/>
      </w:rPr>
    </w:lvl>
    <w:lvl w:ilvl="7">
      <w:start w:val="1"/>
      <w:numFmt w:val="lowerLetter"/>
      <w:lvlText w:val="%8."/>
      <w:lvlJc w:val="left"/>
      <w:pPr>
        <w:ind w:left="3799" w:hanging="360"/>
      </w:pPr>
      <w:rPr>
        <w:rFonts w:hint="default"/>
      </w:rPr>
    </w:lvl>
    <w:lvl w:ilvl="8">
      <w:start w:val="1"/>
      <w:numFmt w:val="lowerRoman"/>
      <w:lvlText w:val="%9."/>
      <w:lvlJc w:val="left"/>
      <w:pPr>
        <w:ind w:left="4159" w:hanging="360"/>
      </w:pPr>
      <w:rPr>
        <w:rFonts w:hint="default"/>
      </w:rPr>
    </w:lvl>
  </w:abstractNum>
  <w:abstractNum w:abstractNumId="12" w15:restartNumberingAfterBreak="0">
    <w:nsid w:val="03306B4B"/>
    <w:multiLevelType w:val="hybridMultilevel"/>
    <w:tmpl w:val="DA163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64E006C"/>
    <w:multiLevelType w:val="hybridMultilevel"/>
    <w:tmpl w:val="2974C174"/>
    <w:lvl w:ilvl="0" w:tplc="3A566280">
      <w:start w:val="5"/>
      <w:numFmt w:val="decimal"/>
      <w:lvlText w:val="5.5.%1"/>
      <w:lvlJc w:val="left"/>
      <w:pPr>
        <w:ind w:left="360" w:hanging="360"/>
      </w:pPr>
      <w:rPr>
        <w:rFonts w:ascii="Arial" w:hAnsi="Arial"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84A3FE4"/>
    <w:multiLevelType w:val="hybridMultilevel"/>
    <w:tmpl w:val="A7BC4620"/>
    <w:lvl w:ilvl="0" w:tplc="FFFFFFFF">
      <w:start w:val="1"/>
      <w:numFmt w:val="lowerLetter"/>
      <w:lvlText w:val="%1)"/>
      <w:lvlJc w:val="left"/>
      <w:pPr>
        <w:ind w:left="1440" w:hanging="720"/>
      </w:pPr>
      <w:rPr>
        <w:b w:val="0"/>
        <w:i w:val="0"/>
        <w:color w:val="333333"/>
        <w:sz w:val="24"/>
        <w:szCs w:val="24"/>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BB66857"/>
    <w:multiLevelType w:val="multilevel"/>
    <w:tmpl w:val="EF064756"/>
    <w:styleLink w:val="AppendixA"/>
    <w:lvl w:ilvl="0">
      <w:start w:val="1"/>
      <w:numFmt w:val="upperLetter"/>
      <w:lvlText w:val="%1."/>
      <w:lvlJc w:val="left"/>
      <w:pPr>
        <w:ind w:left="360" w:hanging="360"/>
      </w:pPr>
      <w:rPr>
        <w:rFonts w:ascii="Arial" w:hAnsi="Arial" w:hint="default"/>
        <w:sz w:val="48"/>
      </w:rPr>
    </w:lvl>
    <w:lvl w:ilvl="1">
      <w:start w:val="1"/>
      <w:numFmt w:val="decimal"/>
      <w:lvlText w:val="%1.%2."/>
      <w:lvlJc w:val="left"/>
      <w:pPr>
        <w:ind w:left="360" w:hanging="360"/>
      </w:pPr>
      <w:rPr>
        <w:rFonts w:ascii="Arial" w:hAnsi="Arial" w:hint="default"/>
        <w:b w:val="0"/>
        <w:i w:val="0"/>
        <w:sz w:val="36"/>
      </w:rPr>
    </w:lvl>
    <w:lvl w:ilvl="2">
      <w:start w:val="1"/>
      <w:numFmt w:val="decimal"/>
      <w:lvlText w:val="%1.%2.%3."/>
      <w:lvlJc w:val="right"/>
      <w:pPr>
        <w:ind w:left="900" w:hanging="180"/>
      </w:pPr>
      <w:rPr>
        <w:rFonts w:ascii="Arial" w:hAnsi="Arial" w:hint="default"/>
        <w:b w:val="0"/>
        <w:i w:val="0"/>
        <w:sz w:val="28"/>
      </w:rPr>
    </w:lvl>
    <w:lvl w:ilvl="3">
      <w:start w:val="1"/>
      <w:numFmt w:val="decimal"/>
      <w:lvlText w:val="%1.%2.%3.%4."/>
      <w:lvlJc w:val="left"/>
      <w:pPr>
        <w:ind w:left="360" w:hanging="360"/>
      </w:pPr>
      <w:rPr>
        <w:rFonts w:ascii="Arial Bold" w:hAnsi="Arial Bold" w:hint="default"/>
        <w:b/>
        <w:i w:val="0"/>
        <w:sz w:val="24"/>
      </w:rPr>
    </w:lvl>
    <w:lvl w:ilvl="4">
      <w:start w:val="1"/>
      <w:numFmt w:val="decimal"/>
      <w:lvlText w:val="%1.%2.%3.%4.%5."/>
      <w:lvlJc w:val="left"/>
      <w:pPr>
        <w:ind w:left="4320" w:hanging="360"/>
      </w:pPr>
      <w:rPr>
        <w:rFonts w:ascii="Arial" w:hAnsi="Arial" w:hint="default"/>
        <w:sz w:val="24"/>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6" w15:restartNumberingAfterBreak="0">
    <w:nsid w:val="0CEF62A9"/>
    <w:multiLevelType w:val="multilevel"/>
    <w:tmpl w:val="472235DE"/>
    <w:lvl w:ilvl="0">
      <w:start w:val="1"/>
      <w:numFmt w:val="decimal"/>
      <w:lvlText w:val="2.%1"/>
      <w:lvlJc w:val="left"/>
      <w:pPr>
        <w:ind w:left="1440" w:hanging="360"/>
      </w:pPr>
      <w:rPr>
        <w:rFonts w:ascii="Arial" w:hAnsi="Arial"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7" w15:restartNumberingAfterBreak="0">
    <w:nsid w:val="0EE93B2D"/>
    <w:multiLevelType w:val="multilevel"/>
    <w:tmpl w:val="27A685C2"/>
    <w:lvl w:ilvl="0">
      <w:start w:val="1"/>
      <w:numFmt w:val="upperLetter"/>
      <w:pStyle w:val="Style4"/>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decimal"/>
      <w:lvlText w:val="%3.1"/>
      <w:lvlJc w:val="right"/>
      <w:pPr>
        <w:ind w:left="2160" w:hanging="180"/>
      </w:pPr>
      <w:rPr>
        <w:rFonts w:hint="default"/>
      </w:rPr>
    </w:lvl>
    <w:lvl w:ilvl="3">
      <w:start w:val="1"/>
      <w:numFmt w:val="decimal"/>
      <w:lvlText w:val="%4.1.1"/>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1112025F"/>
    <w:multiLevelType w:val="hybridMultilevel"/>
    <w:tmpl w:val="6A248368"/>
    <w:lvl w:ilvl="0" w:tplc="08090017">
      <w:start w:val="1"/>
      <w:numFmt w:val="lowerLetter"/>
      <w:lvlText w:val="%1)"/>
      <w:lvlJc w:val="left"/>
      <w:pPr>
        <w:ind w:left="1074" w:hanging="360"/>
      </w:pPr>
      <w:rPr>
        <w:rFonts w:hint="default"/>
      </w:rPr>
    </w:lvl>
    <w:lvl w:ilvl="1" w:tplc="08090003">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19" w15:restartNumberingAfterBreak="0">
    <w:nsid w:val="15576D7A"/>
    <w:multiLevelType w:val="multilevel"/>
    <w:tmpl w:val="D80825A0"/>
    <w:lvl w:ilvl="0">
      <w:start w:val="1"/>
      <w:numFmt w:val="bullet"/>
      <w:lvlText w:val="+"/>
      <w:lvlJc w:val="left"/>
      <w:pPr>
        <w:ind w:left="360" w:hanging="360"/>
      </w:pPr>
      <w:rPr>
        <w:rFonts w:ascii="Calibri" w:hAnsi="Calibri" w:cs="Times New Roman"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7304E12"/>
    <w:multiLevelType w:val="multilevel"/>
    <w:tmpl w:val="6C5ECDD2"/>
    <w:lvl w:ilvl="0">
      <w:start w:val="1"/>
      <w:numFmt w:val="decimal"/>
      <w:pStyle w:val="TSNumberedParagraph1"/>
      <w:lvlText w:val="%1"/>
      <w:lvlJc w:val="left"/>
      <w:pPr>
        <w:tabs>
          <w:tab w:val="num" w:pos="-31680"/>
        </w:tabs>
        <w:ind w:left="720" w:hanging="720"/>
      </w:pPr>
      <w:rPr>
        <w:rFonts w:hint="default"/>
        <w:b/>
        <w:bCs w:val="0"/>
        <w:sz w:val="22"/>
      </w:rPr>
    </w:lvl>
    <w:lvl w:ilvl="1">
      <w:start w:val="1"/>
      <w:numFmt w:val="bullet"/>
      <w:lvlText w:val=""/>
      <w:lvlJc w:val="left"/>
      <w:pPr>
        <w:ind w:left="360" w:hanging="360"/>
      </w:pPr>
      <w:rPr>
        <w:rFonts w:ascii="Wingdings" w:hAnsi="Wingdings" w:hint="default"/>
        <w:b w:val="0"/>
        <w:i w:val="0"/>
        <w:caps w:val="0"/>
        <w:strike w:val="0"/>
        <w:dstrike w:val="0"/>
        <w:vanish w:val="0"/>
        <w:color w:val="333333"/>
        <w:sz w:val="18"/>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31680"/>
        </w:tabs>
        <w:ind w:left="720" w:hanging="720"/>
      </w:pPr>
      <w:rPr>
        <w:rFonts w:hint="default"/>
        <w:sz w:val="22"/>
      </w:rPr>
    </w:lvl>
    <w:lvl w:ilvl="3">
      <w:start w:val="1"/>
      <w:numFmt w:val="decimal"/>
      <w:lvlText w:val="5.5.%4"/>
      <w:lvlJc w:val="left"/>
      <w:pPr>
        <w:ind w:left="360" w:hanging="360"/>
      </w:pPr>
      <w:rPr>
        <w:rFonts w:ascii="Arial" w:hAnsi="Arial"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19C601A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AB140B1"/>
    <w:multiLevelType w:val="hybridMultilevel"/>
    <w:tmpl w:val="F78AF6CE"/>
    <w:lvl w:ilvl="0" w:tplc="0590CBFC">
      <w:start w:val="1"/>
      <w:numFmt w:val="lowerLetter"/>
      <w:lvlText w:val="%1)"/>
      <w:lvlJc w:val="left"/>
      <w:pPr>
        <w:tabs>
          <w:tab w:val="num" w:pos="-31680"/>
        </w:tabs>
        <w:ind w:left="1440" w:hanging="720"/>
      </w:pPr>
      <w:rPr>
        <w:rFonts w:hint="default"/>
        <w:b w:val="0"/>
        <w:i w:val="0"/>
        <w:color w:val="333333"/>
        <w:sz w:val="24"/>
        <w:szCs w:val="24"/>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7785215"/>
    <w:multiLevelType w:val="hybridMultilevel"/>
    <w:tmpl w:val="C324BFC2"/>
    <w:lvl w:ilvl="0" w:tplc="61FC80CE">
      <w:start w:val="5"/>
      <w:numFmt w:val="decimal"/>
      <w:lvlText w:val="5.%1"/>
      <w:lvlJc w:val="left"/>
      <w:pPr>
        <w:ind w:left="360" w:hanging="360"/>
      </w:pPr>
      <w:rPr>
        <w:rFonts w:ascii="Arial" w:hAnsi="Arial" w:hint="default"/>
      </w:rPr>
    </w:lvl>
    <w:lvl w:ilvl="1" w:tplc="08090019" w:tentative="1">
      <w:start w:val="1"/>
      <w:numFmt w:val="lowerLetter"/>
      <w:lvlText w:val="%2."/>
      <w:lvlJc w:val="left"/>
      <w:pPr>
        <w:ind w:left="-720" w:hanging="360"/>
      </w:pPr>
    </w:lvl>
    <w:lvl w:ilvl="2" w:tplc="0809001B" w:tentative="1">
      <w:start w:val="1"/>
      <w:numFmt w:val="lowerRoman"/>
      <w:lvlText w:val="%3."/>
      <w:lvlJc w:val="right"/>
      <w:pPr>
        <w:ind w:left="0" w:hanging="180"/>
      </w:pPr>
    </w:lvl>
    <w:lvl w:ilvl="3" w:tplc="0809000F" w:tentative="1">
      <w:start w:val="1"/>
      <w:numFmt w:val="decimal"/>
      <w:lvlText w:val="%4."/>
      <w:lvlJc w:val="left"/>
      <w:pPr>
        <w:ind w:left="720" w:hanging="360"/>
      </w:pPr>
    </w:lvl>
    <w:lvl w:ilvl="4" w:tplc="08090019" w:tentative="1">
      <w:start w:val="1"/>
      <w:numFmt w:val="lowerLetter"/>
      <w:lvlText w:val="%5."/>
      <w:lvlJc w:val="left"/>
      <w:pPr>
        <w:ind w:left="1440" w:hanging="360"/>
      </w:pPr>
    </w:lvl>
    <w:lvl w:ilvl="5" w:tplc="0809001B" w:tentative="1">
      <w:start w:val="1"/>
      <w:numFmt w:val="lowerRoman"/>
      <w:lvlText w:val="%6."/>
      <w:lvlJc w:val="right"/>
      <w:pPr>
        <w:ind w:left="2160" w:hanging="180"/>
      </w:pPr>
    </w:lvl>
    <w:lvl w:ilvl="6" w:tplc="0809000F" w:tentative="1">
      <w:start w:val="1"/>
      <w:numFmt w:val="decimal"/>
      <w:lvlText w:val="%7."/>
      <w:lvlJc w:val="left"/>
      <w:pPr>
        <w:ind w:left="2880" w:hanging="360"/>
      </w:pPr>
    </w:lvl>
    <w:lvl w:ilvl="7" w:tplc="08090019" w:tentative="1">
      <w:start w:val="1"/>
      <w:numFmt w:val="lowerLetter"/>
      <w:lvlText w:val="%8."/>
      <w:lvlJc w:val="left"/>
      <w:pPr>
        <w:ind w:left="3600" w:hanging="360"/>
      </w:pPr>
    </w:lvl>
    <w:lvl w:ilvl="8" w:tplc="0809001B" w:tentative="1">
      <w:start w:val="1"/>
      <w:numFmt w:val="lowerRoman"/>
      <w:lvlText w:val="%9."/>
      <w:lvlJc w:val="right"/>
      <w:pPr>
        <w:ind w:left="4320" w:hanging="180"/>
      </w:pPr>
    </w:lvl>
  </w:abstractNum>
  <w:abstractNum w:abstractNumId="26" w15:restartNumberingAfterBreak="0">
    <w:nsid w:val="28E63251"/>
    <w:multiLevelType w:val="multilevel"/>
    <w:tmpl w:val="472235DE"/>
    <w:lvl w:ilvl="0">
      <w:start w:val="1"/>
      <w:numFmt w:val="decimal"/>
      <w:lvlText w:val="2.%1"/>
      <w:lvlJc w:val="left"/>
      <w:pPr>
        <w:ind w:left="1440" w:hanging="360"/>
      </w:pPr>
      <w:rPr>
        <w:rFonts w:ascii="Arial" w:hAnsi="Arial"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27" w15:restartNumberingAfterBreak="0">
    <w:nsid w:val="29706A39"/>
    <w:multiLevelType w:val="multilevel"/>
    <w:tmpl w:val="55CCF174"/>
    <w:lvl w:ilvl="0">
      <w:start w:val="1"/>
      <w:numFmt w:val="decimal"/>
      <w:lvlText w:val="%1"/>
      <w:lvlJc w:val="left"/>
      <w:pPr>
        <w:tabs>
          <w:tab w:val="num" w:pos="-31680"/>
        </w:tabs>
        <w:ind w:left="720" w:hanging="720"/>
      </w:pPr>
      <w:rPr>
        <w:rFonts w:ascii="Arial" w:hAnsi="Arial" w:cs="Arial" w:hint="default"/>
        <w:sz w:val="22"/>
      </w:rPr>
    </w:lvl>
    <w:lvl w:ilvl="1">
      <w:start w:val="1"/>
      <w:numFmt w:val="decimal"/>
      <w:lvlText w:val="5.5.%2"/>
      <w:lvlJc w:val="left"/>
      <w:pPr>
        <w:ind w:left="5605" w:hanging="360"/>
      </w:pPr>
      <w:rPr>
        <w:rFonts w:ascii="Arial" w:hAnsi="Arial" w:hint="default"/>
      </w:rPr>
    </w:lvl>
    <w:lvl w:ilvl="2">
      <w:start w:val="1"/>
      <w:numFmt w:val="decimal"/>
      <w:lvlText w:val="5.5.%3"/>
      <w:lvlJc w:val="left"/>
      <w:pPr>
        <w:ind w:left="927" w:hanging="360"/>
      </w:pPr>
      <w:rPr>
        <w:rFonts w:ascii="Arial" w:hAnsi="Arial" w:hint="default"/>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3788223B"/>
    <w:multiLevelType w:val="hybridMultilevel"/>
    <w:tmpl w:val="468E25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387B15A9"/>
    <w:multiLevelType w:val="hybridMultilevel"/>
    <w:tmpl w:val="594C5000"/>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30" w15:restartNumberingAfterBreak="0">
    <w:nsid w:val="3B6669CC"/>
    <w:multiLevelType w:val="multilevel"/>
    <w:tmpl w:val="F4703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BD47762"/>
    <w:multiLevelType w:val="hybridMultilevel"/>
    <w:tmpl w:val="26108D82"/>
    <w:lvl w:ilvl="0" w:tplc="7B9CAF2E">
      <w:start w:val="1"/>
      <w:numFmt w:val="decimal"/>
      <w:lvlText w:val="5.5.%1"/>
      <w:lvlJc w:val="left"/>
      <w:pPr>
        <w:ind w:left="720" w:hanging="360"/>
      </w:pPr>
      <w:rPr>
        <w:rFonts w:ascii="Arial" w:hAnsi="Arial"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3E0D3AF0"/>
    <w:multiLevelType w:val="hybridMultilevel"/>
    <w:tmpl w:val="A7BC4620"/>
    <w:lvl w:ilvl="0" w:tplc="85162DA4">
      <w:start w:val="1"/>
      <w:numFmt w:val="lowerLetter"/>
      <w:lvlText w:val="%1)"/>
      <w:lvlJc w:val="left"/>
      <w:pPr>
        <w:ind w:left="1440" w:hanging="720"/>
      </w:pPr>
      <w:rPr>
        <w:b w:val="0"/>
        <w:i w:val="0"/>
        <w:color w:val="333333"/>
        <w:sz w:val="24"/>
        <w:szCs w:val="24"/>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2765DB5"/>
    <w:multiLevelType w:val="hybridMultilevel"/>
    <w:tmpl w:val="8318CA9C"/>
    <w:lvl w:ilvl="0" w:tplc="079E8286">
      <w:start w:val="1"/>
      <w:numFmt w:val="bullet"/>
      <w:lvlText w:val="*"/>
      <w:lvlJc w:val="left"/>
      <w:pPr>
        <w:ind w:left="720" w:hanging="360"/>
      </w:pPr>
      <w:rPr>
        <w:rFonts w:ascii="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4968524E"/>
    <w:multiLevelType w:val="hybridMultilevel"/>
    <w:tmpl w:val="6BDC76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4A991300"/>
    <w:multiLevelType w:val="hybridMultilevel"/>
    <w:tmpl w:val="17FC9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F664C6C"/>
    <w:multiLevelType w:val="hybridMultilevel"/>
    <w:tmpl w:val="E2E86814"/>
    <w:lvl w:ilvl="0" w:tplc="35F8BA76">
      <w:start w:val="1"/>
      <w:numFmt w:val="decimal"/>
      <w:lvlText w:val="5.%1"/>
      <w:lvlJc w:val="left"/>
      <w:pPr>
        <w:ind w:left="720" w:hanging="360"/>
      </w:pPr>
      <w:rPr>
        <w:rFonts w:ascii="Arial" w:hAnsi="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23F0CAF"/>
    <w:multiLevelType w:val="multilevel"/>
    <w:tmpl w:val="8E4A1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2957587"/>
    <w:multiLevelType w:val="multilevel"/>
    <w:tmpl w:val="7FB48F28"/>
    <w:lvl w:ilvl="0">
      <w:start w:val="1"/>
      <w:numFmt w:val="decimal"/>
      <w:pStyle w:val="Heading1"/>
      <w:lvlText w:val="%1."/>
      <w:lvlJc w:val="left"/>
      <w:pPr>
        <w:ind w:left="360" w:hanging="360"/>
      </w:pPr>
    </w:lvl>
    <w:lvl w:ilvl="1">
      <w:start w:val="1"/>
      <w:numFmt w:val="decimal"/>
      <w:pStyle w:val="Heading2"/>
      <w:lvlText w:val="%1.%2."/>
      <w:lvlJc w:val="left"/>
      <w:pPr>
        <w:ind w:left="8512" w:hanging="432"/>
      </w:pPr>
      <w:rPr>
        <w:sz w:val="36"/>
        <w:szCs w:val="36"/>
      </w:rPr>
    </w:lvl>
    <w:lvl w:ilvl="2">
      <w:start w:val="1"/>
      <w:numFmt w:val="decimal"/>
      <w:pStyle w:val="Heading3"/>
      <w:lvlText w:val="%1.%2.%3."/>
      <w:lvlJc w:val="left"/>
      <w:pPr>
        <w:ind w:left="50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54080308"/>
    <w:multiLevelType w:val="multilevel"/>
    <w:tmpl w:val="EF064756"/>
    <w:numStyleLink w:val="AppendixA"/>
  </w:abstractNum>
  <w:abstractNum w:abstractNumId="41"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A7B61E4"/>
    <w:multiLevelType w:val="hybridMultilevel"/>
    <w:tmpl w:val="97F658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3" w15:restartNumberingAfterBreak="0">
    <w:nsid w:val="5DEE3E56"/>
    <w:multiLevelType w:val="hybridMultilevel"/>
    <w:tmpl w:val="76A87314"/>
    <w:lvl w:ilvl="0" w:tplc="ABA43682">
      <w:start w:val="2"/>
      <w:numFmt w:val="decimal"/>
      <w:lvlText w:val="%1.4.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5F0333E8"/>
    <w:multiLevelType w:val="hybridMultilevel"/>
    <w:tmpl w:val="943A1AB2"/>
    <w:lvl w:ilvl="0" w:tplc="08947E74">
      <w:start w:val="1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F9D53B5"/>
    <w:multiLevelType w:val="hybridMultilevel"/>
    <w:tmpl w:val="F8E645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6" w15:restartNumberingAfterBreak="0">
    <w:nsid w:val="66DC4F49"/>
    <w:multiLevelType w:val="hybridMultilevel"/>
    <w:tmpl w:val="BA6A10F2"/>
    <w:lvl w:ilvl="0" w:tplc="F4FCFFDC">
      <w:start w:val="3"/>
      <w:numFmt w:val="decimal"/>
      <w:lvlText w:val="5.5.%1"/>
      <w:lvlJc w:val="left"/>
      <w:pPr>
        <w:ind w:left="360" w:hanging="360"/>
      </w:pPr>
      <w:rPr>
        <w:rFonts w:ascii="Arial" w:hAnsi="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7" w15:restartNumberingAfterBreak="0">
    <w:nsid w:val="69B22935"/>
    <w:multiLevelType w:val="hybridMultilevel"/>
    <w:tmpl w:val="44FAC1B2"/>
    <w:lvl w:ilvl="0" w:tplc="59C4282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69FF2D4E"/>
    <w:multiLevelType w:val="multilevel"/>
    <w:tmpl w:val="93ACBE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A7E31EA"/>
    <w:multiLevelType w:val="hybridMultilevel"/>
    <w:tmpl w:val="48DC72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6C095D13"/>
    <w:multiLevelType w:val="hybridMultilevel"/>
    <w:tmpl w:val="E7E618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1" w15:restartNumberingAfterBreak="0">
    <w:nsid w:val="70C2195C"/>
    <w:multiLevelType w:val="hybridMultilevel"/>
    <w:tmpl w:val="F860466A"/>
    <w:lvl w:ilvl="0" w:tplc="84BA4EF8">
      <w:start w:val="1"/>
      <w:numFmt w:val="bullet"/>
      <w:pStyle w:val="TSBullet1Square"/>
      <w:lvlText w:val=""/>
      <w:lvlJc w:val="left"/>
      <w:pPr>
        <w:tabs>
          <w:tab w:val="num" w:pos="-30983"/>
        </w:tabs>
        <w:ind w:left="2137" w:hanging="720"/>
      </w:pPr>
      <w:rPr>
        <w:rFonts w:ascii="Wingdings" w:hAnsi="Wingdings" w:hint="default"/>
        <w:b w:val="0"/>
        <w:i w:val="0"/>
        <w:color w:val="333333"/>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18A0F99"/>
    <w:multiLevelType w:val="multilevel"/>
    <w:tmpl w:val="08FAD9FE"/>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75F46359"/>
    <w:multiLevelType w:val="hybridMultilevel"/>
    <w:tmpl w:val="C70EF4C0"/>
    <w:lvl w:ilvl="0" w:tplc="16923256">
      <w:start w:val="1"/>
      <w:numFmt w:val="bullet"/>
      <w:pStyle w:val="Bulletlist1"/>
      <w:lvlText w:val=""/>
      <w:lvlJc w:val="left"/>
      <w:pPr>
        <w:ind w:left="360" w:hanging="360"/>
      </w:pPr>
      <w:rPr>
        <w:rFonts w:ascii="Symbol" w:hAnsi="Symbol" w:hint="default"/>
        <w:strike w:val="0"/>
        <w:dstrike w:val="0"/>
        <w:color w:val="07716C" w:themeColor="accent1"/>
        <w:sz w:val="24"/>
      </w:rPr>
    </w:lvl>
    <w:lvl w:ilvl="1" w:tplc="358CA018">
      <w:start w:val="1"/>
      <w:numFmt w:val="bullet"/>
      <w:pStyle w:val="Bulletlist2"/>
      <w:lvlText w:val="o"/>
      <w:lvlJc w:val="left"/>
      <w:pPr>
        <w:ind w:left="1440" w:hanging="360"/>
      </w:pPr>
      <w:rPr>
        <w:rFonts w:ascii="Courier New" w:hAnsi="Courier New" w:cs="Courier New" w:hint="default"/>
      </w:rPr>
    </w:lvl>
    <w:lvl w:ilvl="2" w:tplc="1572F48C">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6072DF8"/>
    <w:multiLevelType w:val="hybridMultilevel"/>
    <w:tmpl w:val="FB627B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5" w15:restartNumberingAfterBreak="0">
    <w:nsid w:val="7733359F"/>
    <w:multiLevelType w:val="multilevel"/>
    <w:tmpl w:val="80584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79447535"/>
    <w:multiLevelType w:val="multilevel"/>
    <w:tmpl w:val="DE70ED1C"/>
    <w:lvl w:ilvl="0">
      <w:start w:val="1"/>
      <w:numFmt w:val="decimal"/>
      <w:pStyle w:val="F9-Paragraph"/>
      <w:lvlText w:val="%1."/>
      <w:lvlJc w:val="left"/>
      <w:pPr>
        <w:ind w:left="644" w:hanging="360"/>
      </w:pPr>
      <w:rPr>
        <w:rFonts w:ascii="Arial" w:hAnsi="Arial" w:cs="Arial" w:hint="default"/>
        <w:b w:val="0"/>
        <w:bCs w:val="0"/>
        <w:i w:val="0"/>
        <w:iCs w:val="0"/>
        <w:strike w:val="0"/>
        <w:sz w:val="24"/>
        <w:szCs w:val="24"/>
      </w:rPr>
    </w:lvl>
    <w:lvl w:ilvl="1">
      <w:start w:val="1"/>
      <w:numFmt w:val="decimal"/>
      <w:lvlText w:val="%1.%2."/>
      <w:lvlJc w:val="left"/>
      <w:pPr>
        <w:ind w:left="815" w:hanging="432"/>
      </w:pPr>
    </w:lvl>
    <w:lvl w:ilvl="2">
      <w:start w:val="1"/>
      <w:numFmt w:val="decimal"/>
      <w:lvlText w:val="%1.%2.%3."/>
      <w:lvlJc w:val="left"/>
      <w:pPr>
        <w:ind w:left="1247" w:hanging="504"/>
      </w:pPr>
    </w:lvl>
    <w:lvl w:ilvl="3">
      <w:start w:val="1"/>
      <w:numFmt w:val="decimal"/>
      <w:lvlText w:val="%1.%2.%3.%4."/>
      <w:lvlJc w:val="left"/>
      <w:pPr>
        <w:ind w:left="1751" w:hanging="648"/>
      </w:pPr>
    </w:lvl>
    <w:lvl w:ilvl="4">
      <w:start w:val="1"/>
      <w:numFmt w:val="decimal"/>
      <w:lvlText w:val="%1.%2.%3.%4.%5."/>
      <w:lvlJc w:val="left"/>
      <w:pPr>
        <w:ind w:left="2255" w:hanging="792"/>
      </w:pPr>
    </w:lvl>
    <w:lvl w:ilvl="5">
      <w:start w:val="1"/>
      <w:numFmt w:val="decimal"/>
      <w:lvlText w:val="%1.%2.%3.%4.%5.%6."/>
      <w:lvlJc w:val="left"/>
      <w:pPr>
        <w:ind w:left="2759" w:hanging="936"/>
      </w:pPr>
    </w:lvl>
    <w:lvl w:ilvl="6">
      <w:start w:val="1"/>
      <w:numFmt w:val="decimal"/>
      <w:lvlText w:val="%1.%2.%3.%4.%5.%6.%7."/>
      <w:lvlJc w:val="left"/>
      <w:pPr>
        <w:ind w:left="3263" w:hanging="1080"/>
      </w:pPr>
    </w:lvl>
    <w:lvl w:ilvl="7">
      <w:start w:val="1"/>
      <w:numFmt w:val="decimal"/>
      <w:lvlText w:val="%1.%2.%3.%4.%5.%6.%7.%8."/>
      <w:lvlJc w:val="left"/>
      <w:pPr>
        <w:ind w:left="3767" w:hanging="1224"/>
      </w:pPr>
    </w:lvl>
    <w:lvl w:ilvl="8">
      <w:start w:val="1"/>
      <w:numFmt w:val="decimal"/>
      <w:lvlText w:val="%1.%2.%3.%4.%5.%6.%7.%8.%9."/>
      <w:lvlJc w:val="left"/>
      <w:pPr>
        <w:ind w:left="4343" w:hanging="1440"/>
      </w:pPr>
    </w:lvl>
  </w:abstractNum>
  <w:abstractNum w:abstractNumId="57" w15:restartNumberingAfterBreak="0">
    <w:nsid w:val="7E7F2150"/>
    <w:multiLevelType w:val="hybridMultilevel"/>
    <w:tmpl w:val="92EC001E"/>
    <w:lvl w:ilvl="0" w:tplc="F3721D86">
      <w:start w:val="1"/>
      <w:numFmt w:val="bullet"/>
      <w:pStyle w:val="BulletPoint"/>
      <w:lvlText w:val=""/>
      <w:lvlJc w:val="left"/>
      <w:pPr>
        <w:ind w:left="1074" w:hanging="360"/>
      </w:pPr>
      <w:rPr>
        <w:rFonts w:ascii="Wingdings" w:hAnsi="Wingdings"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num w:numId="1" w16cid:durableId="931938445">
    <w:abstractNumId w:val="9"/>
  </w:num>
  <w:num w:numId="2" w16cid:durableId="1073310459">
    <w:abstractNumId w:val="7"/>
  </w:num>
  <w:num w:numId="3" w16cid:durableId="1925340915">
    <w:abstractNumId w:val="6"/>
  </w:num>
  <w:num w:numId="4" w16cid:durableId="1726831122">
    <w:abstractNumId w:val="5"/>
  </w:num>
  <w:num w:numId="5" w16cid:durableId="129788488">
    <w:abstractNumId w:val="4"/>
  </w:num>
  <w:num w:numId="6" w16cid:durableId="1207571923">
    <w:abstractNumId w:val="8"/>
  </w:num>
  <w:num w:numId="7" w16cid:durableId="402533084">
    <w:abstractNumId w:val="3"/>
  </w:num>
  <w:num w:numId="8" w16cid:durableId="495001699">
    <w:abstractNumId w:val="2"/>
  </w:num>
  <w:num w:numId="9" w16cid:durableId="1780180898">
    <w:abstractNumId w:val="1"/>
  </w:num>
  <w:num w:numId="10" w16cid:durableId="1404913689">
    <w:abstractNumId w:val="0"/>
  </w:num>
  <w:num w:numId="11" w16cid:durableId="1778139601">
    <w:abstractNumId w:val="21"/>
  </w:num>
  <w:num w:numId="12" w16cid:durableId="783227120">
    <w:abstractNumId w:val="53"/>
  </w:num>
  <w:num w:numId="13" w16cid:durableId="1367565994">
    <w:abstractNumId w:val="31"/>
  </w:num>
  <w:num w:numId="14" w16cid:durableId="1174225926">
    <w:abstractNumId w:val="24"/>
  </w:num>
  <w:num w:numId="15" w16cid:durableId="150562503">
    <w:abstractNumId w:val="53"/>
    <w:lvlOverride w:ilvl="0">
      <w:startOverride w:val="1"/>
    </w:lvlOverride>
  </w:num>
  <w:num w:numId="16" w16cid:durableId="708191280">
    <w:abstractNumId w:val="31"/>
    <w:lvlOverride w:ilvl="0">
      <w:startOverride w:val="1"/>
    </w:lvlOverride>
  </w:num>
  <w:num w:numId="17" w16cid:durableId="735981639">
    <w:abstractNumId w:val="24"/>
    <w:lvlOverride w:ilvl="0">
      <w:startOverride w:val="1"/>
    </w:lvlOverride>
  </w:num>
  <w:num w:numId="18" w16cid:durableId="966933876">
    <w:abstractNumId w:val="52"/>
  </w:num>
  <w:num w:numId="19" w16cid:durableId="985626502">
    <w:abstractNumId w:val="41"/>
  </w:num>
  <w:num w:numId="20" w16cid:durableId="2086879214">
    <w:abstractNumId w:val="22"/>
  </w:num>
  <w:num w:numId="21" w16cid:durableId="399718409">
    <w:abstractNumId w:val="56"/>
  </w:num>
  <w:num w:numId="22" w16cid:durableId="999388671">
    <w:abstractNumId w:val="39"/>
  </w:num>
  <w:num w:numId="23" w16cid:durableId="149121498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78381196">
    <w:abstractNumId w:val="39"/>
  </w:num>
  <w:num w:numId="25" w16cid:durableId="209663157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93636562">
    <w:abstractNumId w:val="57"/>
  </w:num>
  <w:num w:numId="27" w16cid:durableId="561334936">
    <w:abstractNumId w:val="18"/>
  </w:num>
  <w:num w:numId="28" w16cid:durableId="391512796">
    <w:abstractNumId w:val="11"/>
  </w:num>
  <w:num w:numId="29" w16cid:durableId="196018815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49461313">
    <w:abstractNumId w:val="36"/>
  </w:num>
  <w:num w:numId="31" w16cid:durableId="20013520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25803963">
    <w:abstractNumId w:val="38"/>
  </w:num>
  <w:num w:numId="33" w16cid:durableId="7413421">
    <w:abstractNumId w:val="55"/>
  </w:num>
  <w:num w:numId="34" w16cid:durableId="377974685">
    <w:abstractNumId w:val="48"/>
  </w:num>
  <w:num w:numId="35" w16cid:durableId="922030000">
    <w:abstractNumId w:val="30"/>
  </w:num>
  <w:num w:numId="36" w16cid:durableId="1307928117">
    <w:abstractNumId w:val="20"/>
  </w:num>
  <w:num w:numId="37" w16cid:durableId="554662015">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91538533">
    <w:abstractNumId w:val="51"/>
  </w:num>
  <w:num w:numId="39" w16cid:durableId="2097818933">
    <w:abstractNumId w:val="26"/>
  </w:num>
  <w:num w:numId="40" w16cid:durableId="336346086">
    <w:abstractNumId w:val="16"/>
  </w:num>
  <w:num w:numId="41" w16cid:durableId="1223523485">
    <w:abstractNumId w:val="27"/>
  </w:num>
  <w:num w:numId="42" w16cid:durableId="1101871908">
    <w:abstractNumId w:val="33"/>
  </w:num>
  <w:num w:numId="43" w16cid:durableId="88623941">
    <w:abstractNumId w:val="43"/>
  </w:num>
  <w:num w:numId="44" w16cid:durableId="1930768006">
    <w:abstractNumId w:val="33"/>
  </w:num>
  <w:num w:numId="45" w16cid:durableId="1772386986">
    <w:abstractNumId w:val="37"/>
  </w:num>
  <w:num w:numId="46" w16cid:durableId="1324313500">
    <w:abstractNumId w:val="25"/>
  </w:num>
  <w:num w:numId="47" w16cid:durableId="502479759">
    <w:abstractNumId w:val="32"/>
  </w:num>
  <w:num w:numId="48" w16cid:durableId="1156339427">
    <w:abstractNumId w:val="20"/>
    <w:lvlOverride w:ilvl="0">
      <w:startOverride w:val="9"/>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898391833">
    <w:abstractNumId w:val="54"/>
  </w:num>
  <w:num w:numId="50" w16cid:durableId="1271276257">
    <w:abstractNumId w:val="49"/>
  </w:num>
  <w:num w:numId="51" w16cid:durableId="1228802315">
    <w:abstractNumId w:val="46"/>
  </w:num>
  <w:num w:numId="52" w16cid:durableId="1178933663">
    <w:abstractNumId w:val="23"/>
  </w:num>
  <w:num w:numId="53" w16cid:durableId="568613668">
    <w:abstractNumId w:val="13"/>
  </w:num>
  <w:num w:numId="54" w16cid:durableId="1930456302">
    <w:abstractNumId w:val="27"/>
    <w:lvlOverride w:ilvl="0">
      <w:startOverride w:val="1"/>
    </w:lvlOverride>
    <w:lvlOverride w:ilvl="1">
      <w:startOverride w:val="1"/>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507019812">
    <w:abstractNumId w:val="14"/>
  </w:num>
  <w:num w:numId="56" w16cid:durableId="611285834">
    <w:abstractNumId w:val="27"/>
    <w:lvlOverride w:ilvl="0">
      <w:startOverride w:val="1"/>
    </w:lvlOverride>
    <w:lvlOverride w:ilvl="1">
      <w:startOverride w:val="2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871459414">
    <w:abstractNumId w:val="34"/>
  </w:num>
  <w:num w:numId="58" w16cid:durableId="263727634">
    <w:abstractNumId w:val="19"/>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875849951">
    <w:abstractNumId w:val="28"/>
  </w:num>
  <w:num w:numId="60" w16cid:durableId="2035424362">
    <w:abstractNumId w:val="50"/>
  </w:num>
  <w:num w:numId="61" w16cid:durableId="1386099741">
    <w:abstractNumId w:val="35"/>
  </w:num>
  <w:num w:numId="62" w16cid:durableId="2055931420">
    <w:abstractNumId w:val="45"/>
  </w:num>
  <w:num w:numId="63" w16cid:durableId="2129086454">
    <w:abstractNumId w:val="42"/>
  </w:num>
  <w:num w:numId="64" w16cid:durableId="1914123320">
    <w:abstractNumId w:val="39"/>
  </w:num>
  <w:num w:numId="65" w16cid:durableId="1417243572">
    <w:abstractNumId w:val="47"/>
  </w:num>
  <w:num w:numId="66" w16cid:durableId="837772171">
    <w:abstractNumId w:val="44"/>
  </w:num>
  <w:num w:numId="67" w16cid:durableId="1707564231">
    <w:abstractNumId w:val="53"/>
  </w:num>
  <w:num w:numId="68" w16cid:durableId="204447685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47922976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532110992">
    <w:abstractNumId w:val="51"/>
  </w:num>
  <w:num w:numId="71" w16cid:durableId="11280162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21238451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588616411">
    <w:abstractNumId w:val="10"/>
  </w:num>
  <w:num w:numId="74" w16cid:durableId="966618226">
    <w:abstractNumId w:val="17"/>
  </w:num>
  <w:num w:numId="75" w16cid:durableId="1098871567">
    <w:abstractNumId w:val="15"/>
  </w:num>
  <w:num w:numId="76" w16cid:durableId="550189365">
    <w:abstractNumId w:val="40"/>
  </w:num>
  <w:num w:numId="77" w16cid:durableId="184721192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831628533">
    <w:abstractNumId w:val="29"/>
  </w:num>
  <w:num w:numId="79" w16cid:durableId="2068382673">
    <w:abstractNumId w:val="12"/>
  </w:num>
  <w:num w:numId="80" w16cid:durableId="1910264831">
    <w:abstractNumId w:val="56"/>
  </w:num>
  <w:num w:numId="81" w16cid:durableId="748696621">
    <w:abstractNumId w:val="56"/>
  </w:num>
  <w:num w:numId="82" w16cid:durableId="1815871822">
    <w:abstractNumId w:val="56"/>
  </w:num>
  <w:num w:numId="83" w16cid:durableId="936866678">
    <w:abstractNumId w:val="56"/>
  </w:num>
  <w:num w:numId="84" w16cid:durableId="1433819911">
    <w:abstractNumId w:val="56"/>
  </w:num>
  <w:num w:numId="85" w16cid:durableId="1234436644">
    <w:abstractNumId w:val="56"/>
  </w:num>
  <w:num w:numId="86" w16cid:durableId="1814056592">
    <w:abstractNumId w:val="56"/>
  </w:num>
  <w:num w:numId="87" w16cid:durableId="595140075">
    <w:abstractNumId w:val="56"/>
  </w:num>
  <w:num w:numId="88" w16cid:durableId="949164363">
    <w:abstractNumId w:val="56"/>
  </w:num>
  <w:num w:numId="89" w16cid:durableId="1693455905">
    <w:abstractNumId w:val="56"/>
  </w:num>
  <w:num w:numId="90" w16cid:durableId="1502037906">
    <w:abstractNumId w:val="56"/>
  </w:num>
  <w:num w:numId="91" w16cid:durableId="1514146545">
    <w:abstractNumId w:val="56"/>
  </w:num>
  <w:num w:numId="92" w16cid:durableId="1201668209">
    <w:abstractNumId w:val="56"/>
  </w:num>
  <w:num w:numId="93" w16cid:durableId="1120538376">
    <w:abstractNumId w:val="56"/>
  </w:num>
  <w:num w:numId="94" w16cid:durableId="519051038">
    <w:abstractNumId w:val="56"/>
  </w:num>
  <w:num w:numId="95" w16cid:durableId="122889939">
    <w:abstractNumId w:val="56"/>
  </w:num>
  <w:num w:numId="96" w16cid:durableId="2097633270">
    <w:abstractNumId w:val="56"/>
  </w:num>
  <w:num w:numId="97" w16cid:durableId="1477451155">
    <w:abstractNumId w:val="56"/>
  </w:num>
  <w:num w:numId="98" w16cid:durableId="781996059">
    <w:abstractNumId w:val="56"/>
  </w:num>
  <w:num w:numId="99" w16cid:durableId="2080471101">
    <w:abstractNumId w:val="56"/>
  </w:num>
  <w:num w:numId="100" w16cid:durableId="730618277">
    <w:abstractNumId w:val="56"/>
  </w:num>
  <w:num w:numId="101" w16cid:durableId="581061353">
    <w:abstractNumId w:val="56"/>
  </w:num>
  <w:num w:numId="102" w16cid:durableId="893467788">
    <w:abstractNumId w:val="56"/>
  </w:num>
  <w:num w:numId="103" w16cid:durableId="1724718758">
    <w:abstractNumId w:val="56"/>
  </w:num>
  <w:num w:numId="104" w16cid:durableId="1090851625">
    <w:abstractNumId w:val="56"/>
  </w:num>
  <w:num w:numId="105" w16cid:durableId="1762799069">
    <w:abstractNumId w:val="56"/>
  </w:num>
  <w:num w:numId="106" w16cid:durableId="1717267636">
    <w:abstractNumId w:val="56"/>
  </w:num>
  <w:num w:numId="107" w16cid:durableId="2082020611">
    <w:abstractNumId w:val="56"/>
  </w:num>
  <w:num w:numId="108" w16cid:durableId="1330595333">
    <w:abstractNumId w:val="56"/>
  </w:num>
  <w:num w:numId="109" w16cid:durableId="2133286533">
    <w:abstractNumId w:val="56"/>
  </w:num>
  <w:num w:numId="110" w16cid:durableId="1081215399">
    <w:abstractNumId w:val="56"/>
  </w:num>
  <w:num w:numId="111" w16cid:durableId="2029257717">
    <w:abstractNumId w:val="56"/>
  </w:num>
  <w:num w:numId="112" w16cid:durableId="43793281">
    <w:abstractNumId w:val="56"/>
  </w:num>
  <w:num w:numId="113" w16cid:durableId="1039747541">
    <w:abstractNumId w:val="56"/>
  </w:num>
  <w:num w:numId="114" w16cid:durableId="49573680">
    <w:abstractNumId w:val="56"/>
  </w:num>
  <w:num w:numId="115" w16cid:durableId="1433166244">
    <w:abstractNumId w:val="56"/>
  </w:num>
  <w:num w:numId="116" w16cid:durableId="225382802">
    <w:abstractNumId w:val="56"/>
  </w:num>
  <w:num w:numId="117" w16cid:durableId="1506624541">
    <w:abstractNumId w:val="56"/>
  </w:num>
  <w:num w:numId="118" w16cid:durableId="1055861195">
    <w:abstractNumId w:val="56"/>
  </w:num>
  <w:num w:numId="119" w16cid:durableId="1604387033">
    <w:abstractNumId w:val="56"/>
  </w:num>
  <w:num w:numId="120" w16cid:durableId="222330145">
    <w:abstractNumId w:val="56"/>
  </w:num>
  <w:num w:numId="121" w16cid:durableId="1641114703">
    <w:abstractNumId w:val="56"/>
  </w:num>
  <w:num w:numId="122" w16cid:durableId="2122453411">
    <w:abstractNumId w:val="56"/>
  </w:num>
  <w:num w:numId="123" w16cid:durableId="1917592049">
    <w:abstractNumId w:val="56"/>
  </w:num>
  <w:num w:numId="124" w16cid:durableId="592517450">
    <w:abstractNumId w:val="56"/>
  </w:num>
  <w:num w:numId="125" w16cid:durableId="151066235">
    <w:abstractNumId w:val="56"/>
  </w:num>
  <w:num w:numId="126" w16cid:durableId="1793132321">
    <w:abstractNumId w:val="56"/>
  </w:num>
  <w:num w:numId="127" w16cid:durableId="563025562">
    <w:abstractNumId w:val="56"/>
  </w:num>
  <w:num w:numId="128" w16cid:durableId="1856574996">
    <w:abstractNumId w:val="56"/>
  </w:num>
  <w:num w:numId="129" w16cid:durableId="923147427">
    <w:abstractNumId w:val="56"/>
  </w:num>
  <w:num w:numId="130" w16cid:durableId="710225556">
    <w:abstractNumId w:val="56"/>
  </w:num>
  <w:num w:numId="131" w16cid:durableId="701633061">
    <w:abstractNumId w:val="56"/>
  </w:num>
  <w:num w:numId="132" w16cid:durableId="1057583809">
    <w:abstractNumId w:val="56"/>
  </w:num>
  <w:num w:numId="133" w16cid:durableId="520125659">
    <w:abstractNumId w:val="56"/>
  </w:num>
  <w:num w:numId="134" w16cid:durableId="1998915710">
    <w:abstractNumId w:val="56"/>
  </w:num>
  <w:num w:numId="135" w16cid:durableId="1002009014">
    <w:abstractNumId w:val="56"/>
  </w:num>
  <w:num w:numId="136" w16cid:durableId="1242253397">
    <w:abstractNumId w:val="56"/>
  </w:num>
  <w:num w:numId="137" w16cid:durableId="661202468">
    <w:abstractNumId w:val="56"/>
  </w:num>
  <w:num w:numId="138" w16cid:durableId="727263523">
    <w:abstractNumId w:val="56"/>
  </w:num>
  <w:num w:numId="139" w16cid:durableId="885684044">
    <w:abstractNumId w:val="56"/>
  </w:num>
  <w:num w:numId="140" w16cid:durableId="91827440">
    <w:abstractNumId w:val="56"/>
  </w:num>
  <w:num w:numId="141" w16cid:durableId="5518484">
    <w:abstractNumId w:val="56"/>
  </w:num>
  <w:num w:numId="142" w16cid:durableId="685718122">
    <w:abstractNumId w:val="56"/>
  </w:num>
  <w:num w:numId="143" w16cid:durableId="1847398957">
    <w:abstractNumId w:val="56"/>
  </w:num>
  <w:num w:numId="144" w16cid:durableId="1989478593">
    <w:abstractNumId w:val="56"/>
  </w:num>
  <w:num w:numId="145" w16cid:durableId="766540728">
    <w:abstractNumId w:val="56"/>
  </w:num>
  <w:num w:numId="146" w16cid:durableId="1364017350">
    <w:abstractNumId w:val="56"/>
  </w:num>
  <w:num w:numId="147" w16cid:durableId="1199585211">
    <w:abstractNumId w:val="56"/>
  </w:num>
  <w:num w:numId="148" w16cid:durableId="297225586">
    <w:abstractNumId w:val="56"/>
  </w:num>
  <w:num w:numId="149" w16cid:durableId="740979154">
    <w:abstractNumId w:val="56"/>
  </w:num>
  <w:num w:numId="150" w16cid:durableId="1320693129">
    <w:abstractNumId w:val="56"/>
  </w:num>
  <w:num w:numId="151" w16cid:durableId="1492403784">
    <w:abstractNumId w:val="56"/>
  </w:num>
  <w:num w:numId="152" w16cid:durableId="1300958008">
    <w:abstractNumId w:val="56"/>
  </w:num>
  <w:num w:numId="153" w16cid:durableId="268926656">
    <w:abstractNumId w:val="56"/>
  </w:num>
  <w:num w:numId="154" w16cid:durableId="1702509308">
    <w:abstractNumId w:val="56"/>
  </w:num>
  <w:num w:numId="155" w16cid:durableId="126358149">
    <w:abstractNumId w:val="56"/>
  </w:num>
  <w:num w:numId="156" w16cid:durableId="1436943829">
    <w:abstractNumId w:val="56"/>
  </w:num>
  <w:num w:numId="157" w16cid:durableId="1593974140">
    <w:abstractNumId w:val="56"/>
  </w:num>
  <w:num w:numId="158" w16cid:durableId="169296855">
    <w:abstractNumId w:val="56"/>
  </w:num>
  <w:num w:numId="159" w16cid:durableId="1834225932">
    <w:abstractNumId w:val="56"/>
  </w:num>
  <w:num w:numId="160" w16cid:durableId="1227765310">
    <w:abstractNumId w:val="56"/>
  </w:num>
  <w:num w:numId="161" w16cid:durableId="770929738">
    <w:abstractNumId w:val="56"/>
  </w:num>
  <w:num w:numId="162" w16cid:durableId="695623670">
    <w:abstractNumId w:val="56"/>
  </w:num>
  <w:num w:numId="163" w16cid:durableId="252589879">
    <w:abstractNumId w:val="56"/>
  </w:num>
  <w:num w:numId="164" w16cid:durableId="348068656">
    <w:abstractNumId w:val="56"/>
  </w:num>
  <w:num w:numId="165" w16cid:durableId="569927561">
    <w:abstractNumId w:val="56"/>
  </w:num>
  <w:num w:numId="166" w16cid:durableId="1307852512">
    <w:abstractNumId w:val="56"/>
  </w:num>
  <w:num w:numId="167" w16cid:durableId="1168790855">
    <w:abstractNumId w:val="56"/>
  </w:num>
  <w:num w:numId="168" w16cid:durableId="1611930215">
    <w:abstractNumId w:val="56"/>
  </w:num>
  <w:num w:numId="169" w16cid:durableId="116530213">
    <w:abstractNumId w:val="56"/>
  </w:num>
  <w:num w:numId="170" w16cid:durableId="871577193">
    <w:abstractNumId w:val="56"/>
  </w:num>
  <w:num w:numId="171" w16cid:durableId="14581061">
    <w:abstractNumId w:val="56"/>
  </w:num>
  <w:num w:numId="172" w16cid:durableId="1806192630">
    <w:abstractNumId w:val="56"/>
  </w:num>
  <w:num w:numId="173" w16cid:durableId="70977530">
    <w:abstractNumId w:val="56"/>
  </w:num>
  <w:num w:numId="174" w16cid:durableId="829909744">
    <w:abstractNumId w:val="56"/>
  </w:num>
  <w:num w:numId="175" w16cid:durableId="1092512099">
    <w:abstractNumId w:val="56"/>
  </w:num>
  <w:numIdMacAtCleanup w:val="1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F03"/>
    <w:rsid w:val="000032C9"/>
    <w:rsid w:val="0000396D"/>
    <w:rsid w:val="00004C16"/>
    <w:rsid w:val="0000649C"/>
    <w:rsid w:val="000068CE"/>
    <w:rsid w:val="000068F1"/>
    <w:rsid w:val="00007279"/>
    <w:rsid w:val="00007324"/>
    <w:rsid w:val="00010406"/>
    <w:rsid w:val="00011177"/>
    <w:rsid w:val="00012DCE"/>
    <w:rsid w:val="00014814"/>
    <w:rsid w:val="00014D74"/>
    <w:rsid w:val="00016DDE"/>
    <w:rsid w:val="000170E9"/>
    <w:rsid w:val="00020CA7"/>
    <w:rsid w:val="00021CDD"/>
    <w:rsid w:val="00022391"/>
    <w:rsid w:val="00023D4A"/>
    <w:rsid w:val="00024522"/>
    <w:rsid w:val="00024B2E"/>
    <w:rsid w:val="00025B6E"/>
    <w:rsid w:val="00026A71"/>
    <w:rsid w:val="00026AE1"/>
    <w:rsid w:val="00027F4F"/>
    <w:rsid w:val="00030430"/>
    <w:rsid w:val="0003078E"/>
    <w:rsid w:val="00030898"/>
    <w:rsid w:val="00030903"/>
    <w:rsid w:val="00030C21"/>
    <w:rsid w:val="0003181F"/>
    <w:rsid w:val="00031B89"/>
    <w:rsid w:val="00031C66"/>
    <w:rsid w:val="00031DB9"/>
    <w:rsid w:val="00032C76"/>
    <w:rsid w:val="000338C3"/>
    <w:rsid w:val="000345B4"/>
    <w:rsid w:val="00035A2F"/>
    <w:rsid w:val="00035BD5"/>
    <w:rsid w:val="00036511"/>
    <w:rsid w:val="0003693D"/>
    <w:rsid w:val="00037239"/>
    <w:rsid w:val="00037645"/>
    <w:rsid w:val="000377AF"/>
    <w:rsid w:val="00037DE4"/>
    <w:rsid w:val="00037EE2"/>
    <w:rsid w:val="00040027"/>
    <w:rsid w:val="00041DBC"/>
    <w:rsid w:val="00041ED3"/>
    <w:rsid w:val="00043625"/>
    <w:rsid w:val="0004440F"/>
    <w:rsid w:val="0004451B"/>
    <w:rsid w:val="00045127"/>
    <w:rsid w:val="000453DF"/>
    <w:rsid w:val="00045A58"/>
    <w:rsid w:val="00045A82"/>
    <w:rsid w:val="0004608C"/>
    <w:rsid w:val="00046936"/>
    <w:rsid w:val="00047062"/>
    <w:rsid w:val="00047848"/>
    <w:rsid w:val="00050B26"/>
    <w:rsid w:val="0005125C"/>
    <w:rsid w:val="00052AB1"/>
    <w:rsid w:val="00052BF8"/>
    <w:rsid w:val="00052C8A"/>
    <w:rsid w:val="000530C7"/>
    <w:rsid w:val="0005337F"/>
    <w:rsid w:val="000539F8"/>
    <w:rsid w:val="000542B4"/>
    <w:rsid w:val="000543C4"/>
    <w:rsid w:val="000548BD"/>
    <w:rsid w:val="000548C8"/>
    <w:rsid w:val="00054FD2"/>
    <w:rsid w:val="00055705"/>
    <w:rsid w:val="00055898"/>
    <w:rsid w:val="00056310"/>
    <w:rsid w:val="00057448"/>
    <w:rsid w:val="00057715"/>
    <w:rsid w:val="00060A88"/>
    <w:rsid w:val="0006364F"/>
    <w:rsid w:val="000643A3"/>
    <w:rsid w:val="00065028"/>
    <w:rsid w:val="00065809"/>
    <w:rsid w:val="00065A74"/>
    <w:rsid w:val="00066885"/>
    <w:rsid w:val="00066D85"/>
    <w:rsid w:val="000670B4"/>
    <w:rsid w:val="000671D7"/>
    <w:rsid w:val="000678DA"/>
    <w:rsid w:val="00070B71"/>
    <w:rsid w:val="00072DCE"/>
    <w:rsid w:val="000731A5"/>
    <w:rsid w:val="00073279"/>
    <w:rsid w:val="00073931"/>
    <w:rsid w:val="00074313"/>
    <w:rsid w:val="0007440A"/>
    <w:rsid w:val="00074654"/>
    <w:rsid w:val="00075605"/>
    <w:rsid w:val="00075882"/>
    <w:rsid w:val="00075C66"/>
    <w:rsid w:val="0007698B"/>
    <w:rsid w:val="0007725C"/>
    <w:rsid w:val="000777E6"/>
    <w:rsid w:val="00077C2B"/>
    <w:rsid w:val="00077D6A"/>
    <w:rsid w:val="00081114"/>
    <w:rsid w:val="0008133D"/>
    <w:rsid w:val="000815F2"/>
    <w:rsid w:val="00081DFF"/>
    <w:rsid w:val="00082879"/>
    <w:rsid w:val="00082EC6"/>
    <w:rsid w:val="00083B36"/>
    <w:rsid w:val="00083E41"/>
    <w:rsid w:val="00084B14"/>
    <w:rsid w:val="00085150"/>
    <w:rsid w:val="0008547A"/>
    <w:rsid w:val="00085FD6"/>
    <w:rsid w:val="0008626E"/>
    <w:rsid w:val="0009000E"/>
    <w:rsid w:val="0009041F"/>
    <w:rsid w:val="00091EEA"/>
    <w:rsid w:val="0009304A"/>
    <w:rsid w:val="00094056"/>
    <w:rsid w:val="0009490F"/>
    <w:rsid w:val="000950B3"/>
    <w:rsid w:val="000951C1"/>
    <w:rsid w:val="00095A46"/>
    <w:rsid w:val="00095FC5"/>
    <w:rsid w:val="00096122"/>
    <w:rsid w:val="00097F12"/>
    <w:rsid w:val="000A1B21"/>
    <w:rsid w:val="000A2007"/>
    <w:rsid w:val="000A380E"/>
    <w:rsid w:val="000A51C3"/>
    <w:rsid w:val="000A72CD"/>
    <w:rsid w:val="000B0498"/>
    <w:rsid w:val="000B0D34"/>
    <w:rsid w:val="000B26E3"/>
    <w:rsid w:val="000B2BCD"/>
    <w:rsid w:val="000B37BC"/>
    <w:rsid w:val="000B40A8"/>
    <w:rsid w:val="000B465B"/>
    <w:rsid w:val="000B5369"/>
    <w:rsid w:val="000B565A"/>
    <w:rsid w:val="000B72CC"/>
    <w:rsid w:val="000C013D"/>
    <w:rsid w:val="000C1B08"/>
    <w:rsid w:val="000C1B50"/>
    <w:rsid w:val="000C2DDC"/>
    <w:rsid w:val="000C30E9"/>
    <w:rsid w:val="000C33F8"/>
    <w:rsid w:val="000C39BE"/>
    <w:rsid w:val="000C4236"/>
    <w:rsid w:val="000C455F"/>
    <w:rsid w:val="000C46D3"/>
    <w:rsid w:val="000C4D1E"/>
    <w:rsid w:val="000C5AD5"/>
    <w:rsid w:val="000C65F2"/>
    <w:rsid w:val="000C69AD"/>
    <w:rsid w:val="000C7214"/>
    <w:rsid w:val="000C72FB"/>
    <w:rsid w:val="000C7BB8"/>
    <w:rsid w:val="000C7E5D"/>
    <w:rsid w:val="000D0395"/>
    <w:rsid w:val="000D0865"/>
    <w:rsid w:val="000D0974"/>
    <w:rsid w:val="000D142D"/>
    <w:rsid w:val="000D2958"/>
    <w:rsid w:val="000D2FD4"/>
    <w:rsid w:val="000D40DF"/>
    <w:rsid w:val="000D4460"/>
    <w:rsid w:val="000D477E"/>
    <w:rsid w:val="000D48FD"/>
    <w:rsid w:val="000D4AEB"/>
    <w:rsid w:val="000D53EC"/>
    <w:rsid w:val="000D5598"/>
    <w:rsid w:val="000D62C1"/>
    <w:rsid w:val="000D62C4"/>
    <w:rsid w:val="000D6BF8"/>
    <w:rsid w:val="000D7A98"/>
    <w:rsid w:val="000E3704"/>
    <w:rsid w:val="000E3D2E"/>
    <w:rsid w:val="000E4BAA"/>
    <w:rsid w:val="000E5973"/>
    <w:rsid w:val="000F1829"/>
    <w:rsid w:val="000F1957"/>
    <w:rsid w:val="000F1B7B"/>
    <w:rsid w:val="000F2ED4"/>
    <w:rsid w:val="000F31B1"/>
    <w:rsid w:val="000F3932"/>
    <w:rsid w:val="000F3997"/>
    <w:rsid w:val="000F4AD6"/>
    <w:rsid w:val="000F4FD4"/>
    <w:rsid w:val="000F578F"/>
    <w:rsid w:val="00100FAD"/>
    <w:rsid w:val="001012B9"/>
    <w:rsid w:val="0010152D"/>
    <w:rsid w:val="001017F1"/>
    <w:rsid w:val="001018BB"/>
    <w:rsid w:val="00101ADD"/>
    <w:rsid w:val="0010243D"/>
    <w:rsid w:val="001025A3"/>
    <w:rsid w:val="001028E8"/>
    <w:rsid w:val="00102E5C"/>
    <w:rsid w:val="00102F02"/>
    <w:rsid w:val="00104305"/>
    <w:rsid w:val="00104C66"/>
    <w:rsid w:val="0010521E"/>
    <w:rsid w:val="00105CC2"/>
    <w:rsid w:val="00106C91"/>
    <w:rsid w:val="001070EC"/>
    <w:rsid w:val="001076BD"/>
    <w:rsid w:val="00107A66"/>
    <w:rsid w:val="0011034E"/>
    <w:rsid w:val="00110F49"/>
    <w:rsid w:val="00112C34"/>
    <w:rsid w:val="001134D2"/>
    <w:rsid w:val="001135FF"/>
    <w:rsid w:val="00113818"/>
    <w:rsid w:val="00113CCB"/>
    <w:rsid w:val="00114DDD"/>
    <w:rsid w:val="00115CC0"/>
    <w:rsid w:val="00115D7E"/>
    <w:rsid w:val="001161F8"/>
    <w:rsid w:val="0011659F"/>
    <w:rsid w:val="00116DD8"/>
    <w:rsid w:val="00116FB8"/>
    <w:rsid w:val="00117257"/>
    <w:rsid w:val="00117B4B"/>
    <w:rsid w:val="00120D37"/>
    <w:rsid w:val="00122C3C"/>
    <w:rsid w:val="00122D6D"/>
    <w:rsid w:val="00122EA0"/>
    <w:rsid w:val="00122EB1"/>
    <w:rsid w:val="00122FCC"/>
    <w:rsid w:val="001256AA"/>
    <w:rsid w:val="00125E73"/>
    <w:rsid w:val="00126752"/>
    <w:rsid w:val="00126785"/>
    <w:rsid w:val="00126B0A"/>
    <w:rsid w:val="00127023"/>
    <w:rsid w:val="00127704"/>
    <w:rsid w:val="00127A14"/>
    <w:rsid w:val="00130B30"/>
    <w:rsid w:val="00131E06"/>
    <w:rsid w:val="00131F2E"/>
    <w:rsid w:val="001321E2"/>
    <w:rsid w:val="0013264A"/>
    <w:rsid w:val="00132AFF"/>
    <w:rsid w:val="001330A3"/>
    <w:rsid w:val="001330B3"/>
    <w:rsid w:val="00134C0D"/>
    <w:rsid w:val="00135FBE"/>
    <w:rsid w:val="00136064"/>
    <w:rsid w:val="00136DFC"/>
    <w:rsid w:val="00136F6B"/>
    <w:rsid w:val="001373D3"/>
    <w:rsid w:val="001378F4"/>
    <w:rsid w:val="0014067E"/>
    <w:rsid w:val="00140E1C"/>
    <w:rsid w:val="00140F23"/>
    <w:rsid w:val="00140F36"/>
    <w:rsid w:val="001412AD"/>
    <w:rsid w:val="00141A03"/>
    <w:rsid w:val="00141DE5"/>
    <w:rsid w:val="00142ED1"/>
    <w:rsid w:val="00142F63"/>
    <w:rsid w:val="0014403C"/>
    <w:rsid w:val="001442A0"/>
    <w:rsid w:val="001447A9"/>
    <w:rsid w:val="00144B39"/>
    <w:rsid w:val="001458F2"/>
    <w:rsid w:val="00145A92"/>
    <w:rsid w:val="0014633A"/>
    <w:rsid w:val="00147911"/>
    <w:rsid w:val="00147AE4"/>
    <w:rsid w:val="00150345"/>
    <w:rsid w:val="00150754"/>
    <w:rsid w:val="00150B12"/>
    <w:rsid w:val="00150E41"/>
    <w:rsid w:val="00151782"/>
    <w:rsid w:val="001527FE"/>
    <w:rsid w:val="00153703"/>
    <w:rsid w:val="0015398F"/>
    <w:rsid w:val="00153B1A"/>
    <w:rsid w:val="0015407B"/>
    <w:rsid w:val="00154C2A"/>
    <w:rsid w:val="001553C3"/>
    <w:rsid w:val="00155FC5"/>
    <w:rsid w:val="0015610C"/>
    <w:rsid w:val="0015696A"/>
    <w:rsid w:val="00156C8D"/>
    <w:rsid w:val="001571E5"/>
    <w:rsid w:val="00162C50"/>
    <w:rsid w:val="00165878"/>
    <w:rsid w:val="00167F6C"/>
    <w:rsid w:val="00170EC3"/>
    <w:rsid w:val="0017152C"/>
    <w:rsid w:val="0017255E"/>
    <w:rsid w:val="00172936"/>
    <w:rsid w:val="00172E21"/>
    <w:rsid w:val="00173AAD"/>
    <w:rsid w:val="00173F15"/>
    <w:rsid w:val="00174069"/>
    <w:rsid w:val="001747CE"/>
    <w:rsid w:val="001748CA"/>
    <w:rsid w:val="00174C97"/>
    <w:rsid w:val="00175C57"/>
    <w:rsid w:val="00175F54"/>
    <w:rsid w:val="00177590"/>
    <w:rsid w:val="00177666"/>
    <w:rsid w:val="00177725"/>
    <w:rsid w:val="00177959"/>
    <w:rsid w:val="0018024B"/>
    <w:rsid w:val="00180D12"/>
    <w:rsid w:val="00181524"/>
    <w:rsid w:val="00182089"/>
    <w:rsid w:val="00182945"/>
    <w:rsid w:val="00184480"/>
    <w:rsid w:val="001849CA"/>
    <w:rsid w:val="00185410"/>
    <w:rsid w:val="0018546F"/>
    <w:rsid w:val="00185683"/>
    <w:rsid w:val="00185B86"/>
    <w:rsid w:val="00187263"/>
    <w:rsid w:val="0018767F"/>
    <w:rsid w:val="00187FC7"/>
    <w:rsid w:val="00192352"/>
    <w:rsid w:val="00192513"/>
    <w:rsid w:val="00192CF4"/>
    <w:rsid w:val="00192EBE"/>
    <w:rsid w:val="001941B6"/>
    <w:rsid w:val="00194427"/>
    <w:rsid w:val="00195148"/>
    <w:rsid w:val="00196D67"/>
    <w:rsid w:val="00197320"/>
    <w:rsid w:val="001A04A2"/>
    <w:rsid w:val="001A0905"/>
    <w:rsid w:val="001A0C61"/>
    <w:rsid w:val="001A1950"/>
    <w:rsid w:val="001A1CEF"/>
    <w:rsid w:val="001A20F4"/>
    <w:rsid w:val="001A2DB6"/>
    <w:rsid w:val="001A304B"/>
    <w:rsid w:val="001A4367"/>
    <w:rsid w:val="001A4929"/>
    <w:rsid w:val="001A5275"/>
    <w:rsid w:val="001A5BE9"/>
    <w:rsid w:val="001A5E36"/>
    <w:rsid w:val="001A6E95"/>
    <w:rsid w:val="001B0BA7"/>
    <w:rsid w:val="001B2BFC"/>
    <w:rsid w:val="001B30AA"/>
    <w:rsid w:val="001B36D5"/>
    <w:rsid w:val="001B4ED1"/>
    <w:rsid w:val="001B56EF"/>
    <w:rsid w:val="001B650A"/>
    <w:rsid w:val="001B67A4"/>
    <w:rsid w:val="001B6F36"/>
    <w:rsid w:val="001B72B4"/>
    <w:rsid w:val="001C0594"/>
    <w:rsid w:val="001C0F7F"/>
    <w:rsid w:val="001C223B"/>
    <w:rsid w:val="001C2CA8"/>
    <w:rsid w:val="001C2F87"/>
    <w:rsid w:val="001C3C31"/>
    <w:rsid w:val="001C48EE"/>
    <w:rsid w:val="001C4BB5"/>
    <w:rsid w:val="001C4D63"/>
    <w:rsid w:val="001C6CE2"/>
    <w:rsid w:val="001C6F06"/>
    <w:rsid w:val="001C7311"/>
    <w:rsid w:val="001D061F"/>
    <w:rsid w:val="001D081B"/>
    <w:rsid w:val="001D0DE0"/>
    <w:rsid w:val="001D44B7"/>
    <w:rsid w:val="001D4FE2"/>
    <w:rsid w:val="001D5AFF"/>
    <w:rsid w:val="001D74B4"/>
    <w:rsid w:val="001E03E1"/>
    <w:rsid w:val="001E10AA"/>
    <w:rsid w:val="001E11EC"/>
    <w:rsid w:val="001E1B2D"/>
    <w:rsid w:val="001E2062"/>
    <w:rsid w:val="001E21F9"/>
    <w:rsid w:val="001E2227"/>
    <w:rsid w:val="001E348A"/>
    <w:rsid w:val="001E400E"/>
    <w:rsid w:val="001E5FE1"/>
    <w:rsid w:val="001E61E0"/>
    <w:rsid w:val="001E67B7"/>
    <w:rsid w:val="001F059F"/>
    <w:rsid w:val="001F1C32"/>
    <w:rsid w:val="001F2811"/>
    <w:rsid w:val="001F34C4"/>
    <w:rsid w:val="001F507A"/>
    <w:rsid w:val="001F59B8"/>
    <w:rsid w:val="001F5D6B"/>
    <w:rsid w:val="001F7607"/>
    <w:rsid w:val="001F7B83"/>
    <w:rsid w:val="001F7B94"/>
    <w:rsid w:val="001F7BFF"/>
    <w:rsid w:val="00200039"/>
    <w:rsid w:val="00200811"/>
    <w:rsid w:val="00200CA1"/>
    <w:rsid w:val="00200D5D"/>
    <w:rsid w:val="00200EF4"/>
    <w:rsid w:val="00200FC1"/>
    <w:rsid w:val="00201D02"/>
    <w:rsid w:val="002040AC"/>
    <w:rsid w:val="00205309"/>
    <w:rsid w:val="002066B0"/>
    <w:rsid w:val="002079B5"/>
    <w:rsid w:val="00210A6A"/>
    <w:rsid w:val="00212F69"/>
    <w:rsid w:val="0021338D"/>
    <w:rsid w:val="00213690"/>
    <w:rsid w:val="00214410"/>
    <w:rsid w:val="002148FD"/>
    <w:rsid w:val="00214C12"/>
    <w:rsid w:val="00214D43"/>
    <w:rsid w:val="00214EA5"/>
    <w:rsid w:val="00216349"/>
    <w:rsid w:val="00216376"/>
    <w:rsid w:val="00216477"/>
    <w:rsid w:val="002173CE"/>
    <w:rsid w:val="00220D7E"/>
    <w:rsid w:val="00221403"/>
    <w:rsid w:val="00221C99"/>
    <w:rsid w:val="00221ED0"/>
    <w:rsid w:val="0022224E"/>
    <w:rsid w:val="00222808"/>
    <w:rsid w:val="00222CE4"/>
    <w:rsid w:val="002238B4"/>
    <w:rsid w:val="00223B77"/>
    <w:rsid w:val="00225108"/>
    <w:rsid w:val="00225518"/>
    <w:rsid w:val="00225E1B"/>
    <w:rsid w:val="002319AB"/>
    <w:rsid w:val="002319AC"/>
    <w:rsid w:val="00232654"/>
    <w:rsid w:val="002326F1"/>
    <w:rsid w:val="00232AA8"/>
    <w:rsid w:val="00234342"/>
    <w:rsid w:val="00234E07"/>
    <w:rsid w:val="00234FE6"/>
    <w:rsid w:val="0023586F"/>
    <w:rsid w:val="0023706B"/>
    <w:rsid w:val="002372E5"/>
    <w:rsid w:val="0024040D"/>
    <w:rsid w:val="00240579"/>
    <w:rsid w:val="00241C72"/>
    <w:rsid w:val="00241EA9"/>
    <w:rsid w:val="002427A8"/>
    <w:rsid w:val="00242DF7"/>
    <w:rsid w:val="00243B0A"/>
    <w:rsid w:val="00243E2E"/>
    <w:rsid w:val="0024429D"/>
    <w:rsid w:val="0024465D"/>
    <w:rsid w:val="00244B5A"/>
    <w:rsid w:val="0024530E"/>
    <w:rsid w:val="002455F7"/>
    <w:rsid w:val="00245636"/>
    <w:rsid w:val="002457AC"/>
    <w:rsid w:val="00245A0D"/>
    <w:rsid w:val="00245E58"/>
    <w:rsid w:val="00246757"/>
    <w:rsid w:val="00247489"/>
    <w:rsid w:val="00247AD9"/>
    <w:rsid w:val="002502CA"/>
    <w:rsid w:val="00250FF5"/>
    <w:rsid w:val="00251549"/>
    <w:rsid w:val="002528C1"/>
    <w:rsid w:val="00252CEF"/>
    <w:rsid w:val="002530A8"/>
    <w:rsid w:val="0025353E"/>
    <w:rsid w:val="002559B4"/>
    <w:rsid w:val="00255FA3"/>
    <w:rsid w:val="002569E1"/>
    <w:rsid w:val="002570FE"/>
    <w:rsid w:val="00257288"/>
    <w:rsid w:val="002572CB"/>
    <w:rsid w:val="002572E2"/>
    <w:rsid w:val="0025747C"/>
    <w:rsid w:val="00257CC5"/>
    <w:rsid w:val="0026126D"/>
    <w:rsid w:val="00261FB6"/>
    <w:rsid w:val="002629F8"/>
    <w:rsid w:val="00262BFB"/>
    <w:rsid w:val="00263396"/>
    <w:rsid w:val="00263DF3"/>
    <w:rsid w:val="002645B0"/>
    <w:rsid w:val="00264645"/>
    <w:rsid w:val="00265944"/>
    <w:rsid w:val="002659FA"/>
    <w:rsid w:val="00265C35"/>
    <w:rsid w:val="00265FBD"/>
    <w:rsid w:val="00266845"/>
    <w:rsid w:val="00266F09"/>
    <w:rsid w:val="00267815"/>
    <w:rsid w:val="002739CF"/>
    <w:rsid w:val="00273DEA"/>
    <w:rsid w:val="002752BA"/>
    <w:rsid w:val="00280DDF"/>
    <w:rsid w:val="002814D9"/>
    <w:rsid w:val="00281E80"/>
    <w:rsid w:val="00282689"/>
    <w:rsid w:val="002835C8"/>
    <w:rsid w:val="00283FEB"/>
    <w:rsid w:val="0028414A"/>
    <w:rsid w:val="0028513C"/>
    <w:rsid w:val="0028557C"/>
    <w:rsid w:val="00285950"/>
    <w:rsid w:val="00286C9D"/>
    <w:rsid w:val="0028735F"/>
    <w:rsid w:val="00287362"/>
    <w:rsid w:val="00290C8F"/>
    <w:rsid w:val="00290EEC"/>
    <w:rsid w:val="002917FF"/>
    <w:rsid w:val="00292ADF"/>
    <w:rsid w:val="0029616B"/>
    <w:rsid w:val="00296C37"/>
    <w:rsid w:val="002978D8"/>
    <w:rsid w:val="002A0124"/>
    <w:rsid w:val="002A0DEC"/>
    <w:rsid w:val="002A1DDD"/>
    <w:rsid w:val="002A1E67"/>
    <w:rsid w:val="002A2EF9"/>
    <w:rsid w:val="002A3DD4"/>
    <w:rsid w:val="002A4439"/>
    <w:rsid w:val="002A4EED"/>
    <w:rsid w:val="002A56F6"/>
    <w:rsid w:val="002A5E72"/>
    <w:rsid w:val="002A734B"/>
    <w:rsid w:val="002A76BD"/>
    <w:rsid w:val="002B1C53"/>
    <w:rsid w:val="002B2EB6"/>
    <w:rsid w:val="002B2F62"/>
    <w:rsid w:val="002B4256"/>
    <w:rsid w:val="002B4A2C"/>
    <w:rsid w:val="002B5C97"/>
    <w:rsid w:val="002B5F38"/>
    <w:rsid w:val="002B67DB"/>
    <w:rsid w:val="002B7F7F"/>
    <w:rsid w:val="002C0D15"/>
    <w:rsid w:val="002C193F"/>
    <w:rsid w:val="002C239F"/>
    <w:rsid w:val="002C2D0F"/>
    <w:rsid w:val="002C3CA8"/>
    <w:rsid w:val="002C4DF0"/>
    <w:rsid w:val="002C52B0"/>
    <w:rsid w:val="002C58C5"/>
    <w:rsid w:val="002C5E0B"/>
    <w:rsid w:val="002C5E21"/>
    <w:rsid w:val="002C627C"/>
    <w:rsid w:val="002C6E3A"/>
    <w:rsid w:val="002C6EB4"/>
    <w:rsid w:val="002C717F"/>
    <w:rsid w:val="002C7FA7"/>
    <w:rsid w:val="002D0612"/>
    <w:rsid w:val="002D0668"/>
    <w:rsid w:val="002D211E"/>
    <w:rsid w:val="002D23DD"/>
    <w:rsid w:val="002D414B"/>
    <w:rsid w:val="002D4D5A"/>
    <w:rsid w:val="002D6527"/>
    <w:rsid w:val="002D6F21"/>
    <w:rsid w:val="002E0BE4"/>
    <w:rsid w:val="002E1A76"/>
    <w:rsid w:val="002E2A42"/>
    <w:rsid w:val="002E2D09"/>
    <w:rsid w:val="002E3A39"/>
    <w:rsid w:val="002E3B58"/>
    <w:rsid w:val="002E3E8A"/>
    <w:rsid w:val="002E58FD"/>
    <w:rsid w:val="002E5D63"/>
    <w:rsid w:val="002E663E"/>
    <w:rsid w:val="002E6787"/>
    <w:rsid w:val="002E6A6A"/>
    <w:rsid w:val="002E6EAF"/>
    <w:rsid w:val="002E78CB"/>
    <w:rsid w:val="002E7A5A"/>
    <w:rsid w:val="002F1901"/>
    <w:rsid w:val="002F1BED"/>
    <w:rsid w:val="002F22D7"/>
    <w:rsid w:val="002F22FE"/>
    <w:rsid w:val="002F2ACE"/>
    <w:rsid w:val="002F3397"/>
    <w:rsid w:val="002F58BC"/>
    <w:rsid w:val="002F5BDB"/>
    <w:rsid w:val="002F5C1C"/>
    <w:rsid w:val="002F62DA"/>
    <w:rsid w:val="002F64CF"/>
    <w:rsid w:val="002F7BC1"/>
    <w:rsid w:val="00300C50"/>
    <w:rsid w:val="0030115C"/>
    <w:rsid w:val="00301397"/>
    <w:rsid w:val="00301487"/>
    <w:rsid w:val="00301E44"/>
    <w:rsid w:val="0030200D"/>
    <w:rsid w:val="0030234E"/>
    <w:rsid w:val="003033F4"/>
    <w:rsid w:val="0030380D"/>
    <w:rsid w:val="00303D56"/>
    <w:rsid w:val="00303E2B"/>
    <w:rsid w:val="003040C8"/>
    <w:rsid w:val="0030461A"/>
    <w:rsid w:val="00304EDE"/>
    <w:rsid w:val="003051BB"/>
    <w:rsid w:val="0030558F"/>
    <w:rsid w:val="00305C14"/>
    <w:rsid w:val="00306848"/>
    <w:rsid w:val="003069A7"/>
    <w:rsid w:val="00306F5A"/>
    <w:rsid w:val="003073AD"/>
    <w:rsid w:val="00307403"/>
    <w:rsid w:val="00307F52"/>
    <w:rsid w:val="0031067D"/>
    <w:rsid w:val="003122E0"/>
    <w:rsid w:val="00312411"/>
    <w:rsid w:val="003124A8"/>
    <w:rsid w:val="00313370"/>
    <w:rsid w:val="003136D8"/>
    <w:rsid w:val="003138E6"/>
    <w:rsid w:val="003144DF"/>
    <w:rsid w:val="00315352"/>
    <w:rsid w:val="003153BC"/>
    <w:rsid w:val="00315B0E"/>
    <w:rsid w:val="00315B65"/>
    <w:rsid w:val="00316756"/>
    <w:rsid w:val="00316D6A"/>
    <w:rsid w:val="00316E4A"/>
    <w:rsid w:val="00317427"/>
    <w:rsid w:val="00317F69"/>
    <w:rsid w:val="00320898"/>
    <w:rsid w:val="00320A0A"/>
    <w:rsid w:val="00320BD0"/>
    <w:rsid w:val="00321315"/>
    <w:rsid w:val="00321E9D"/>
    <w:rsid w:val="00322136"/>
    <w:rsid w:val="003225FD"/>
    <w:rsid w:val="003228D8"/>
    <w:rsid w:val="0032291F"/>
    <w:rsid w:val="00322947"/>
    <w:rsid w:val="00323E71"/>
    <w:rsid w:val="00325A68"/>
    <w:rsid w:val="00325E0E"/>
    <w:rsid w:val="00326341"/>
    <w:rsid w:val="00326837"/>
    <w:rsid w:val="00326D92"/>
    <w:rsid w:val="003293CB"/>
    <w:rsid w:val="0033126C"/>
    <w:rsid w:val="00331A8F"/>
    <w:rsid w:val="003325BC"/>
    <w:rsid w:val="00332B6D"/>
    <w:rsid w:val="00333677"/>
    <w:rsid w:val="00335E13"/>
    <w:rsid w:val="00336D88"/>
    <w:rsid w:val="00337003"/>
    <w:rsid w:val="003373C0"/>
    <w:rsid w:val="00337895"/>
    <w:rsid w:val="00340332"/>
    <w:rsid w:val="00342331"/>
    <w:rsid w:val="003423E1"/>
    <w:rsid w:val="00344077"/>
    <w:rsid w:val="0034584A"/>
    <w:rsid w:val="003465E8"/>
    <w:rsid w:val="003468FD"/>
    <w:rsid w:val="00346BC8"/>
    <w:rsid w:val="00346C8E"/>
    <w:rsid w:val="003475C1"/>
    <w:rsid w:val="0034788B"/>
    <w:rsid w:val="00347CA8"/>
    <w:rsid w:val="00351102"/>
    <w:rsid w:val="00351A2B"/>
    <w:rsid w:val="00351C9C"/>
    <w:rsid w:val="003520F7"/>
    <w:rsid w:val="0035257E"/>
    <w:rsid w:val="00353433"/>
    <w:rsid w:val="00354098"/>
    <w:rsid w:val="0035429E"/>
    <w:rsid w:val="003567BD"/>
    <w:rsid w:val="00356A5B"/>
    <w:rsid w:val="00356C76"/>
    <w:rsid w:val="00356CB7"/>
    <w:rsid w:val="003577F9"/>
    <w:rsid w:val="00357A80"/>
    <w:rsid w:val="003607FB"/>
    <w:rsid w:val="00361113"/>
    <w:rsid w:val="00361213"/>
    <w:rsid w:val="00361761"/>
    <w:rsid w:val="00361B20"/>
    <w:rsid w:val="00362034"/>
    <w:rsid w:val="00362DE8"/>
    <w:rsid w:val="00363AEF"/>
    <w:rsid w:val="0036401B"/>
    <w:rsid w:val="00365851"/>
    <w:rsid w:val="00365FBF"/>
    <w:rsid w:val="00365FCA"/>
    <w:rsid w:val="00367BD5"/>
    <w:rsid w:val="00370538"/>
    <w:rsid w:val="00370858"/>
    <w:rsid w:val="00371531"/>
    <w:rsid w:val="00371702"/>
    <w:rsid w:val="0037176F"/>
    <w:rsid w:val="00371A2E"/>
    <w:rsid w:val="00371AE8"/>
    <w:rsid w:val="003727AF"/>
    <w:rsid w:val="0037325D"/>
    <w:rsid w:val="003733B0"/>
    <w:rsid w:val="003734B0"/>
    <w:rsid w:val="003734B8"/>
    <w:rsid w:val="00374519"/>
    <w:rsid w:val="003760C2"/>
    <w:rsid w:val="003769D1"/>
    <w:rsid w:val="00376F8A"/>
    <w:rsid w:val="003771FA"/>
    <w:rsid w:val="00377281"/>
    <w:rsid w:val="00380797"/>
    <w:rsid w:val="00381BB6"/>
    <w:rsid w:val="00381BFC"/>
    <w:rsid w:val="00384A3A"/>
    <w:rsid w:val="00384C10"/>
    <w:rsid w:val="00384F12"/>
    <w:rsid w:val="0038534F"/>
    <w:rsid w:val="003854E5"/>
    <w:rsid w:val="00385DA5"/>
    <w:rsid w:val="003863D2"/>
    <w:rsid w:val="0038761F"/>
    <w:rsid w:val="00390327"/>
    <w:rsid w:val="00391AFC"/>
    <w:rsid w:val="0039224C"/>
    <w:rsid w:val="00393899"/>
    <w:rsid w:val="00393B78"/>
    <w:rsid w:val="003942A6"/>
    <w:rsid w:val="00394A71"/>
    <w:rsid w:val="00394F32"/>
    <w:rsid w:val="003970B0"/>
    <w:rsid w:val="0039787A"/>
    <w:rsid w:val="003A01E9"/>
    <w:rsid w:val="003A025A"/>
    <w:rsid w:val="003A057F"/>
    <w:rsid w:val="003A11E3"/>
    <w:rsid w:val="003A2106"/>
    <w:rsid w:val="003A3543"/>
    <w:rsid w:val="003A3D8B"/>
    <w:rsid w:val="003A47DF"/>
    <w:rsid w:val="003A48B6"/>
    <w:rsid w:val="003A5615"/>
    <w:rsid w:val="003A5AC2"/>
    <w:rsid w:val="003A5C48"/>
    <w:rsid w:val="003A6927"/>
    <w:rsid w:val="003A69AC"/>
    <w:rsid w:val="003A6ABE"/>
    <w:rsid w:val="003A724B"/>
    <w:rsid w:val="003B0717"/>
    <w:rsid w:val="003B0DF9"/>
    <w:rsid w:val="003B3691"/>
    <w:rsid w:val="003B38A4"/>
    <w:rsid w:val="003B5173"/>
    <w:rsid w:val="003B5FF4"/>
    <w:rsid w:val="003C0306"/>
    <w:rsid w:val="003C0840"/>
    <w:rsid w:val="003C0DD8"/>
    <w:rsid w:val="003C0E7E"/>
    <w:rsid w:val="003C114C"/>
    <w:rsid w:val="003C11AC"/>
    <w:rsid w:val="003C18C4"/>
    <w:rsid w:val="003C231B"/>
    <w:rsid w:val="003C2B30"/>
    <w:rsid w:val="003C2C0D"/>
    <w:rsid w:val="003C31DF"/>
    <w:rsid w:val="003C3964"/>
    <w:rsid w:val="003C3EDF"/>
    <w:rsid w:val="003C4007"/>
    <w:rsid w:val="003C4128"/>
    <w:rsid w:val="003C465D"/>
    <w:rsid w:val="003C67D0"/>
    <w:rsid w:val="003C7B55"/>
    <w:rsid w:val="003C7EBA"/>
    <w:rsid w:val="003D14BA"/>
    <w:rsid w:val="003D16BE"/>
    <w:rsid w:val="003D1CA5"/>
    <w:rsid w:val="003D2506"/>
    <w:rsid w:val="003D2602"/>
    <w:rsid w:val="003D2BF4"/>
    <w:rsid w:val="003D35F2"/>
    <w:rsid w:val="003D4510"/>
    <w:rsid w:val="003D45B2"/>
    <w:rsid w:val="003D495D"/>
    <w:rsid w:val="003D5705"/>
    <w:rsid w:val="003D5D75"/>
    <w:rsid w:val="003D7206"/>
    <w:rsid w:val="003D7712"/>
    <w:rsid w:val="003D7C66"/>
    <w:rsid w:val="003E098E"/>
    <w:rsid w:val="003E098F"/>
    <w:rsid w:val="003E0B09"/>
    <w:rsid w:val="003E12B8"/>
    <w:rsid w:val="003E1843"/>
    <w:rsid w:val="003E1D5F"/>
    <w:rsid w:val="003E2F1A"/>
    <w:rsid w:val="003E2FA2"/>
    <w:rsid w:val="003E2FAE"/>
    <w:rsid w:val="003E60A9"/>
    <w:rsid w:val="003E6D20"/>
    <w:rsid w:val="003E7B44"/>
    <w:rsid w:val="003F06EB"/>
    <w:rsid w:val="003F14DF"/>
    <w:rsid w:val="003F20E0"/>
    <w:rsid w:val="003F33CA"/>
    <w:rsid w:val="003F36EE"/>
    <w:rsid w:val="003F430C"/>
    <w:rsid w:val="003F4556"/>
    <w:rsid w:val="003F51E8"/>
    <w:rsid w:val="003F5E69"/>
    <w:rsid w:val="00400010"/>
    <w:rsid w:val="0040081B"/>
    <w:rsid w:val="00400FAC"/>
    <w:rsid w:val="00402621"/>
    <w:rsid w:val="00403A23"/>
    <w:rsid w:val="00404574"/>
    <w:rsid w:val="00404B0C"/>
    <w:rsid w:val="00404CB1"/>
    <w:rsid w:val="00404EBE"/>
    <w:rsid w:val="00405E9C"/>
    <w:rsid w:val="00406088"/>
    <w:rsid w:val="00407A07"/>
    <w:rsid w:val="00407A40"/>
    <w:rsid w:val="00407A7A"/>
    <w:rsid w:val="00407CF7"/>
    <w:rsid w:val="00407DBB"/>
    <w:rsid w:val="00407E59"/>
    <w:rsid w:val="00411861"/>
    <w:rsid w:val="00411AE2"/>
    <w:rsid w:val="004127D4"/>
    <w:rsid w:val="004146BF"/>
    <w:rsid w:val="00414A42"/>
    <w:rsid w:val="00415180"/>
    <w:rsid w:val="004151CA"/>
    <w:rsid w:val="004153FD"/>
    <w:rsid w:val="00415ED6"/>
    <w:rsid w:val="00417673"/>
    <w:rsid w:val="00417AAB"/>
    <w:rsid w:val="00417CAF"/>
    <w:rsid w:val="00420198"/>
    <w:rsid w:val="00420228"/>
    <w:rsid w:val="004208E4"/>
    <w:rsid w:val="00420A11"/>
    <w:rsid w:val="00421B3F"/>
    <w:rsid w:val="00422265"/>
    <w:rsid w:val="00423336"/>
    <w:rsid w:val="00425CD1"/>
    <w:rsid w:val="00425E50"/>
    <w:rsid w:val="0042657E"/>
    <w:rsid w:val="0042718C"/>
    <w:rsid w:val="00427367"/>
    <w:rsid w:val="004308DD"/>
    <w:rsid w:val="00435AEF"/>
    <w:rsid w:val="00435D88"/>
    <w:rsid w:val="00436A88"/>
    <w:rsid w:val="004373A7"/>
    <w:rsid w:val="00437A8B"/>
    <w:rsid w:val="00437D94"/>
    <w:rsid w:val="0044030C"/>
    <w:rsid w:val="004424DA"/>
    <w:rsid w:val="00443551"/>
    <w:rsid w:val="00443BB9"/>
    <w:rsid w:val="00443D77"/>
    <w:rsid w:val="004446B6"/>
    <w:rsid w:val="00444D75"/>
    <w:rsid w:val="004459A0"/>
    <w:rsid w:val="00445A0C"/>
    <w:rsid w:val="00450EF8"/>
    <w:rsid w:val="00451174"/>
    <w:rsid w:val="00452542"/>
    <w:rsid w:val="00454081"/>
    <w:rsid w:val="004541FE"/>
    <w:rsid w:val="004545B4"/>
    <w:rsid w:val="00455323"/>
    <w:rsid w:val="00455598"/>
    <w:rsid w:val="00455A13"/>
    <w:rsid w:val="00456E80"/>
    <w:rsid w:val="00456F2D"/>
    <w:rsid w:val="00457F43"/>
    <w:rsid w:val="00460780"/>
    <w:rsid w:val="004621D3"/>
    <w:rsid w:val="004638C7"/>
    <w:rsid w:val="00463E8F"/>
    <w:rsid w:val="00464540"/>
    <w:rsid w:val="004648A4"/>
    <w:rsid w:val="00464D21"/>
    <w:rsid w:val="00464EE7"/>
    <w:rsid w:val="0046669A"/>
    <w:rsid w:val="00466CFA"/>
    <w:rsid w:val="00466FB6"/>
    <w:rsid w:val="00467DBA"/>
    <w:rsid w:val="004708C3"/>
    <w:rsid w:val="00470C1A"/>
    <w:rsid w:val="004710FB"/>
    <w:rsid w:val="00471380"/>
    <w:rsid w:val="00471A83"/>
    <w:rsid w:val="00471F83"/>
    <w:rsid w:val="00472240"/>
    <w:rsid w:val="004722C1"/>
    <w:rsid w:val="00472FB7"/>
    <w:rsid w:val="00473AB6"/>
    <w:rsid w:val="00473B19"/>
    <w:rsid w:val="00473C0B"/>
    <w:rsid w:val="00473E01"/>
    <w:rsid w:val="00474037"/>
    <w:rsid w:val="0047425A"/>
    <w:rsid w:val="00474A33"/>
    <w:rsid w:val="00475528"/>
    <w:rsid w:val="00476E9D"/>
    <w:rsid w:val="0048051E"/>
    <w:rsid w:val="0048117C"/>
    <w:rsid w:val="00481629"/>
    <w:rsid w:val="00481B81"/>
    <w:rsid w:val="00482399"/>
    <w:rsid w:val="004842D1"/>
    <w:rsid w:val="004845F5"/>
    <w:rsid w:val="00486617"/>
    <w:rsid w:val="00487F4E"/>
    <w:rsid w:val="0049016C"/>
    <w:rsid w:val="004905B5"/>
    <w:rsid w:val="0049291D"/>
    <w:rsid w:val="00492D42"/>
    <w:rsid w:val="00493420"/>
    <w:rsid w:val="00494764"/>
    <w:rsid w:val="00494D2A"/>
    <w:rsid w:val="00494DAF"/>
    <w:rsid w:val="00494E9E"/>
    <w:rsid w:val="00494F0D"/>
    <w:rsid w:val="00495AEF"/>
    <w:rsid w:val="00495F45"/>
    <w:rsid w:val="00495F87"/>
    <w:rsid w:val="00496BFD"/>
    <w:rsid w:val="00497023"/>
    <w:rsid w:val="00497563"/>
    <w:rsid w:val="0049763E"/>
    <w:rsid w:val="004977CA"/>
    <w:rsid w:val="00497C42"/>
    <w:rsid w:val="004A0885"/>
    <w:rsid w:val="004A0D3D"/>
    <w:rsid w:val="004A0FF5"/>
    <w:rsid w:val="004A1699"/>
    <w:rsid w:val="004A1C0C"/>
    <w:rsid w:val="004A3101"/>
    <w:rsid w:val="004A31C2"/>
    <w:rsid w:val="004A3DF2"/>
    <w:rsid w:val="004A4527"/>
    <w:rsid w:val="004A45B3"/>
    <w:rsid w:val="004A5B87"/>
    <w:rsid w:val="004A5C1F"/>
    <w:rsid w:val="004A7047"/>
    <w:rsid w:val="004A7095"/>
    <w:rsid w:val="004B1E6A"/>
    <w:rsid w:val="004B2077"/>
    <w:rsid w:val="004B2124"/>
    <w:rsid w:val="004B24ED"/>
    <w:rsid w:val="004B2D4F"/>
    <w:rsid w:val="004B43E0"/>
    <w:rsid w:val="004B4655"/>
    <w:rsid w:val="004C043B"/>
    <w:rsid w:val="004C361D"/>
    <w:rsid w:val="004C36F5"/>
    <w:rsid w:val="004C3702"/>
    <w:rsid w:val="004C3926"/>
    <w:rsid w:val="004C397D"/>
    <w:rsid w:val="004C39B4"/>
    <w:rsid w:val="004C3EBA"/>
    <w:rsid w:val="004C3F94"/>
    <w:rsid w:val="004C4891"/>
    <w:rsid w:val="004C7101"/>
    <w:rsid w:val="004C7276"/>
    <w:rsid w:val="004C76C6"/>
    <w:rsid w:val="004C78A0"/>
    <w:rsid w:val="004D0475"/>
    <w:rsid w:val="004D2433"/>
    <w:rsid w:val="004D2B14"/>
    <w:rsid w:val="004D2C89"/>
    <w:rsid w:val="004D300F"/>
    <w:rsid w:val="004D351A"/>
    <w:rsid w:val="004D49FB"/>
    <w:rsid w:val="004D4C1D"/>
    <w:rsid w:val="004D5C1E"/>
    <w:rsid w:val="004D5D93"/>
    <w:rsid w:val="004D5EA9"/>
    <w:rsid w:val="004D79DA"/>
    <w:rsid w:val="004D7F35"/>
    <w:rsid w:val="004E10B1"/>
    <w:rsid w:val="004E1504"/>
    <w:rsid w:val="004E15C1"/>
    <w:rsid w:val="004E1CC0"/>
    <w:rsid w:val="004E244D"/>
    <w:rsid w:val="004E2AB6"/>
    <w:rsid w:val="004E3932"/>
    <w:rsid w:val="004E439C"/>
    <w:rsid w:val="004E4D44"/>
    <w:rsid w:val="004E55C8"/>
    <w:rsid w:val="004E5FDD"/>
    <w:rsid w:val="004E6AC8"/>
    <w:rsid w:val="004E6BAC"/>
    <w:rsid w:val="004F0840"/>
    <w:rsid w:val="004F1792"/>
    <w:rsid w:val="004F1E79"/>
    <w:rsid w:val="004F24C9"/>
    <w:rsid w:val="004F3C4F"/>
    <w:rsid w:val="004F4537"/>
    <w:rsid w:val="004F5D46"/>
    <w:rsid w:val="004F5F33"/>
    <w:rsid w:val="004F6F72"/>
    <w:rsid w:val="005003FA"/>
    <w:rsid w:val="0050103A"/>
    <w:rsid w:val="00502193"/>
    <w:rsid w:val="0050312C"/>
    <w:rsid w:val="005032BC"/>
    <w:rsid w:val="0050356C"/>
    <w:rsid w:val="005039ED"/>
    <w:rsid w:val="00503FA7"/>
    <w:rsid w:val="00504A62"/>
    <w:rsid w:val="00504B09"/>
    <w:rsid w:val="005061CD"/>
    <w:rsid w:val="0050638F"/>
    <w:rsid w:val="00510EBE"/>
    <w:rsid w:val="00511B0F"/>
    <w:rsid w:val="00512502"/>
    <w:rsid w:val="0051268B"/>
    <w:rsid w:val="00512906"/>
    <w:rsid w:val="00512F9E"/>
    <w:rsid w:val="0051343B"/>
    <w:rsid w:val="00513F9A"/>
    <w:rsid w:val="00514A14"/>
    <w:rsid w:val="005152D7"/>
    <w:rsid w:val="00515E53"/>
    <w:rsid w:val="00516936"/>
    <w:rsid w:val="005169CB"/>
    <w:rsid w:val="00516DE7"/>
    <w:rsid w:val="0051751B"/>
    <w:rsid w:val="0052119E"/>
    <w:rsid w:val="00521D09"/>
    <w:rsid w:val="00521DC1"/>
    <w:rsid w:val="00523245"/>
    <w:rsid w:val="00523B43"/>
    <w:rsid w:val="0052403B"/>
    <w:rsid w:val="00524964"/>
    <w:rsid w:val="00524F27"/>
    <w:rsid w:val="00525C46"/>
    <w:rsid w:val="00526518"/>
    <w:rsid w:val="0052716E"/>
    <w:rsid w:val="005300FE"/>
    <w:rsid w:val="00530300"/>
    <w:rsid w:val="005308B4"/>
    <w:rsid w:val="00531322"/>
    <w:rsid w:val="00531EBD"/>
    <w:rsid w:val="00532928"/>
    <w:rsid w:val="00533F2D"/>
    <w:rsid w:val="00534790"/>
    <w:rsid w:val="00534BDE"/>
    <w:rsid w:val="0053624B"/>
    <w:rsid w:val="00536721"/>
    <w:rsid w:val="00536FB2"/>
    <w:rsid w:val="00540552"/>
    <w:rsid w:val="00543BA7"/>
    <w:rsid w:val="00543DA9"/>
    <w:rsid w:val="005447FB"/>
    <w:rsid w:val="005448A0"/>
    <w:rsid w:val="00544AE9"/>
    <w:rsid w:val="00546793"/>
    <w:rsid w:val="00547634"/>
    <w:rsid w:val="00547772"/>
    <w:rsid w:val="00547DD1"/>
    <w:rsid w:val="005500BD"/>
    <w:rsid w:val="005504C2"/>
    <w:rsid w:val="00551AEA"/>
    <w:rsid w:val="00552E59"/>
    <w:rsid w:val="00553294"/>
    <w:rsid w:val="0055388E"/>
    <w:rsid w:val="00557476"/>
    <w:rsid w:val="005576C2"/>
    <w:rsid w:val="00561C8E"/>
    <w:rsid w:val="00563FCF"/>
    <w:rsid w:val="00564034"/>
    <w:rsid w:val="00564BC7"/>
    <w:rsid w:val="00565075"/>
    <w:rsid w:val="005652B2"/>
    <w:rsid w:val="00565F10"/>
    <w:rsid w:val="00566010"/>
    <w:rsid w:val="005675E3"/>
    <w:rsid w:val="00567660"/>
    <w:rsid w:val="00571005"/>
    <w:rsid w:val="00571256"/>
    <w:rsid w:val="0057129A"/>
    <w:rsid w:val="00571B1A"/>
    <w:rsid w:val="005722BC"/>
    <w:rsid w:val="005754AE"/>
    <w:rsid w:val="005759B7"/>
    <w:rsid w:val="00575AC2"/>
    <w:rsid w:val="00576219"/>
    <w:rsid w:val="005763D7"/>
    <w:rsid w:val="0057659B"/>
    <w:rsid w:val="00576ADC"/>
    <w:rsid w:val="00577FB5"/>
    <w:rsid w:val="00581003"/>
    <w:rsid w:val="00581766"/>
    <w:rsid w:val="005817A4"/>
    <w:rsid w:val="00581DDB"/>
    <w:rsid w:val="00582811"/>
    <w:rsid w:val="00582948"/>
    <w:rsid w:val="00582E33"/>
    <w:rsid w:val="00583E41"/>
    <w:rsid w:val="00583F8E"/>
    <w:rsid w:val="005851F6"/>
    <w:rsid w:val="005852D1"/>
    <w:rsid w:val="00585A61"/>
    <w:rsid w:val="00586F69"/>
    <w:rsid w:val="00587A22"/>
    <w:rsid w:val="00587BD2"/>
    <w:rsid w:val="00587E35"/>
    <w:rsid w:val="005900A8"/>
    <w:rsid w:val="00590AC6"/>
    <w:rsid w:val="005910D2"/>
    <w:rsid w:val="00591F14"/>
    <w:rsid w:val="00592477"/>
    <w:rsid w:val="0059299D"/>
    <w:rsid w:val="00592A95"/>
    <w:rsid w:val="00592C79"/>
    <w:rsid w:val="00593247"/>
    <w:rsid w:val="00593490"/>
    <w:rsid w:val="00593719"/>
    <w:rsid w:val="00594BC1"/>
    <w:rsid w:val="00594DF5"/>
    <w:rsid w:val="0059566C"/>
    <w:rsid w:val="005957CE"/>
    <w:rsid w:val="00595C8C"/>
    <w:rsid w:val="005973DA"/>
    <w:rsid w:val="00597747"/>
    <w:rsid w:val="00597DFB"/>
    <w:rsid w:val="005A0E3D"/>
    <w:rsid w:val="005A12C5"/>
    <w:rsid w:val="005A1589"/>
    <w:rsid w:val="005A1F80"/>
    <w:rsid w:val="005A20D1"/>
    <w:rsid w:val="005A2770"/>
    <w:rsid w:val="005A38B9"/>
    <w:rsid w:val="005A48C6"/>
    <w:rsid w:val="005A4B29"/>
    <w:rsid w:val="005A4CDD"/>
    <w:rsid w:val="005A57E1"/>
    <w:rsid w:val="005A6825"/>
    <w:rsid w:val="005B0240"/>
    <w:rsid w:val="005B0412"/>
    <w:rsid w:val="005B054A"/>
    <w:rsid w:val="005B1028"/>
    <w:rsid w:val="005B19D1"/>
    <w:rsid w:val="005B32BB"/>
    <w:rsid w:val="005B3868"/>
    <w:rsid w:val="005B4517"/>
    <w:rsid w:val="005B4B86"/>
    <w:rsid w:val="005B50E3"/>
    <w:rsid w:val="005B5462"/>
    <w:rsid w:val="005B54AA"/>
    <w:rsid w:val="005B57E4"/>
    <w:rsid w:val="005B5ABD"/>
    <w:rsid w:val="005B5AD3"/>
    <w:rsid w:val="005B5DD1"/>
    <w:rsid w:val="005B72B6"/>
    <w:rsid w:val="005B7798"/>
    <w:rsid w:val="005B7BBF"/>
    <w:rsid w:val="005B7FC8"/>
    <w:rsid w:val="005C140A"/>
    <w:rsid w:val="005C1A23"/>
    <w:rsid w:val="005C316C"/>
    <w:rsid w:val="005C34A3"/>
    <w:rsid w:val="005C35DE"/>
    <w:rsid w:val="005C3DFD"/>
    <w:rsid w:val="005C411E"/>
    <w:rsid w:val="005C52AB"/>
    <w:rsid w:val="005C5A13"/>
    <w:rsid w:val="005C63F0"/>
    <w:rsid w:val="005C6763"/>
    <w:rsid w:val="005C6B89"/>
    <w:rsid w:val="005C6C01"/>
    <w:rsid w:val="005D0113"/>
    <w:rsid w:val="005D1789"/>
    <w:rsid w:val="005D3164"/>
    <w:rsid w:val="005D331D"/>
    <w:rsid w:val="005D454E"/>
    <w:rsid w:val="005D4F35"/>
    <w:rsid w:val="005D5633"/>
    <w:rsid w:val="005D6B6A"/>
    <w:rsid w:val="005D70B4"/>
    <w:rsid w:val="005E0344"/>
    <w:rsid w:val="005E0363"/>
    <w:rsid w:val="005E0C18"/>
    <w:rsid w:val="005E17B4"/>
    <w:rsid w:val="005E1DC3"/>
    <w:rsid w:val="005E211F"/>
    <w:rsid w:val="005E2A40"/>
    <w:rsid w:val="005E440B"/>
    <w:rsid w:val="005E4E1B"/>
    <w:rsid w:val="005E5F39"/>
    <w:rsid w:val="005E6056"/>
    <w:rsid w:val="005E6A7D"/>
    <w:rsid w:val="005E6E15"/>
    <w:rsid w:val="005E7B61"/>
    <w:rsid w:val="005F0580"/>
    <w:rsid w:val="005F0895"/>
    <w:rsid w:val="005F136A"/>
    <w:rsid w:val="005F2C85"/>
    <w:rsid w:val="005F4D62"/>
    <w:rsid w:val="005F73C6"/>
    <w:rsid w:val="005F744F"/>
    <w:rsid w:val="005F778E"/>
    <w:rsid w:val="00600F44"/>
    <w:rsid w:val="00602360"/>
    <w:rsid w:val="0060278F"/>
    <w:rsid w:val="00602A78"/>
    <w:rsid w:val="00602AF2"/>
    <w:rsid w:val="00602DBE"/>
    <w:rsid w:val="00603C66"/>
    <w:rsid w:val="00603E7B"/>
    <w:rsid w:val="006056FC"/>
    <w:rsid w:val="0060589C"/>
    <w:rsid w:val="006059BB"/>
    <w:rsid w:val="00605ADB"/>
    <w:rsid w:val="00605B43"/>
    <w:rsid w:val="006073B4"/>
    <w:rsid w:val="00607FA9"/>
    <w:rsid w:val="00611835"/>
    <w:rsid w:val="00611C9F"/>
    <w:rsid w:val="00612B81"/>
    <w:rsid w:val="00612CA2"/>
    <w:rsid w:val="00612ECC"/>
    <w:rsid w:val="00613C8E"/>
    <w:rsid w:val="006144B4"/>
    <w:rsid w:val="00614D92"/>
    <w:rsid w:val="006178BC"/>
    <w:rsid w:val="00617BB0"/>
    <w:rsid w:val="00620583"/>
    <w:rsid w:val="006213A5"/>
    <w:rsid w:val="00621882"/>
    <w:rsid w:val="00621ADB"/>
    <w:rsid w:val="00621BF6"/>
    <w:rsid w:val="00621D74"/>
    <w:rsid w:val="00622FF2"/>
    <w:rsid w:val="00623A37"/>
    <w:rsid w:val="006245E5"/>
    <w:rsid w:val="006247B9"/>
    <w:rsid w:val="00625E6F"/>
    <w:rsid w:val="00626978"/>
    <w:rsid w:val="00627380"/>
    <w:rsid w:val="00627555"/>
    <w:rsid w:val="00627B76"/>
    <w:rsid w:val="00627D7D"/>
    <w:rsid w:val="00630B06"/>
    <w:rsid w:val="00630FB3"/>
    <w:rsid w:val="00631407"/>
    <w:rsid w:val="006316C4"/>
    <w:rsid w:val="00632064"/>
    <w:rsid w:val="006320C3"/>
    <w:rsid w:val="0063211B"/>
    <w:rsid w:val="006322A0"/>
    <w:rsid w:val="0063283F"/>
    <w:rsid w:val="00634389"/>
    <w:rsid w:val="006347BE"/>
    <w:rsid w:val="00634AE0"/>
    <w:rsid w:val="006352D8"/>
    <w:rsid w:val="006361FD"/>
    <w:rsid w:val="00636581"/>
    <w:rsid w:val="00636659"/>
    <w:rsid w:val="00636951"/>
    <w:rsid w:val="00636AD1"/>
    <w:rsid w:val="006374F7"/>
    <w:rsid w:val="00637B24"/>
    <w:rsid w:val="00637C68"/>
    <w:rsid w:val="0064089E"/>
    <w:rsid w:val="00640E48"/>
    <w:rsid w:val="00640E70"/>
    <w:rsid w:val="0064162B"/>
    <w:rsid w:val="0064226F"/>
    <w:rsid w:val="00642F4D"/>
    <w:rsid w:val="00643A8D"/>
    <w:rsid w:val="00643D15"/>
    <w:rsid w:val="00644117"/>
    <w:rsid w:val="00644130"/>
    <w:rsid w:val="0064500F"/>
    <w:rsid w:val="00645FF3"/>
    <w:rsid w:val="006461FF"/>
    <w:rsid w:val="00646650"/>
    <w:rsid w:val="00646F95"/>
    <w:rsid w:val="0064726F"/>
    <w:rsid w:val="006479FE"/>
    <w:rsid w:val="00651145"/>
    <w:rsid w:val="00651CD5"/>
    <w:rsid w:val="00651E15"/>
    <w:rsid w:val="00652242"/>
    <w:rsid w:val="00652B26"/>
    <w:rsid w:val="00653298"/>
    <w:rsid w:val="00653756"/>
    <w:rsid w:val="00653B49"/>
    <w:rsid w:val="0065445F"/>
    <w:rsid w:val="00654783"/>
    <w:rsid w:val="0065492D"/>
    <w:rsid w:val="00654BAB"/>
    <w:rsid w:val="00655655"/>
    <w:rsid w:val="00656521"/>
    <w:rsid w:val="0065712E"/>
    <w:rsid w:val="0065729B"/>
    <w:rsid w:val="00660109"/>
    <w:rsid w:val="0066320F"/>
    <w:rsid w:val="00663A7C"/>
    <w:rsid w:val="006640F6"/>
    <w:rsid w:val="00664522"/>
    <w:rsid w:val="0066452C"/>
    <w:rsid w:val="0066722F"/>
    <w:rsid w:val="00667D60"/>
    <w:rsid w:val="00667DF2"/>
    <w:rsid w:val="00670BF6"/>
    <w:rsid w:val="00670DF1"/>
    <w:rsid w:val="00671345"/>
    <w:rsid w:val="00672212"/>
    <w:rsid w:val="00672A9B"/>
    <w:rsid w:val="00673249"/>
    <w:rsid w:val="00673330"/>
    <w:rsid w:val="00673807"/>
    <w:rsid w:val="00674646"/>
    <w:rsid w:val="00674F05"/>
    <w:rsid w:val="006756EF"/>
    <w:rsid w:val="00675884"/>
    <w:rsid w:val="0067589A"/>
    <w:rsid w:val="00676A45"/>
    <w:rsid w:val="0067736F"/>
    <w:rsid w:val="00677BDD"/>
    <w:rsid w:val="00680B3E"/>
    <w:rsid w:val="00680D20"/>
    <w:rsid w:val="00680E94"/>
    <w:rsid w:val="0068232A"/>
    <w:rsid w:val="00683303"/>
    <w:rsid w:val="0068348F"/>
    <w:rsid w:val="006846EE"/>
    <w:rsid w:val="006848FA"/>
    <w:rsid w:val="0068543D"/>
    <w:rsid w:val="006858E6"/>
    <w:rsid w:val="0068625E"/>
    <w:rsid w:val="00687F26"/>
    <w:rsid w:val="006903EC"/>
    <w:rsid w:val="006912A1"/>
    <w:rsid w:val="00691719"/>
    <w:rsid w:val="00691824"/>
    <w:rsid w:val="00691E60"/>
    <w:rsid w:val="006922DF"/>
    <w:rsid w:val="0069358B"/>
    <w:rsid w:val="00693811"/>
    <w:rsid w:val="00693A2B"/>
    <w:rsid w:val="00694201"/>
    <w:rsid w:val="00694380"/>
    <w:rsid w:val="00694402"/>
    <w:rsid w:val="0069597D"/>
    <w:rsid w:val="006966CA"/>
    <w:rsid w:val="00696D09"/>
    <w:rsid w:val="00696EE0"/>
    <w:rsid w:val="00697980"/>
    <w:rsid w:val="00697C58"/>
    <w:rsid w:val="00697EDB"/>
    <w:rsid w:val="006A0454"/>
    <w:rsid w:val="006A19EF"/>
    <w:rsid w:val="006A3A44"/>
    <w:rsid w:val="006A43D5"/>
    <w:rsid w:val="006A4539"/>
    <w:rsid w:val="006A46AE"/>
    <w:rsid w:val="006A525B"/>
    <w:rsid w:val="006A64A5"/>
    <w:rsid w:val="006A65F3"/>
    <w:rsid w:val="006A6732"/>
    <w:rsid w:val="006A7012"/>
    <w:rsid w:val="006A74BF"/>
    <w:rsid w:val="006B21BF"/>
    <w:rsid w:val="006B2CC1"/>
    <w:rsid w:val="006B325A"/>
    <w:rsid w:val="006B3370"/>
    <w:rsid w:val="006B3420"/>
    <w:rsid w:val="006B446E"/>
    <w:rsid w:val="006B4DCC"/>
    <w:rsid w:val="006B4F8A"/>
    <w:rsid w:val="006B63CF"/>
    <w:rsid w:val="006B6EB6"/>
    <w:rsid w:val="006C045F"/>
    <w:rsid w:val="006C136E"/>
    <w:rsid w:val="006C1B4F"/>
    <w:rsid w:val="006C2B94"/>
    <w:rsid w:val="006C3D17"/>
    <w:rsid w:val="006C4196"/>
    <w:rsid w:val="006C5373"/>
    <w:rsid w:val="006C57CE"/>
    <w:rsid w:val="006C63B0"/>
    <w:rsid w:val="006C6B5F"/>
    <w:rsid w:val="006C7654"/>
    <w:rsid w:val="006C76A2"/>
    <w:rsid w:val="006C792E"/>
    <w:rsid w:val="006D116C"/>
    <w:rsid w:val="006D1E53"/>
    <w:rsid w:val="006D2776"/>
    <w:rsid w:val="006D2F66"/>
    <w:rsid w:val="006D33DA"/>
    <w:rsid w:val="006D3D97"/>
    <w:rsid w:val="006D487C"/>
    <w:rsid w:val="006D57D6"/>
    <w:rsid w:val="006D58A0"/>
    <w:rsid w:val="006D69EA"/>
    <w:rsid w:val="006E0B0D"/>
    <w:rsid w:val="006E0DCE"/>
    <w:rsid w:val="006E1346"/>
    <w:rsid w:val="006E1386"/>
    <w:rsid w:val="006E158E"/>
    <w:rsid w:val="006E1A37"/>
    <w:rsid w:val="006E1F57"/>
    <w:rsid w:val="006E200C"/>
    <w:rsid w:val="006E22C1"/>
    <w:rsid w:val="006E362C"/>
    <w:rsid w:val="006E38DA"/>
    <w:rsid w:val="006E3F91"/>
    <w:rsid w:val="006E4673"/>
    <w:rsid w:val="006E4E79"/>
    <w:rsid w:val="006E672A"/>
    <w:rsid w:val="006E6BEB"/>
    <w:rsid w:val="006E70D9"/>
    <w:rsid w:val="006E74AE"/>
    <w:rsid w:val="006E7C42"/>
    <w:rsid w:val="006F04A1"/>
    <w:rsid w:val="006F0E77"/>
    <w:rsid w:val="006F168A"/>
    <w:rsid w:val="006F1B78"/>
    <w:rsid w:val="006F1E57"/>
    <w:rsid w:val="006F4461"/>
    <w:rsid w:val="006F47EA"/>
    <w:rsid w:val="006F5076"/>
    <w:rsid w:val="006F5C0C"/>
    <w:rsid w:val="006F6009"/>
    <w:rsid w:val="006F6AF5"/>
    <w:rsid w:val="006F7C26"/>
    <w:rsid w:val="006F7F60"/>
    <w:rsid w:val="00701775"/>
    <w:rsid w:val="007018CD"/>
    <w:rsid w:val="00702F90"/>
    <w:rsid w:val="0070321D"/>
    <w:rsid w:val="00703A80"/>
    <w:rsid w:val="00703C6D"/>
    <w:rsid w:val="0070551B"/>
    <w:rsid w:val="0070562E"/>
    <w:rsid w:val="0070659D"/>
    <w:rsid w:val="007068BA"/>
    <w:rsid w:val="00706C82"/>
    <w:rsid w:val="00706EEF"/>
    <w:rsid w:val="0070727F"/>
    <w:rsid w:val="00710AF0"/>
    <w:rsid w:val="00710FEB"/>
    <w:rsid w:val="00712C29"/>
    <w:rsid w:val="00713D0C"/>
    <w:rsid w:val="00714729"/>
    <w:rsid w:val="007149FA"/>
    <w:rsid w:val="00714FA5"/>
    <w:rsid w:val="007150B2"/>
    <w:rsid w:val="007154C5"/>
    <w:rsid w:val="00716578"/>
    <w:rsid w:val="00716AB1"/>
    <w:rsid w:val="00716D14"/>
    <w:rsid w:val="00716EE5"/>
    <w:rsid w:val="00717762"/>
    <w:rsid w:val="00717C3A"/>
    <w:rsid w:val="00717D6C"/>
    <w:rsid w:val="0072007F"/>
    <w:rsid w:val="00721D63"/>
    <w:rsid w:val="00723E3E"/>
    <w:rsid w:val="00724096"/>
    <w:rsid w:val="007250A3"/>
    <w:rsid w:val="007269A8"/>
    <w:rsid w:val="00726F00"/>
    <w:rsid w:val="0072751F"/>
    <w:rsid w:val="00727565"/>
    <w:rsid w:val="00732C7B"/>
    <w:rsid w:val="00732E39"/>
    <w:rsid w:val="0073309E"/>
    <w:rsid w:val="00734BB4"/>
    <w:rsid w:val="00734D2B"/>
    <w:rsid w:val="00735DBA"/>
    <w:rsid w:val="00737705"/>
    <w:rsid w:val="00737847"/>
    <w:rsid w:val="007405B2"/>
    <w:rsid w:val="007408D4"/>
    <w:rsid w:val="00740BCC"/>
    <w:rsid w:val="00741D2A"/>
    <w:rsid w:val="007420AC"/>
    <w:rsid w:val="00742617"/>
    <w:rsid w:val="007435EF"/>
    <w:rsid w:val="007437E9"/>
    <w:rsid w:val="00744E78"/>
    <w:rsid w:val="00745C60"/>
    <w:rsid w:val="00745F2B"/>
    <w:rsid w:val="00746038"/>
    <w:rsid w:val="007471D4"/>
    <w:rsid w:val="00750662"/>
    <w:rsid w:val="007506C3"/>
    <w:rsid w:val="007511C8"/>
    <w:rsid w:val="0075155C"/>
    <w:rsid w:val="00751E4F"/>
    <w:rsid w:val="00752419"/>
    <w:rsid w:val="00752B1E"/>
    <w:rsid w:val="00752CF2"/>
    <w:rsid w:val="007533CA"/>
    <w:rsid w:val="00755354"/>
    <w:rsid w:val="007554A0"/>
    <w:rsid w:val="007554DC"/>
    <w:rsid w:val="00756D18"/>
    <w:rsid w:val="00760B9A"/>
    <w:rsid w:val="00760FAB"/>
    <w:rsid w:val="00763F00"/>
    <w:rsid w:val="007644CB"/>
    <w:rsid w:val="00764AAE"/>
    <w:rsid w:val="00764F21"/>
    <w:rsid w:val="00765102"/>
    <w:rsid w:val="00765935"/>
    <w:rsid w:val="007659B1"/>
    <w:rsid w:val="00766E8E"/>
    <w:rsid w:val="00767456"/>
    <w:rsid w:val="00767D70"/>
    <w:rsid w:val="0077008E"/>
    <w:rsid w:val="007700CF"/>
    <w:rsid w:val="00770252"/>
    <w:rsid w:val="0077126F"/>
    <w:rsid w:val="007729A7"/>
    <w:rsid w:val="007739A0"/>
    <w:rsid w:val="00774883"/>
    <w:rsid w:val="007752E0"/>
    <w:rsid w:val="00777102"/>
    <w:rsid w:val="00780465"/>
    <w:rsid w:val="007810D0"/>
    <w:rsid w:val="00781DE1"/>
    <w:rsid w:val="007831C8"/>
    <w:rsid w:val="00783232"/>
    <w:rsid w:val="00783AFA"/>
    <w:rsid w:val="00784948"/>
    <w:rsid w:val="00785427"/>
    <w:rsid w:val="0078634D"/>
    <w:rsid w:val="00786D4C"/>
    <w:rsid w:val="00787255"/>
    <w:rsid w:val="00787A77"/>
    <w:rsid w:val="00787C3D"/>
    <w:rsid w:val="00787CF8"/>
    <w:rsid w:val="00787DB4"/>
    <w:rsid w:val="00790540"/>
    <w:rsid w:val="00790933"/>
    <w:rsid w:val="007910EC"/>
    <w:rsid w:val="00791482"/>
    <w:rsid w:val="007914A4"/>
    <w:rsid w:val="00794580"/>
    <w:rsid w:val="00794F39"/>
    <w:rsid w:val="00795BBF"/>
    <w:rsid w:val="007968CA"/>
    <w:rsid w:val="0079691E"/>
    <w:rsid w:val="00797131"/>
    <w:rsid w:val="007973A7"/>
    <w:rsid w:val="007A0FC9"/>
    <w:rsid w:val="007A1C72"/>
    <w:rsid w:val="007A27C0"/>
    <w:rsid w:val="007A2B59"/>
    <w:rsid w:val="007A2B5F"/>
    <w:rsid w:val="007A3302"/>
    <w:rsid w:val="007A43FF"/>
    <w:rsid w:val="007A49C1"/>
    <w:rsid w:val="007A50F9"/>
    <w:rsid w:val="007A573B"/>
    <w:rsid w:val="007A60F4"/>
    <w:rsid w:val="007A7031"/>
    <w:rsid w:val="007A7381"/>
    <w:rsid w:val="007A7569"/>
    <w:rsid w:val="007B03B7"/>
    <w:rsid w:val="007B11C9"/>
    <w:rsid w:val="007B1E88"/>
    <w:rsid w:val="007B2D78"/>
    <w:rsid w:val="007B3918"/>
    <w:rsid w:val="007B4150"/>
    <w:rsid w:val="007B46F0"/>
    <w:rsid w:val="007B4FE6"/>
    <w:rsid w:val="007B56DE"/>
    <w:rsid w:val="007B57A7"/>
    <w:rsid w:val="007B6DC6"/>
    <w:rsid w:val="007B7EB9"/>
    <w:rsid w:val="007C09A9"/>
    <w:rsid w:val="007C0AD9"/>
    <w:rsid w:val="007C0B55"/>
    <w:rsid w:val="007C0F4A"/>
    <w:rsid w:val="007C17F2"/>
    <w:rsid w:val="007C2D93"/>
    <w:rsid w:val="007C3917"/>
    <w:rsid w:val="007C3C1D"/>
    <w:rsid w:val="007C4408"/>
    <w:rsid w:val="007C52ED"/>
    <w:rsid w:val="007C5FFB"/>
    <w:rsid w:val="007C66ED"/>
    <w:rsid w:val="007C6A9E"/>
    <w:rsid w:val="007C6B82"/>
    <w:rsid w:val="007C761A"/>
    <w:rsid w:val="007D0AF2"/>
    <w:rsid w:val="007D11C2"/>
    <w:rsid w:val="007D17B8"/>
    <w:rsid w:val="007D199A"/>
    <w:rsid w:val="007D2EBE"/>
    <w:rsid w:val="007D32C0"/>
    <w:rsid w:val="007D3F6B"/>
    <w:rsid w:val="007D433E"/>
    <w:rsid w:val="007D5CA8"/>
    <w:rsid w:val="007D5E20"/>
    <w:rsid w:val="007D6C23"/>
    <w:rsid w:val="007E0166"/>
    <w:rsid w:val="007E0A4C"/>
    <w:rsid w:val="007E0F29"/>
    <w:rsid w:val="007E10DA"/>
    <w:rsid w:val="007E1A31"/>
    <w:rsid w:val="007E1C07"/>
    <w:rsid w:val="007E1C8B"/>
    <w:rsid w:val="007E3893"/>
    <w:rsid w:val="007E4194"/>
    <w:rsid w:val="007E42E4"/>
    <w:rsid w:val="007E4459"/>
    <w:rsid w:val="007E4604"/>
    <w:rsid w:val="007E6569"/>
    <w:rsid w:val="007E6727"/>
    <w:rsid w:val="007E6D57"/>
    <w:rsid w:val="007E6EFA"/>
    <w:rsid w:val="007E702C"/>
    <w:rsid w:val="007E72C4"/>
    <w:rsid w:val="007F082F"/>
    <w:rsid w:val="007F0B90"/>
    <w:rsid w:val="007F1FFA"/>
    <w:rsid w:val="007F24B6"/>
    <w:rsid w:val="007F27EA"/>
    <w:rsid w:val="007F2A70"/>
    <w:rsid w:val="007F326B"/>
    <w:rsid w:val="007F3301"/>
    <w:rsid w:val="007F43DA"/>
    <w:rsid w:val="007F5EFE"/>
    <w:rsid w:val="007F6460"/>
    <w:rsid w:val="007F6E96"/>
    <w:rsid w:val="007F73B9"/>
    <w:rsid w:val="007F7C7E"/>
    <w:rsid w:val="007F7ED2"/>
    <w:rsid w:val="0080098F"/>
    <w:rsid w:val="00801D0F"/>
    <w:rsid w:val="00801EB1"/>
    <w:rsid w:val="00803C31"/>
    <w:rsid w:val="00803D94"/>
    <w:rsid w:val="00806D68"/>
    <w:rsid w:val="00810AC3"/>
    <w:rsid w:val="00811222"/>
    <w:rsid w:val="00811F64"/>
    <w:rsid w:val="008121FF"/>
    <w:rsid w:val="0081233B"/>
    <w:rsid w:val="00812A69"/>
    <w:rsid w:val="00813249"/>
    <w:rsid w:val="00815241"/>
    <w:rsid w:val="00815CBB"/>
    <w:rsid w:val="00816A49"/>
    <w:rsid w:val="00821845"/>
    <w:rsid w:val="00821885"/>
    <w:rsid w:val="008220A1"/>
    <w:rsid w:val="008229BA"/>
    <w:rsid w:val="00823237"/>
    <w:rsid w:val="00824090"/>
    <w:rsid w:val="00824D1B"/>
    <w:rsid w:val="00825714"/>
    <w:rsid w:val="00825E91"/>
    <w:rsid w:val="008267C6"/>
    <w:rsid w:val="0083059E"/>
    <w:rsid w:val="00831D83"/>
    <w:rsid w:val="00833250"/>
    <w:rsid w:val="00833FD6"/>
    <w:rsid w:val="00834D9F"/>
    <w:rsid w:val="008361BD"/>
    <w:rsid w:val="00836496"/>
    <w:rsid w:val="008370D9"/>
    <w:rsid w:val="00837640"/>
    <w:rsid w:val="00841000"/>
    <w:rsid w:val="008413F0"/>
    <w:rsid w:val="00841A10"/>
    <w:rsid w:val="00842516"/>
    <w:rsid w:val="008426BD"/>
    <w:rsid w:val="008447F9"/>
    <w:rsid w:val="00845390"/>
    <w:rsid w:val="008453A5"/>
    <w:rsid w:val="00845641"/>
    <w:rsid w:val="0084601B"/>
    <w:rsid w:val="0084694A"/>
    <w:rsid w:val="008472DD"/>
    <w:rsid w:val="00847450"/>
    <w:rsid w:val="0084789D"/>
    <w:rsid w:val="00847CAF"/>
    <w:rsid w:val="0085197D"/>
    <w:rsid w:val="00851984"/>
    <w:rsid w:val="00852473"/>
    <w:rsid w:val="00852679"/>
    <w:rsid w:val="00853586"/>
    <w:rsid w:val="00853A6C"/>
    <w:rsid w:val="00853CCF"/>
    <w:rsid w:val="008545C0"/>
    <w:rsid w:val="00855E87"/>
    <w:rsid w:val="008579CA"/>
    <w:rsid w:val="008606F0"/>
    <w:rsid w:val="00861A70"/>
    <w:rsid w:val="008623D8"/>
    <w:rsid w:val="00862544"/>
    <w:rsid w:val="008632A8"/>
    <w:rsid w:val="00865489"/>
    <w:rsid w:val="0086553D"/>
    <w:rsid w:val="00865A63"/>
    <w:rsid w:val="00867322"/>
    <w:rsid w:val="00867C5A"/>
    <w:rsid w:val="0087104C"/>
    <w:rsid w:val="008711F2"/>
    <w:rsid w:val="00871EEF"/>
    <w:rsid w:val="00874FEB"/>
    <w:rsid w:val="008752D7"/>
    <w:rsid w:val="00876659"/>
    <w:rsid w:val="00877495"/>
    <w:rsid w:val="008779D7"/>
    <w:rsid w:val="00877CE7"/>
    <w:rsid w:val="008801E6"/>
    <w:rsid w:val="00880527"/>
    <w:rsid w:val="0088064F"/>
    <w:rsid w:val="00880E76"/>
    <w:rsid w:val="00881B6F"/>
    <w:rsid w:val="00881BC4"/>
    <w:rsid w:val="00881FFA"/>
    <w:rsid w:val="008829CD"/>
    <w:rsid w:val="00882AA4"/>
    <w:rsid w:val="00883E22"/>
    <w:rsid w:val="00884E43"/>
    <w:rsid w:val="008850AA"/>
    <w:rsid w:val="008874B0"/>
    <w:rsid w:val="00887EC6"/>
    <w:rsid w:val="008906C9"/>
    <w:rsid w:val="0089084C"/>
    <w:rsid w:val="008909F8"/>
    <w:rsid w:val="008910FB"/>
    <w:rsid w:val="00891E7C"/>
    <w:rsid w:val="0089279C"/>
    <w:rsid w:val="00892A10"/>
    <w:rsid w:val="00893409"/>
    <w:rsid w:val="00893D9F"/>
    <w:rsid w:val="0089425F"/>
    <w:rsid w:val="0089501D"/>
    <w:rsid w:val="008951A6"/>
    <w:rsid w:val="008963E5"/>
    <w:rsid w:val="0089712A"/>
    <w:rsid w:val="00897BB1"/>
    <w:rsid w:val="008A0EEF"/>
    <w:rsid w:val="008A11DB"/>
    <w:rsid w:val="008A2379"/>
    <w:rsid w:val="008A2D9F"/>
    <w:rsid w:val="008A3B53"/>
    <w:rsid w:val="008A4329"/>
    <w:rsid w:val="008A532C"/>
    <w:rsid w:val="008A578E"/>
    <w:rsid w:val="008A7805"/>
    <w:rsid w:val="008B10C3"/>
    <w:rsid w:val="008B1519"/>
    <w:rsid w:val="008B238D"/>
    <w:rsid w:val="008B23CC"/>
    <w:rsid w:val="008B277B"/>
    <w:rsid w:val="008B2B6F"/>
    <w:rsid w:val="008B342F"/>
    <w:rsid w:val="008B41F3"/>
    <w:rsid w:val="008B468D"/>
    <w:rsid w:val="008B4EE4"/>
    <w:rsid w:val="008B5036"/>
    <w:rsid w:val="008B5101"/>
    <w:rsid w:val="008B51F7"/>
    <w:rsid w:val="008B5D15"/>
    <w:rsid w:val="008B621A"/>
    <w:rsid w:val="008B664B"/>
    <w:rsid w:val="008B69E3"/>
    <w:rsid w:val="008B74B6"/>
    <w:rsid w:val="008B77A8"/>
    <w:rsid w:val="008B7BCC"/>
    <w:rsid w:val="008C20B7"/>
    <w:rsid w:val="008C2118"/>
    <w:rsid w:val="008C26AA"/>
    <w:rsid w:val="008C2DD1"/>
    <w:rsid w:val="008C301C"/>
    <w:rsid w:val="008C3737"/>
    <w:rsid w:val="008C3BC3"/>
    <w:rsid w:val="008C45E1"/>
    <w:rsid w:val="008C4FB9"/>
    <w:rsid w:val="008C50C3"/>
    <w:rsid w:val="008C5110"/>
    <w:rsid w:val="008C5A91"/>
    <w:rsid w:val="008C6027"/>
    <w:rsid w:val="008C6240"/>
    <w:rsid w:val="008C6735"/>
    <w:rsid w:val="008C7094"/>
    <w:rsid w:val="008C75B6"/>
    <w:rsid w:val="008C7FAE"/>
    <w:rsid w:val="008D037C"/>
    <w:rsid w:val="008D0588"/>
    <w:rsid w:val="008D0B59"/>
    <w:rsid w:val="008D2B97"/>
    <w:rsid w:val="008D3EAE"/>
    <w:rsid w:val="008D3FD3"/>
    <w:rsid w:val="008D430A"/>
    <w:rsid w:val="008D49A5"/>
    <w:rsid w:val="008D4D6A"/>
    <w:rsid w:val="008D513C"/>
    <w:rsid w:val="008D534F"/>
    <w:rsid w:val="008D54BE"/>
    <w:rsid w:val="008D5C36"/>
    <w:rsid w:val="008D5FAB"/>
    <w:rsid w:val="008D6C81"/>
    <w:rsid w:val="008D78F2"/>
    <w:rsid w:val="008D792E"/>
    <w:rsid w:val="008E08E9"/>
    <w:rsid w:val="008E1283"/>
    <w:rsid w:val="008E12A2"/>
    <w:rsid w:val="008E14C8"/>
    <w:rsid w:val="008E1C41"/>
    <w:rsid w:val="008E1E06"/>
    <w:rsid w:val="008E272C"/>
    <w:rsid w:val="008E2914"/>
    <w:rsid w:val="008E444D"/>
    <w:rsid w:val="008E4D73"/>
    <w:rsid w:val="008E525E"/>
    <w:rsid w:val="008E6574"/>
    <w:rsid w:val="008E6CF0"/>
    <w:rsid w:val="008E79FE"/>
    <w:rsid w:val="008F1065"/>
    <w:rsid w:val="008F1439"/>
    <w:rsid w:val="008F1E11"/>
    <w:rsid w:val="008F2124"/>
    <w:rsid w:val="008F3154"/>
    <w:rsid w:val="008F318A"/>
    <w:rsid w:val="008F40DA"/>
    <w:rsid w:val="008F4A11"/>
    <w:rsid w:val="008F4E96"/>
    <w:rsid w:val="008F4F84"/>
    <w:rsid w:val="008F59BF"/>
    <w:rsid w:val="008F60E0"/>
    <w:rsid w:val="008F660E"/>
    <w:rsid w:val="008F66A5"/>
    <w:rsid w:val="008F6E87"/>
    <w:rsid w:val="008F7051"/>
    <w:rsid w:val="008F70F1"/>
    <w:rsid w:val="008F726D"/>
    <w:rsid w:val="008F7465"/>
    <w:rsid w:val="008F75EF"/>
    <w:rsid w:val="008F76E5"/>
    <w:rsid w:val="00900EEC"/>
    <w:rsid w:val="00900FC7"/>
    <w:rsid w:val="009023BE"/>
    <w:rsid w:val="00902FB7"/>
    <w:rsid w:val="009033A9"/>
    <w:rsid w:val="0090351C"/>
    <w:rsid w:val="00903722"/>
    <w:rsid w:val="00904152"/>
    <w:rsid w:val="00904B3F"/>
    <w:rsid w:val="00905540"/>
    <w:rsid w:val="0090581D"/>
    <w:rsid w:val="009059DB"/>
    <w:rsid w:val="009073E1"/>
    <w:rsid w:val="00907DE7"/>
    <w:rsid w:val="00910319"/>
    <w:rsid w:val="009106EB"/>
    <w:rsid w:val="00911567"/>
    <w:rsid w:val="0091275C"/>
    <w:rsid w:val="00912CC6"/>
    <w:rsid w:val="0091439C"/>
    <w:rsid w:val="009145E5"/>
    <w:rsid w:val="00914604"/>
    <w:rsid w:val="009146F2"/>
    <w:rsid w:val="009149DA"/>
    <w:rsid w:val="00915381"/>
    <w:rsid w:val="0091796C"/>
    <w:rsid w:val="00920572"/>
    <w:rsid w:val="00920BF2"/>
    <w:rsid w:val="00921719"/>
    <w:rsid w:val="00921961"/>
    <w:rsid w:val="00921B09"/>
    <w:rsid w:val="0092256E"/>
    <w:rsid w:val="00923E7F"/>
    <w:rsid w:val="00924F05"/>
    <w:rsid w:val="00925984"/>
    <w:rsid w:val="009260FA"/>
    <w:rsid w:val="009266A3"/>
    <w:rsid w:val="00926DE4"/>
    <w:rsid w:val="00927784"/>
    <w:rsid w:val="009278A0"/>
    <w:rsid w:val="00927CA4"/>
    <w:rsid w:val="009300D2"/>
    <w:rsid w:val="00930799"/>
    <w:rsid w:val="00930BD0"/>
    <w:rsid w:val="00930DDF"/>
    <w:rsid w:val="00931172"/>
    <w:rsid w:val="009316DD"/>
    <w:rsid w:val="00931758"/>
    <w:rsid w:val="00931C7C"/>
    <w:rsid w:val="00932698"/>
    <w:rsid w:val="00933F5D"/>
    <w:rsid w:val="009349A9"/>
    <w:rsid w:val="00936C52"/>
    <w:rsid w:val="0093723B"/>
    <w:rsid w:val="00937403"/>
    <w:rsid w:val="00937609"/>
    <w:rsid w:val="00937BC3"/>
    <w:rsid w:val="009413CA"/>
    <w:rsid w:val="00944537"/>
    <w:rsid w:val="00944ACC"/>
    <w:rsid w:val="00944B41"/>
    <w:rsid w:val="00944EAB"/>
    <w:rsid w:val="009457A8"/>
    <w:rsid w:val="00945907"/>
    <w:rsid w:val="009459B7"/>
    <w:rsid w:val="00945BD9"/>
    <w:rsid w:val="00945CA7"/>
    <w:rsid w:val="0094720A"/>
    <w:rsid w:val="00950687"/>
    <w:rsid w:val="00950E1F"/>
    <w:rsid w:val="00951216"/>
    <w:rsid w:val="00951F83"/>
    <w:rsid w:val="00952344"/>
    <w:rsid w:val="00952AE4"/>
    <w:rsid w:val="00952C62"/>
    <w:rsid w:val="00953F07"/>
    <w:rsid w:val="0095489B"/>
    <w:rsid w:val="009555B3"/>
    <w:rsid w:val="00960233"/>
    <w:rsid w:val="009615FB"/>
    <w:rsid w:val="00962EC3"/>
    <w:rsid w:val="00963886"/>
    <w:rsid w:val="00963943"/>
    <w:rsid w:val="00963C36"/>
    <w:rsid w:val="00964FA8"/>
    <w:rsid w:val="0096505A"/>
    <w:rsid w:val="009655DE"/>
    <w:rsid w:val="009657D5"/>
    <w:rsid w:val="00966C5A"/>
    <w:rsid w:val="00966FB9"/>
    <w:rsid w:val="009671CD"/>
    <w:rsid w:val="00970603"/>
    <w:rsid w:val="00970F88"/>
    <w:rsid w:val="009715AE"/>
    <w:rsid w:val="0097186D"/>
    <w:rsid w:val="00971A26"/>
    <w:rsid w:val="009728F6"/>
    <w:rsid w:val="00972B41"/>
    <w:rsid w:val="009737B7"/>
    <w:rsid w:val="00974309"/>
    <w:rsid w:val="009751A9"/>
    <w:rsid w:val="00976412"/>
    <w:rsid w:val="0097648D"/>
    <w:rsid w:val="00976DD4"/>
    <w:rsid w:val="00976E04"/>
    <w:rsid w:val="0097785C"/>
    <w:rsid w:val="00980598"/>
    <w:rsid w:val="00980F9C"/>
    <w:rsid w:val="00983E57"/>
    <w:rsid w:val="0098402D"/>
    <w:rsid w:val="00984761"/>
    <w:rsid w:val="00985477"/>
    <w:rsid w:val="0098567C"/>
    <w:rsid w:val="00985B49"/>
    <w:rsid w:val="0098632B"/>
    <w:rsid w:val="009902FE"/>
    <w:rsid w:val="00992C71"/>
    <w:rsid w:val="00993BD5"/>
    <w:rsid w:val="0099451B"/>
    <w:rsid w:val="00996208"/>
    <w:rsid w:val="00996B10"/>
    <w:rsid w:val="00996D9D"/>
    <w:rsid w:val="00996ED1"/>
    <w:rsid w:val="00997BFB"/>
    <w:rsid w:val="009A1122"/>
    <w:rsid w:val="009A1326"/>
    <w:rsid w:val="009A2F63"/>
    <w:rsid w:val="009A3768"/>
    <w:rsid w:val="009A5B12"/>
    <w:rsid w:val="009A68D3"/>
    <w:rsid w:val="009A7348"/>
    <w:rsid w:val="009B1D8F"/>
    <w:rsid w:val="009B2582"/>
    <w:rsid w:val="009B2847"/>
    <w:rsid w:val="009B29F2"/>
    <w:rsid w:val="009B2A51"/>
    <w:rsid w:val="009B2F5B"/>
    <w:rsid w:val="009B33F0"/>
    <w:rsid w:val="009B3878"/>
    <w:rsid w:val="009B39BA"/>
    <w:rsid w:val="009B4062"/>
    <w:rsid w:val="009B42F4"/>
    <w:rsid w:val="009B443A"/>
    <w:rsid w:val="009B462C"/>
    <w:rsid w:val="009B6757"/>
    <w:rsid w:val="009B6969"/>
    <w:rsid w:val="009B7EEF"/>
    <w:rsid w:val="009B7FD0"/>
    <w:rsid w:val="009C0587"/>
    <w:rsid w:val="009C15A7"/>
    <w:rsid w:val="009C15F3"/>
    <w:rsid w:val="009C17C2"/>
    <w:rsid w:val="009C1F7F"/>
    <w:rsid w:val="009C29F5"/>
    <w:rsid w:val="009C30EC"/>
    <w:rsid w:val="009C447F"/>
    <w:rsid w:val="009C4C86"/>
    <w:rsid w:val="009C5834"/>
    <w:rsid w:val="009C5BD4"/>
    <w:rsid w:val="009C6298"/>
    <w:rsid w:val="009C6380"/>
    <w:rsid w:val="009C6EAE"/>
    <w:rsid w:val="009C7DE7"/>
    <w:rsid w:val="009D2876"/>
    <w:rsid w:val="009D2FAE"/>
    <w:rsid w:val="009D326E"/>
    <w:rsid w:val="009D3AE1"/>
    <w:rsid w:val="009D4316"/>
    <w:rsid w:val="009D4A90"/>
    <w:rsid w:val="009D4D5C"/>
    <w:rsid w:val="009D4DF7"/>
    <w:rsid w:val="009D50AB"/>
    <w:rsid w:val="009D55AF"/>
    <w:rsid w:val="009D581B"/>
    <w:rsid w:val="009D7A86"/>
    <w:rsid w:val="009D7CCC"/>
    <w:rsid w:val="009E01CA"/>
    <w:rsid w:val="009E0332"/>
    <w:rsid w:val="009E07C2"/>
    <w:rsid w:val="009E0E52"/>
    <w:rsid w:val="009E112A"/>
    <w:rsid w:val="009E17B3"/>
    <w:rsid w:val="009E1973"/>
    <w:rsid w:val="009E25AF"/>
    <w:rsid w:val="009E32B9"/>
    <w:rsid w:val="009E4251"/>
    <w:rsid w:val="009E53A5"/>
    <w:rsid w:val="009E552E"/>
    <w:rsid w:val="009E66CE"/>
    <w:rsid w:val="009E6F95"/>
    <w:rsid w:val="009E741D"/>
    <w:rsid w:val="009E7642"/>
    <w:rsid w:val="009F24C0"/>
    <w:rsid w:val="009F27F2"/>
    <w:rsid w:val="009F286F"/>
    <w:rsid w:val="009F2FA5"/>
    <w:rsid w:val="009F3844"/>
    <w:rsid w:val="009F42A9"/>
    <w:rsid w:val="009F52FB"/>
    <w:rsid w:val="009F56E5"/>
    <w:rsid w:val="009F5A3E"/>
    <w:rsid w:val="009F6068"/>
    <w:rsid w:val="009F66CF"/>
    <w:rsid w:val="009F72F9"/>
    <w:rsid w:val="009F7C5E"/>
    <w:rsid w:val="00A00193"/>
    <w:rsid w:val="00A00205"/>
    <w:rsid w:val="00A003E5"/>
    <w:rsid w:val="00A00710"/>
    <w:rsid w:val="00A00AF0"/>
    <w:rsid w:val="00A00E4B"/>
    <w:rsid w:val="00A01B16"/>
    <w:rsid w:val="00A01E40"/>
    <w:rsid w:val="00A02669"/>
    <w:rsid w:val="00A035FB"/>
    <w:rsid w:val="00A05228"/>
    <w:rsid w:val="00A056ED"/>
    <w:rsid w:val="00A05792"/>
    <w:rsid w:val="00A057CF"/>
    <w:rsid w:val="00A06CEF"/>
    <w:rsid w:val="00A11BAD"/>
    <w:rsid w:val="00A127F5"/>
    <w:rsid w:val="00A132DF"/>
    <w:rsid w:val="00A1460F"/>
    <w:rsid w:val="00A147E9"/>
    <w:rsid w:val="00A14B5A"/>
    <w:rsid w:val="00A14CE5"/>
    <w:rsid w:val="00A15329"/>
    <w:rsid w:val="00A1660D"/>
    <w:rsid w:val="00A16EE2"/>
    <w:rsid w:val="00A17A57"/>
    <w:rsid w:val="00A2069F"/>
    <w:rsid w:val="00A20FF4"/>
    <w:rsid w:val="00A236CA"/>
    <w:rsid w:val="00A23E7A"/>
    <w:rsid w:val="00A24709"/>
    <w:rsid w:val="00A24A42"/>
    <w:rsid w:val="00A254EF"/>
    <w:rsid w:val="00A25CDA"/>
    <w:rsid w:val="00A25D95"/>
    <w:rsid w:val="00A2661B"/>
    <w:rsid w:val="00A276DF"/>
    <w:rsid w:val="00A27F12"/>
    <w:rsid w:val="00A31D26"/>
    <w:rsid w:val="00A32FB4"/>
    <w:rsid w:val="00A33D03"/>
    <w:rsid w:val="00A3443C"/>
    <w:rsid w:val="00A3567F"/>
    <w:rsid w:val="00A35C0D"/>
    <w:rsid w:val="00A35D3E"/>
    <w:rsid w:val="00A35F47"/>
    <w:rsid w:val="00A3672F"/>
    <w:rsid w:val="00A37698"/>
    <w:rsid w:val="00A3781A"/>
    <w:rsid w:val="00A37A7D"/>
    <w:rsid w:val="00A4020F"/>
    <w:rsid w:val="00A40EC3"/>
    <w:rsid w:val="00A416BC"/>
    <w:rsid w:val="00A41825"/>
    <w:rsid w:val="00A41ED3"/>
    <w:rsid w:val="00A430EB"/>
    <w:rsid w:val="00A4335F"/>
    <w:rsid w:val="00A441AA"/>
    <w:rsid w:val="00A44972"/>
    <w:rsid w:val="00A44C89"/>
    <w:rsid w:val="00A4586E"/>
    <w:rsid w:val="00A45879"/>
    <w:rsid w:val="00A4599A"/>
    <w:rsid w:val="00A46157"/>
    <w:rsid w:val="00A46917"/>
    <w:rsid w:val="00A47D55"/>
    <w:rsid w:val="00A501CD"/>
    <w:rsid w:val="00A5109C"/>
    <w:rsid w:val="00A51B6A"/>
    <w:rsid w:val="00A51EB3"/>
    <w:rsid w:val="00A53351"/>
    <w:rsid w:val="00A5335A"/>
    <w:rsid w:val="00A53652"/>
    <w:rsid w:val="00A536BD"/>
    <w:rsid w:val="00A53953"/>
    <w:rsid w:val="00A53D44"/>
    <w:rsid w:val="00A540D8"/>
    <w:rsid w:val="00A5425E"/>
    <w:rsid w:val="00A552BD"/>
    <w:rsid w:val="00A56478"/>
    <w:rsid w:val="00A56C01"/>
    <w:rsid w:val="00A5706D"/>
    <w:rsid w:val="00A573DC"/>
    <w:rsid w:val="00A573FA"/>
    <w:rsid w:val="00A57D8E"/>
    <w:rsid w:val="00A60005"/>
    <w:rsid w:val="00A61308"/>
    <w:rsid w:val="00A61581"/>
    <w:rsid w:val="00A63F46"/>
    <w:rsid w:val="00A644CD"/>
    <w:rsid w:val="00A644E8"/>
    <w:rsid w:val="00A6587E"/>
    <w:rsid w:val="00A677B8"/>
    <w:rsid w:val="00A678A5"/>
    <w:rsid w:val="00A67D10"/>
    <w:rsid w:val="00A7061E"/>
    <w:rsid w:val="00A70B95"/>
    <w:rsid w:val="00A70EE7"/>
    <w:rsid w:val="00A70F5F"/>
    <w:rsid w:val="00A7159E"/>
    <w:rsid w:val="00A732A3"/>
    <w:rsid w:val="00A73789"/>
    <w:rsid w:val="00A73D43"/>
    <w:rsid w:val="00A74AA0"/>
    <w:rsid w:val="00A74DEA"/>
    <w:rsid w:val="00A74EA2"/>
    <w:rsid w:val="00A7569B"/>
    <w:rsid w:val="00A76770"/>
    <w:rsid w:val="00A8002B"/>
    <w:rsid w:val="00A80F40"/>
    <w:rsid w:val="00A81D82"/>
    <w:rsid w:val="00A8215B"/>
    <w:rsid w:val="00A82A81"/>
    <w:rsid w:val="00A82A8E"/>
    <w:rsid w:val="00A82C71"/>
    <w:rsid w:val="00A82D69"/>
    <w:rsid w:val="00A84D55"/>
    <w:rsid w:val="00A85454"/>
    <w:rsid w:val="00A8606E"/>
    <w:rsid w:val="00A8610E"/>
    <w:rsid w:val="00A86746"/>
    <w:rsid w:val="00A909DE"/>
    <w:rsid w:val="00A90C54"/>
    <w:rsid w:val="00A91343"/>
    <w:rsid w:val="00A9207E"/>
    <w:rsid w:val="00A924AD"/>
    <w:rsid w:val="00A928C6"/>
    <w:rsid w:val="00A92D45"/>
    <w:rsid w:val="00A939EE"/>
    <w:rsid w:val="00A93A00"/>
    <w:rsid w:val="00A93A2A"/>
    <w:rsid w:val="00A93E33"/>
    <w:rsid w:val="00A93E7F"/>
    <w:rsid w:val="00A94C0C"/>
    <w:rsid w:val="00A9506F"/>
    <w:rsid w:val="00A95936"/>
    <w:rsid w:val="00A97004"/>
    <w:rsid w:val="00AA001C"/>
    <w:rsid w:val="00AA09B9"/>
    <w:rsid w:val="00AA0A53"/>
    <w:rsid w:val="00AA0FDF"/>
    <w:rsid w:val="00AA0FF0"/>
    <w:rsid w:val="00AA1DF2"/>
    <w:rsid w:val="00AA2210"/>
    <w:rsid w:val="00AA3073"/>
    <w:rsid w:val="00AA4388"/>
    <w:rsid w:val="00AA6D10"/>
    <w:rsid w:val="00AA7A69"/>
    <w:rsid w:val="00AA7B3F"/>
    <w:rsid w:val="00AB0CB8"/>
    <w:rsid w:val="00AB0F2C"/>
    <w:rsid w:val="00AB16F6"/>
    <w:rsid w:val="00AB202F"/>
    <w:rsid w:val="00AB26A8"/>
    <w:rsid w:val="00AB3CC3"/>
    <w:rsid w:val="00AB41B6"/>
    <w:rsid w:val="00AB42C5"/>
    <w:rsid w:val="00AB4683"/>
    <w:rsid w:val="00AB4B58"/>
    <w:rsid w:val="00AB4C88"/>
    <w:rsid w:val="00AB5841"/>
    <w:rsid w:val="00AB6970"/>
    <w:rsid w:val="00AB6E07"/>
    <w:rsid w:val="00AB6FDA"/>
    <w:rsid w:val="00AB7E60"/>
    <w:rsid w:val="00AC03BD"/>
    <w:rsid w:val="00AC182F"/>
    <w:rsid w:val="00AC1939"/>
    <w:rsid w:val="00AC2017"/>
    <w:rsid w:val="00AC2B59"/>
    <w:rsid w:val="00AC39FC"/>
    <w:rsid w:val="00AC43F6"/>
    <w:rsid w:val="00AC44C5"/>
    <w:rsid w:val="00AC4514"/>
    <w:rsid w:val="00AC5162"/>
    <w:rsid w:val="00AC53C3"/>
    <w:rsid w:val="00AC58C6"/>
    <w:rsid w:val="00AC5B33"/>
    <w:rsid w:val="00AC6182"/>
    <w:rsid w:val="00AC6C6A"/>
    <w:rsid w:val="00AC74D2"/>
    <w:rsid w:val="00AC7AA0"/>
    <w:rsid w:val="00AC7C05"/>
    <w:rsid w:val="00AD006D"/>
    <w:rsid w:val="00AD167C"/>
    <w:rsid w:val="00AD17C7"/>
    <w:rsid w:val="00AD2462"/>
    <w:rsid w:val="00AD26E8"/>
    <w:rsid w:val="00AD29A8"/>
    <w:rsid w:val="00AD2DED"/>
    <w:rsid w:val="00AD4041"/>
    <w:rsid w:val="00AD4E59"/>
    <w:rsid w:val="00AD674A"/>
    <w:rsid w:val="00AD78FC"/>
    <w:rsid w:val="00AE0968"/>
    <w:rsid w:val="00AE0991"/>
    <w:rsid w:val="00AE143A"/>
    <w:rsid w:val="00AE1EE2"/>
    <w:rsid w:val="00AE2A51"/>
    <w:rsid w:val="00AE2F70"/>
    <w:rsid w:val="00AE302B"/>
    <w:rsid w:val="00AE4744"/>
    <w:rsid w:val="00AE4BBB"/>
    <w:rsid w:val="00AE4D56"/>
    <w:rsid w:val="00AE4DE3"/>
    <w:rsid w:val="00AE4F54"/>
    <w:rsid w:val="00AE5F38"/>
    <w:rsid w:val="00AE61FB"/>
    <w:rsid w:val="00AE6A1E"/>
    <w:rsid w:val="00AE76B7"/>
    <w:rsid w:val="00AE7CDD"/>
    <w:rsid w:val="00AF0820"/>
    <w:rsid w:val="00AF159E"/>
    <w:rsid w:val="00AF2813"/>
    <w:rsid w:val="00AF31F0"/>
    <w:rsid w:val="00AF3747"/>
    <w:rsid w:val="00AF3BF1"/>
    <w:rsid w:val="00AF434F"/>
    <w:rsid w:val="00AF610E"/>
    <w:rsid w:val="00AF620A"/>
    <w:rsid w:val="00AF66ED"/>
    <w:rsid w:val="00AF6813"/>
    <w:rsid w:val="00AF69CB"/>
    <w:rsid w:val="00B00AF0"/>
    <w:rsid w:val="00B0173D"/>
    <w:rsid w:val="00B025F7"/>
    <w:rsid w:val="00B029D1"/>
    <w:rsid w:val="00B03E91"/>
    <w:rsid w:val="00B04BF4"/>
    <w:rsid w:val="00B04CB3"/>
    <w:rsid w:val="00B04D4F"/>
    <w:rsid w:val="00B04DB0"/>
    <w:rsid w:val="00B05566"/>
    <w:rsid w:val="00B05D04"/>
    <w:rsid w:val="00B05EED"/>
    <w:rsid w:val="00B0704A"/>
    <w:rsid w:val="00B07C79"/>
    <w:rsid w:val="00B11404"/>
    <w:rsid w:val="00B129B9"/>
    <w:rsid w:val="00B12C16"/>
    <w:rsid w:val="00B1331C"/>
    <w:rsid w:val="00B14A1A"/>
    <w:rsid w:val="00B1501D"/>
    <w:rsid w:val="00B2153F"/>
    <w:rsid w:val="00B22727"/>
    <w:rsid w:val="00B230E6"/>
    <w:rsid w:val="00B23504"/>
    <w:rsid w:val="00B23650"/>
    <w:rsid w:val="00B245D2"/>
    <w:rsid w:val="00B24A30"/>
    <w:rsid w:val="00B24AB6"/>
    <w:rsid w:val="00B259DF"/>
    <w:rsid w:val="00B2699E"/>
    <w:rsid w:val="00B2722F"/>
    <w:rsid w:val="00B300EC"/>
    <w:rsid w:val="00B319FE"/>
    <w:rsid w:val="00B31E60"/>
    <w:rsid w:val="00B3218C"/>
    <w:rsid w:val="00B32308"/>
    <w:rsid w:val="00B3236D"/>
    <w:rsid w:val="00B32575"/>
    <w:rsid w:val="00B33747"/>
    <w:rsid w:val="00B33A92"/>
    <w:rsid w:val="00B33C10"/>
    <w:rsid w:val="00B34239"/>
    <w:rsid w:val="00B3461F"/>
    <w:rsid w:val="00B353DB"/>
    <w:rsid w:val="00B36857"/>
    <w:rsid w:val="00B40E03"/>
    <w:rsid w:val="00B40FB3"/>
    <w:rsid w:val="00B4164F"/>
    <w:rsid w:val="00B4274F"/>
    <w:rsid w:val="00B42843"/>
    <w:rsid w:val="00B42A02"/>
    <w:rsid w:val="00B4313B"/>
    <w:rsid w:val="00B435D7"/>
    <w:rsid w:val="00B439F0"/>
    <w:rsid w:val="00B43DEA"/>
    <w:rsid w:val="00B43F1C"/>
    <w:rsid w:val="00B4407D"/>
    <w:rsid w:val="00B44AE7"/>
    <w:rsid w:val="00B44B1F"/>
    <w:rsid w:val="00B46525"/>
    <w:rsid w:val="00B471A6"/>
    <w:rsid w:val="00B4744A"/>
    <w:rsid w:val="00B50450"/>
    <w:rsid w:val="00B509DF"/>
    <w:rsid w:val="00B520D1"/>
    <w:rsid w:val="00B5224F"/>
    <w:rsid w:val="00B53A02"/>
    <w:rsid w:val="00B54229"/>
    <w:rsid w:val="00B5446E"/>
    <w:rsid w:val="00B546C6"/>
    <w:rsid w:val="00B556BA"/>
    <w:rsid w:val="00B56BE0"/>
    <w:rsid w:val="00B573A9"/>
    <w:rsid w:val="00B57D8E"/>
    <w:rsid w:val="00B603F3"/>
    <w:rsid w:val="00B61020"/>
    <w:rsid w:val="00B61648"/>
    <w:rsid w:val="00B619DA"/>
    <w:rsid w:val="00B61F01"/>
    <w:rsid w:val="00B620E1"/>
    <w:rsid w:val="00B637AE"/>
    <w:rsid w:val="00B64141"/>
    <w:rsid w:val="00B64163"/>
    <w:rsid w:val="00B649BA"/>
    <w:rsid w:val="00B64D8D"/>
    <w:rsid w:val="00B64E72"/>
    <w:rsid w:val="00B65D5F"/>
    <w:rsid w:val="00B66188"/>
    <w:rsid w:val="00B66A0C"/>
    <w:rsid w:val="00B67B73"/>
    <w:rsid w:val="00B727F5"/>
    <w:rsid w:val="00B73194"/>
    <w:rsid w:val="00B7369B"/>
    <w:rsid w:val="00B739BF"/>
    <w:rsid w:val="00B73DD2"/>
    <w:rsid w:val="00B73F07"/>
    <w:rsid w:val="00B74BE6"/>
    <w:rsid w:val="00B74C36"/>
    <w:rsid w:val="00B74FC2"/>
    <w:rsid w:val="00B7680C"/>
    <w:rsid w:val="00B77709"/>
    <w:rsid w:val="00B77913"/>
    <w:rsid w:val="00B77F27"/>
    <w:rsid w:val="00B80903"/>
    <w:rsid w:val="00B80D5D"/>
    <w:rsid w:val="00B80F36"/>
    <w:rsid w:val="00B824FB"/>
    <w:rsid w:val="00B82646"/>
    <w:rsid w:val="00B82FDE"/>
    <w:rsid w:val="00B83766"/>
    <w:rsid w:val="00B8498B"/>
    <w:rsid w:val="00B84F2A"/>
    <w:rsid w:val="00B86A68"/>
    <w:rsid w:val="00B87391"/>
    <w:rsid w:val="00B878B8"/>
    <w:rsid w:val="00B9082C"/>
    <w:rsid w:val="00B90CCE"/>
    <w:rsid w:val="00B92E1A"/>
    <w:rsid w:val="00B92EF3"/>
    <w:rsid w:val="00B93762"/>
    <w:rsid w:val="00B97043"/>
    <w:rsid w:val="00B97359"/>
    <w:rsid w:val="00B975B7"/>
    <w:rsid w:val="00B97A8F"/>
    <w:rsid w:val="00BA01C9"/>
    <w:rsid w:val="00BA0360"/>
    <w:rsid w:val="00BA038B"/>
    <w:rsid w:val="00BA0F86"/>
    <w:rsid w:val="00BA1B40"/>
    <w:rsid w:val="00BA2CC9"/>
    <w:rsid w:val="00BA3F82"/>
    <w:rsid w:val="00BA4E58"/>
    <w:rsid w:val="00BA5358"/>
    <w:rsid w:val="00BA6BDF"/>
    <w:rsid w:val="00BA7074"/>
    <w:rsid w:val="00BB2D0A"/>
    <w:rsid w:val="00BB3144"/>
    <w:rsid w:val="00BB52FE"/>
    <w:rsid w:val="00BB5EBA"/>
    <w:rsid w:val="00BB742A"/>
    <w:rsid w:val="00BB7601"/>
    <w:rsid w:val="00BB7829"/>
    <w:rsid w:val="00BB78E4"/>
    <w:rsid w:val="00BC0196"/>
    <w:rsid w:val="00BC0648"/>
    <w:rsid w:val="00BC06F6"/>
    <w:rsid w:val="00BC0F42"/>
    <w:rsid w:val="00BC1EFC"/>
    <w:rsid w:val="00BC2DD2"/>
    <w:rsid w:val="00BC3FBD"/>
    <w:rsid w:val="00BC5FB8"/>
    <w:rsid w:val="00BC6C98"/>
    <w:rsid w:val="00BC70ED"/>
    <w:rsid w:val="00BC75AF"/>
    <w:rsid w:val="00BD09C4"/>
    <w:rsid w:val="00BD1457"/>
    <w:rsid w:val="00BD2019"/>
    <w:rsid w:val="00BD36B0"/>
    <w:rsid w:val="00BD3825"/>
    <w:rsid w:val="00BD3BA0"/>
    <w:rsid w:val="00BD5962"/>
    <w:rsid w:val="00BD6BD6"/>
    <w:rsid w:val="00BD6C46"/>
    <w:rsid w:val="00BE07F4"/>
    <w:rsid w:val="00BE0A74"/>
    <w:rsid w:val="00BE1CD7"/>
    <w:rsid w:val="00BE2AD9"/>
    <w:rsid w:val="00BE2E2C"/>
    <w:rsid w:val="00BE3403"/>
    <w:rsid w:val="00BE349E"/>
    <w:rsid w:val="00BE58FE"/>
    <w:rsid w:val="00BE5A7A"/>
    <w:rsid w:val="00BE5BA5"/>
    <w:rsid w:val="00BE5E26"/>
    <w:rsid w:val="00BF0082"/>
    <w:rsid w:val="00BF0AAB"/>
    <w:rsid w:val="00BF19DA"/>
    <w:rsid w:val="00BF1AC6"/>
    <w:rsid w:val="00BF27FE"/>
    <w:rsid w:val="00BF3AB9"/>
    <w:rsid w:val="00BF4526"/>
    <w:rsid w:val="00BF5621"/>
    <w:rsid w:val="00BF5FCB"/>
    <w:rsid w:val="00BF61B5"/>
    <w:rsid w:val="00BF6553"/>
    <w:rsid w:val="00BF7B36"/>
    <w:rsid w:val="00BF7FC3"/>
    <w:rsid w:val="00C00380"/>
    <w:rsid w:val="00C02B3B"/>
    <w:rsid w:val="00C0321C"/>
    <w:rsid w:val="00C03A7A"/>
    <w:rsid w:val="00C04212"/>
    <w:rsid w:val="00C043B3"/>
    <w:rsid w:val="00C04484"/>
    <w:rsid w:val="00C04998"/>
    <w:rsid w:val="00C04F5D"/>
    <w:rsid w:val="00C0503C"/>
    <w:rsid w:val="00C057D6"/>
    <w:rsid w:val="00C06291"/>
    <w:rsid w:val="00C0796B"/>
    <w:rsid w:val="00C079AB"/>
    <w:rsid w:val="00C079B7"/>
    <w:rsid w:val="00C07BFD"/>
    <w:rsid w:val="00C10C99"/>
    <w:rsid w:val="00C10E61"/>
    <w:rsid w:val="00C10F00"/>
    <w:rsid w:val="00C12187"/>
    <w:rsid w:val="00C12FCA"/>
    <w:rsid w:val="00C14787"/>
    <w:rsid w:val="00C148AF"/>
    <w:rsid w:val="00C1596D"/>
    <w:rsid w:val="00C159A3"/>
    <w:rsid w:val="00C15B8D"/>
    <w:rsid w:val="00C15F2D"/>
    <w:rsid w:val="00C1696D"/>
    <w:rsid w:val="00C17010"/>
    <w:rsid w:val="00C20562"/>
    <w:rsid w:val="00C20F37"/>
    <w:rsid w:val="00C20FC3"/>
    <w:rsid w:val="00C21201"/>
    <w:rsid w:val="00C215C3"/>
    <w:rsid w:val="00C22B57"/>
    <w:rsid w:val="00C22BA0"/>
    <w:rsid w:val="00C22C1E"/>
    <w:rsid w:val="00C22CC4"/>
    <w:rsid w:val="00C235C4"/>
    <w:rsid w:val="00C23A47"/>
    <w:rsid w:val="00C23A96"/>
    <w:rsid w:val="00C249C6"/>
    <w:rsid w:val="00C262DA"/>
    <w:rsid w:val="00C26FE9"/>
    <w:rsid w:val="00C27857"/>
    <w:rsid w:val="00C3076D"/>
    <w:rsid w:val="00C3076F"/>
    <w:rsid w:val="00C30978"/>
    <w:rsid w:val="00C318FB"/>
    <w:rsid w:val="00C327D2"/>
    <w:rsid w:val="00C32CC1"/>
    <w:rsid w:val="00C32E3B"/>
    <w:rsid w:val="00C3346E"/>
    <w:rsid w:val="00C339B9"/>
    <w:rsid w:val="00C34518"/>
    <w:rsid w:val="00C3473A"/>
    <w:rsid w:val="00C35D86"/>
    <w:rsid w:val="00C36489"/>
    <w:rsid w:val="00C3679B"/>
    <w:rsid w:val="00C36EE4"/>
    <w:rsid w:val="00C3794F"/>
    <w:rsid w:val="00C37DC2"/>
    <w:rsid w:val="00C37EB4"/>
    <w:rsid w:val="00C4081B"/>
    <w:rsid w:val="00C40ACE"/>
    <w:rsid w:val="00C40D65"/>
    <w:rsid w:val="00C40FF1"/>
    <w:rsid w:val="00C4117A"/>
    <w:rsid w:val="00C414E6"/>
    <w:rsid w:val="00C415FB"/>
    <w:rsid w:val="00C41ABD"/>
    <w:rsid w:val="00C41ED6"/>
    <w:rsid w:val="00C426EC"/>
    <w:rsid w:val="00C43BE9"/>
    <w:rsid w:val="00C44BF3"/>
    <w:rsid w:val="00C45386"/>
    <w:rsid w:val="00C453AD"/>
    <w:rsid w:val="00C46711"/>
    <w:rsid w:val="00C468E3"/>
    <w:rsid w:val="00C47A73"/>
    <w:rsid w:val="00C500B4"/>
    <w:rsid w:val="00C51E8E"/>
    <w:rsid w:val="00C5216D"/>
    <w:rsid w:val="00C522FC"/>
    <w:rsid w:val="00C52394"/>
    <w:rsid w:val="00C531AD"/>
    <w:rsid w:val="00C53B86"/>
    <w:rsid w:val="00C53F8D"/>
    <w:rsid w:val="00C559BB"/>
    <w:rsid w:val="00C55B5B"/>
    <w:rsid w:val="00C55D98"/>
    <w:rsid w:val="00C56750"/>
    <w:rsid w:val="00C572B4"/>
    <w:rsid w:val="00C573F7"/>
    <w:rsid w:val="00C576C3"/>
    <w:rsid w:val="00C577AC"/>
    <w:rsid w:val="00C57C25"/>
    <w:rsid w:val="00C61451"/>
    <w:rsid w:val="00C61616"/>
    <w:rsid w:val="00C621B8"/>
    <w:rsid w:val="00C63176"/>
    <w:rsid w:val="00C635A5"/>
    <w:rsid w:val="00C6483C"/>
    <w:rsid w:val="00C64AE9"/>
    <w:rsid w:val="00C64F69"/>
    <w:rsid w:val="00C655BE"/>
    <w:rsid w:val="00C668F9"/>
    <w:rsid w:val="00C66C96"/>
    <w:rsid w:val="00C67864"/>
    <w:rsid w:val="00C70210"/>
    <w:rsid w:val="00C709CE"/>
    <w:rsid w:val="00C70CFF"/>
    <w:rsid w:val="00C7178C"/>
    <w:rsid w:val="00C718FE"/>
    <w:rsid w:val="00C71E72"/>
    <w:rsid w:val="00C72064"/>
    <w:rsid w:val="00C72385"/>
    <w:rsid w:val="00C72831"/>
    <w:rsid w:val="00C72E0B"/>
    <w:rsid w:val="00C73330"/>
    <w:rsid w:val="00C73F06"/>
    <w:rsid w:val="00C74620"/>
    <w:rsid w:val="00C7470E"/>
    <w:rsid w:val="00C75DDC"/>
    <w:rsid w:val="00C76972"/>
    <w:rsid w:val="00C76B57"/>
    <w:rsid w:val="00C775ED"/>
    <w:rsid w:val="00C80622"/>
    <w:rsid w:val="00C810D2"/>
    <w:rsid w:val="00C8189C"/>
    <w:rsid w:val="00C83CD0"/>
    <w:rsid w:val="00C846F6"/>
    <w:rsid w:val="00C8659B"/>
    <w:rsid w:val="00C8773D"/>
    <w:rsid w:val="00C87ABB"/>
    <w:rsid w:val="00C90AB2"/>
    <w:rsid w:val="00C91831"/>
    <w:rsid w:val="00C918D9"/>
    <w:rsid w:val="00C9204B"/>
    <w:rsid w:val="00C932EA"/>
    <w:rsid w:val="00C93780"/>
    <w:rsid w:val="00C953DF"/>
    <w:rsid w:val="00C95638"/>
    <w:rsid w:val="00C97749"/>
    <w:rsid w:val="00CA0FBD"/>
    <w:rsid w:val="00CA1257"/>
    <w:rsid w:val="00CA22C1"/>
    <w:rsid w:val="00CA28EA"/>
    <w:rsid w:val="00CA2905"/>
    <w:rsid w:val="00CA3138"/>
    <w:rsid w:val="00CA336B"/>
    <w:rsid w:val="00CA3527"/>
    <w:rsid w:val="00CA623F"/>
    <w:rsid w:val="00CA78B6"/>
    <w:rsid w:val="00CA7B44"/>
    <w:rsid w:val="00CA7E6F"/>
    <w:rsid w:val="00CB0E44"/>
    <w:rsid w:val="00CB0ED8"/>
    <w:rsid w:val="00CB1296"/>
    <w:rsid w:val="00CB2082"/>
    <w:rsid w:val="00CB223D"/>
    <w:rsid w:val="00CB256E"/>
    <w:rsid w:val="00CB3B8F"/>
    <w:rsid w:val="00CB3C52"/>
    <w:rsid w:val="00CB4BAF"/>
    <w:rsid w:val="00CB5A2B"/>
    <w:rsid w:val="00CB67AB"/>
    <w:rsid w:val="00CC0A46"/>
    <w:rsid w:val="00CC0D12"/>
    <w:rsid w:val="00CC14F6"/>
    <w:rsid w:val="00CC1DAF"/>
    <w:rsid w:val="00CC1EFC"/>
    <w:rsid w:val="00CC22A3"/>
    <w:rsid w:val="00CC4191"/>
    <w:rsid w:val="00CC5525"/>
    <w:rsid w:val="00CC56D9"/>
    <w:rsid w:val="00CC5AB5"/>
    <w:rsid w:val="00CC5D13"/>
    <w:rsid w:val="00CC6DF2"/>
    <w:rsid w:val="00CC7325"/>
    <w:rsid w:val="00CC7331"/>
    <w:rsid w:val="00CC794E"/>
    <w:rsid w:val="00CC7F1D"/>
    <w:rsid w:val="00CD017F"/>
    <w:rsid w:val="00CD095E"/>
    <w:rsid w:val="00CD0D49"/>
    <w:rsid w:val="00CD103E"/>
    <w:rsid w:val="00CD3F8A"/>
    <w:rsid w:val="00CD3FC9"/>
    <w:rsid w:val="00CD48E3"/>
    <w:rsid w:val="00CD575D"/>
    <w:rsid w:val="00CD5E48"/>
    <w:rsid w:val="00CD71AF"/>
    <w:rsid w:val="00CE0805"/>
    <w:rsid w:val="00CE0B46"/>
    <w:rsid w:val="00CE1DB2"/>
    <w:rsid w:val="00CE2709"/>
    <w:rsid w:val="00CE2D64"/>
    <w:rsid w:val="00CE387E"/>
    <w:rsid w:val="00CE3A9C"/>
    <w:rsid w:val="00CE5124"/>
    <w:rsid w:val="00CE5AE7"/>
    <w:rsid w:val="00CE6198"/>
    <w:rsid w:val="00CE6E85"/>
    <w:rsid w:val="00CE72AD"/>
    <w:rsid w:val="00CF1E5C"/>
    <w:rsid w:val="00CF200D"/>
    <w:rsid w:val="00CF2CC8"/>
    <w:rsid w:val="00CF3FC4"/>
    <w:rsid w:val="00CF5180"/>
    <w:rsid w:val="00CF5A85"/>
    <w:rsid w:val="00CF6230"/>
    <w:rsid w:val="00CF6C11"/>
    <w:rsid w:val="00CF6E48"/>
    <w:rsid w:val="00CF705B"/>
    <w:rsid w:val="00CF75DB"/>
    <w:rsid w:val="00D00005"/>
    <w:rsid w:val="00D00F9C"/>
    <w:rsid w:val="00D017D3"/>
    <w:rsid w:val="00D017FC"/>
    <w:rsid w:val="00D018B4"/>
    <w:rsid w:val="00D0226A"/>
    <w:rsid w:val="00D02720"/>
    <w:rsid w:val="00D03EF7"/>
    <w:rsid w:val="00D04540"/>
    <w:rsid w:val="00D0769D"/>
    <w:rsid w:val="00D0785F"/>
    <w:rsid w:val="00D07ECA"/>
    <w:rsid w:val="00D10FD8"/>
    <w:rsid w:val="00D11211"/>
    <w:rsid w:val="00D114C5"/>
    <w:rsid w:val="00D11A28"/>
    <w:rsid w:val="00D1219A"/>
    <w:rsid w:val="00D1256B"/>
    <w:rsid w:val="00D13147"/>
    <w:rsid w:val="00D14227"/>
    <w:rsid w:val="00D15D80"/>
    <w:rsid w:val="00D17305"/>
    <w:rsid w:val="00D176F4"/>
    <w:rsid w:val="00D20288"/>
    <w:rsid w:val="00D219E2"/>
    <w:rsid w:val="00D21A89"/>
    <w:rsid w:val="00D21D33"/>
    <w:rsid w:val="00D238B9"/>
    <w:rsid w:val="00D2790B"/>
    <w:rsid w:val="00D27B50"/>
    <w:rsid w:val="00D30025"/>
    <w:rsid w:val="00D3011A"/>
    <w:rsid w:val="00D30652"/>
    <w:rsid w:val="00D306DB"/>
    <w:rsid w:val="00D312DE"/>
    <w:rsid w:val="00D31D5B"/>
    <w:rsid w:val="00D3420F"/>
    <w:rsid w:val="00D35973"/>
    <w:rsid w:val="00D371D4"/>
    <w:rsid w:val="00D40915"/>
    <w:rsid w:val="00D40D98"/>
    <w:rsid w:val="00D41109"/>
    <w:rsid w:val="00D413FA"/>
    <w:rsid w:val="00D42B93"/>
    <w:rsid w:val="00D4468C"/>
    <w:rsid w:val="00D44904"/>
    <w:rsid w:val="00D44B7E"/>
    <w:rsid w:val="00D456B3"/>
    <w:rsid w:val="00D46A23"/>
    <w:rsid w:val="00D46B0A"/>
    <w:rsid w:val="00D47BDE"/>
    <w:rsid w:val="00D50549"/>
    <w:rsid w:val="00D5113A"/>
    <w:rsid w:val="00D515FB"/>
    <w:rsid w:val="00D51758"/>
    <w:rsid w:val="00D51B67"/>
    <w:rsid w:val="00D52224"/>
    <w:rsid w:val="00D5270B"/>
    <w:rsid w:val="00D53372"/>
    <w:rsid w:val="00D53AFA"/>
    <w:rsid w:val="00D540EA"/>
    <w:rsid w:val="00D566BA"/>
    <w:rsid w:val="00D5715A"/>
    <w:rsid w:val="00D601EA"/>
    <w:rsid w:val="00D607C5"/>
    <w:rsid w:val="00D609C9"/>
    <w:rsid w:val="00D60B03"/>
    <w:rsid w:val="00D61629"/>
    <w:rsid w:val="00D62165"/>
    <w:rsid w:val="00D62BB2"/>
    <w:rsid w:val="00D636FA"/>
    <w:rsid w:val="00D63A5C"/>
    <w:rsid w:val="00D63E5A"/>
    <w:rsid w:val="00D64835"/>
    <w:rsid w:val="00D657C3"/>
    <w:rsid w:val="00D6749E"/>
    <w:rsid w:val="00D678E0"/>
    <w:rsid w:val="00D67D11"/>
    <w:rsid w:val="00D70001"/>
    <w:rsid w:val="00D713AC"/>
    <w:rsid w:val="00D71687"/>
    <w:rsid w:val="00D734F9"/>
    <w:rsid w:val="00D74813"/>
    <w:rsid w:val="00D80213"/>
    <w:rsid w:val="00D810DB"/>
    <w:rsid w:val="00D813A7"/>
    <w:rsid w:val="00D814CD"/>
    <w:rsid w:val="00D81F7E"/>
    <w:rsid w:val="00D82341"/>
    <w:rsid w:val="00D82FC6"/>
    <w:rsid w:val="00D8300B"/>
    <w:rsid w:val="00D83085"/>
    <w:rsid w:val="00D8366D"/>
    <w:rsid w:val="00D83E2C"/>
    <w:rsid w:val="00D84D5B"/>
    <w:rsid w:val="00D86A1C"/>
    <w:rsid w:val="00D86BC4"/>
    <w:rsid w:val="00D8725B"/>
    <w:rsid w:val="00D8726C"/>
    <w:rsid w:val="00D87A21"/>
    <w:rsid w:val="00D87A38"/>
    <w:rsid w:val="00D90C29"/>
    <w:rsid w:val="00D91701"/>
    <w:rsid w:val="00D926ED"/>
    <w:rsid w:val="00D92731"/>
    <w:rsid w:val="00D92AF3"/>
    <w:rsid w:val="00D92B80"/>
    <w:rsid w:val="00D9499E"/>
    <w:rsid w:val="00D95270"/>
    <w:rsid w:val="00D96CD7"/>
    <w:rsid w:val="00D979CD"/>
    <w:rsid w:val="00D97A82"/>
    <w:rsid w:val="00DA0E82"/>
    <w:rsid w:val="00DA0ECF"/>
    <w:rsid w:val="00DA1B42"/>
    <w:rsid w:val="00DA2CD7"/>
    <w:rsid w:val="00DA30BC"/>
    <w:rsid w:val="00DA3B28"/>
    <w:rsid w:val="00DA41ED"/>
    <w:rsid w:val="00DA50F5"/>
    <w:rsid w:val="00DA69C2"/>
    <w:rsid w:val="00DA6D70"/>
    <w:rsid w:val="00DB0122"/>
    <w:rsid w:val="00DB425D"/>
    <w:rsid w:val="00DB427B"/>
    <w:rsid w:val="00DB4765"/>
    <w:rsid w:val="00DB56BF"/>
    <w:rsid w:val="00DB591A"/>
    <w:rsid w:val="00DB6050"/>
    <w:rsid w:val="00DB784F"/>
    <w:rsid w:val="00DB7D8B"/>
    <w:rsid w:val="00DB7FAA"/>
    <w:rsid w:val="00DC0558"/>
    <w:rsid w:val="00DC1E12"/>
    <w:rsid w:val="00DC21F0"/>
    <w:rsid w:val="00DC24A8"/>
    <w:rsid w:val="00DC2C34"/>
    <w:rsid w:val="00DC473D"/>
    <w:rsid w:val="00DC4909"/>
    <w:rsid w:val="00DC4A30"/>
    <w:rsid w:val="00DC4B32"/>
    <w:rsid w:val="00DC5F9B"/>
    <w:rsid w:val="00DC612F"/>
    <w:rsid w:val="00DC6AF0"/>
    <w:rsid w:val="00DD0D65"/>
    <w:rsid w:val="00DD0FC4"/>
    <w:rsid w:val="00DD19D5"/>
    <w:rsid w:val="00DD21FF"/>
    <w:rsid w:val="00DD32A7"/>
    <w:rsid w:val="00DD32DD"/>
    <w:rsid w:val="00DD3D9F"/>
    <w:rsid w:val="00DD6E7E"/>
    <w:rsid w:val="00DD786D"/>
    <w:rsid w:val="00DD7B73"/>
    <w:rsid w:val="00DE0E1B"/>
    <w:rsid w:val="00DE1201"/>
    <w:rsid w:val="00DE1C8F"/>
    <w:rsid w:val="00DE2C87"/>
    <w:rsid w:val="00DE3459"/>
    <w:rsid w:val="00DE372C"/>
    <w:rsid w:val="00DE37E9"/>
    <w:rsid w:val="00DE43C9"/>
    <w:rsid w:val="00DE459A"/>
    <w:rsid w:val="00DE4904"/>
    <w:rsid w:val="00DE4FEB"/>
    <w:rsid w:val="00DE4FFF"/>
    <w:rsid w:val="00DE627A"/>
    <w:rsid w:val="00DE63E1"/>
    <w:rsid w:val="00DE7760"/>
    <w:rsid w:val="00DE78F3"/>
    <w:rsid w:val="00DE7C5C"/>
    <w:rsid w:val="00DF1258"/>
    <w:rsid w:val="00DF1EFB"/>
    <w:rsid w:val="00DF26A1"/>
    <w:rsid w:val="00DF26AC"/>
    <w:rsid w:val="00DF27DA"/>
    <w:rsid w:val="00DF33B1"/>
    <w:rsid w:val="00DF3A51"/>
    <w:rsid w:val="00DF435D"/>
    <w:rsid w:val="00DF43CC"/>
    <w:rsid w:val="00DF4935"/>
    <w:rsid w:val="00DF4DBE"/>
    <w:rsid w:val="00DF6823"/>
    <w:rsid w:val="00DF7129"/>
    <w:rsid w:val="00E002B4"/>
    <w:rsid w:val="00E0091E"/>
    <w:rsid w:val="00E01077"/>
    <w:rsid w:val="00E0181D"/>
    <w:rsid w:val="00E02EEC"/>
    <w:rsid w:val="00E045D9"/>
    <w:rsid w:val="00E04B53"/>
    <w:rsid w:val="00E06CAD"/>
    <w:rsid w:val="00E10320"/>
    <w:rsid w:val="00E10FC0"/>
    <w:rsid w:val="00E12599"/>
    <w:rsid w:val="00E12F0C"/>
    <w:rsid w:val="00E131F1"/>
    <w:rsid w:val="00E1400B"/>
    <w:rsid w:val="00E14A71"/>
    <w:rsid w:val="00E165D7"/>
    <w:rsid w:val="00E16B1C"/>
    <w:rsid w:val="00E16C3E"/>
    <w:rsid w:val="00E17F5D"/>
    <w:rsid w:val="00E17F7F"/>
    <w:rsid w:val="00E2041C"/>
    <w:rsid w:val="00E20B32"/>
    <w:rsid w:val="00E212DD"/>
    <w:rsid w:val="00E21BD8"/>
    <w:rsid w:val="00E221DC"/>
    <w:rsid w:val="00E23B69"/>
    <w:rsid w:val="00E24336"/>
    <w:rsid w:val="00E249C6"/>
    <w:rsid w:val="00E24AA3"/>
    <w:rsid w:val="00E24C6A"/>
    <w:rsid w:val="00E24D3B"/>
    <w:rsid w:val="00E260CB"/>
    <w:rsid w:val="00E26C91"/>
    <w:rsid w:val="00E2756E"/>
    <w:rsid w:val="00E30681"/>
    <w:rsid w:val="00E30ADC"/>
    <w:rsid w:val="00E30E5A"/>
    <w:rsid w:val="00E32084"/>
    <w:rsid w:val="00E322D1"/>
    <w:rsid w:val="00E32EEE"/>
    <w:rsid w:val="00E334AB"/>
    <w:rsid w:val="00E33E61"/>
    <w:rsid w:val="00E34478"/>
    <w:rsid w:val="00E34607"/>
    <w:rsid w:val="00E3567D"/>
    <w:rsid w:val="00E35ED8"/>
    <w:rsid w:val="00E37202"/>
    <w:rsid w:val="00E40540"/>
    <w:rsid w:val="00E40820"/>
    <w:rsid w:val="00E40D9A"/>
    <w:rsid w:val="00E40EAE"/>
    <w:rsid w:val="00E432F2"/>
    <w:rsid w:val="00E441F9"/>
    <w:rsid w:val="00E4658F"/>
    <w:rsid w:val="00E46D68"/>
    <w:rsid w:val="00E47285"/>
    <w:rsid w:val="00E47D65"/>
    <w:rsid w:val="00E47E97"/>
    <w:rsid w:val="00E510D7"/>
    <w:rsid w:val="00E51BF0"/>
    <w:rsid w:val="00E52545"/>
    <w:rsid w:val="00E52A6D"/>
    <w:rsid w:val="00E53072"/>
    <w:rsid w:val="00E5350F"/>
    <w:rsid w:val="00E54171"/>
    <w:rsid w:val="00E54A67"/>
    <w:rsid w:val="00E55392"/>
    <w:rsid w:val="00E55614"/>
    <w:rsid w:val="00E55FF9"/>
    <w:rsid w:val="00E57047"/>
    <w:rsid w:val="00E57DB9"/>
    <w:rsid w:val="00E61221"/>
    <w:rsid w:val="00E61B31"/>
    <w:rsid w:val="00E61C0D"/>
    <w:rsid w:val="00E61F9C"/>
    <w:rsid w:val="00E61FB8"/>
    <w:rsid w:val="00E62083"/>
    <w:rsid w:val="00E6273C"/>
    <w:rsid w:val="00E62A5C"/>
    <w:rsid w:val="00E63CC9"/>
    <w:rsid w:val="00E63EB4"/>
    <w:rsid w:val="00E64912"/>
    <w:rsid w:val="00E65218"/>
    <w:rsid w:val="00E657C7"/>
    <w:rsid w:val="00E65D41"/>
    <w:rsid w:val="00E66026"/>
    <w:rsid w:val="00E66160"/>
    <w:rsid w:val="00E66FAC"/>
    <w:rsid w:val="00E67022"/>
    <w:rsid w:val="00E701D6"/>
    <w:rsid w:val="00E705FC"/>
    <w:rsid w:val="00E71329"/>
    <w:rsid w:val="00E7228A"/>
    <w:rsid w:val="00E73171"/>
    <w:rsid w:val="00E740C1"/>
    <w:rsid w:val="00E74589"/>
    <w:rsid w:val="00E75603"/>
    <w:rsid w:val="00E8363B"/>
    <w:rsid w:val="00E8403D"/>
    <w:rsid w:val="00E84966"/>
    <w:rsid w:val="00E86AC5"/>
    <w:rsid w:val="00E87F01"/>
    <w:rsid w:val="00E90780"/>
    <w:rsid w:val="00E91F8B"/>
    <w:rsid w:val="00E92383"/>
    <w:rsid w:val="00E92B1E"/>
    <w:rsid w:val="00E93848"/>
    <w:rsid w:val="00E93AA1"/>
    <w:rsid w:val="00E93E8B"/>
    <w:rsid w:val="00E9424B"/>
    <w:rsid w:val="00E9489D"/>
    <w:rsid w:val="00E94D1C"/>
    <w:rsid w:val="00E94E9E"/>
    <w:rsid w:val="00E977A8"/>
    <w:rsid w:val="00EA1605"/>
    <w:rsid w:val="00EA1617"/>
    <w:rsid w:val="00EA1B3A"/>
    <w:rsid w:val="00EA1DB7"/>
    <w:rsid w:val="00EA2109"/>
    <w:rsid w:val="00EA313E"/>
    <w:rsid w:val="00EA334F"/>
    <w:rsid w:val="00EA345C"/>
    <w:rsid w:val="00EA45AC"/>
    <w:rsid w:val="00EB0097"/>
    <w:rsid w:val="00EB1B2C"/>
    <w:rsid w:val="00EB1C9B"/>
    <w:rsid w:val="00EB2051"/>
    <w:rsid w:val="00EB274C"/>
    <w:rsid w:val="00EB2D10"/>
    <w:rsid w:val="00EB2F0B"/>
    <w:rsid w:val="00EB46A6"/>
    <w:rsid w:val="00EB4716"/>
    <w:rsid w:val="00EB4ED6"/>
    <w:rsid w:val="00EB5092"/>
    <w:rsid w:val="00EC002D"/>
    <w:rsid w:val="00EC11F7"/>
    <w:rsid w:val="00EC15EA"/>
    <w:rsid w:val="00EC244B"/>
    <w:rsid w:val="00EC3814"/>
    <w:rsid w:val="00EC3E54"/>
    <w:rsid w:val="00EC421E"/>
    <w:rsid w:val="00EC65B2"/>
    <w:rsid w:val="00EC7FDC"/>
    <w:rsid w:val="00ED0118"/>
    <w:rsid w:val="00ED0AB9"/>
    <w:rsid w:val="00ED2225"/>
    <w:rsid w:val="00ED2EF2"/>
    <w:rsid w:val="00ED3DE4"/>
    <w:rsid w:val="00ED46EB"/>
    <w:rsid w:val="00ED4D4E"/>
    <w:rsid w:val="00ED54AE"/>
    <w:rsid w:val="00ED6843"/>
    <w:rsid w:val="00ED76A8"/>
    <w:rsid w:val="00EE0309"/>
    <w:rsid w:val="00EE0C77"/>
    <w:rsid w:val="00EE1E14"/>
    <w:rsid w:val="00EE20D3"/>
    <w:rsid w:val="00EE2CA0"/>
    <w:rsid w:val="00EE2E32"/>
    <w:rsid w:val="00EE4CEF"/>
    <w:rsid w:val="00EE4E54"/>
    <w:rsid w:val="00EE572F"/>
    <w:rsid w:val="00EE6445"/>
    <w:rsid w:val="00EE69D2"/>
    <w:rsid w:val="00EE6C17"/>
    <w:rsid w:val="00EE6E59"/>
    <w:rsid w:val="00EE6F8E"/>
    <w:rsid w:val="00EE710E"/>
    <w:rsid w:val="00EE757B"/>
    <w:rsid w:val="00EE758B"/>
    <w:rsid w:val="00EF0028"/>
    <w:rsid w:val="00EF03E1"/>
    <w:rsid w:val="00EF07D6"/>
    <w:rsid w:val="00EF08ED"/>
    <w:rsid w:val="00EF1065"/>
    <w:rsid w:val="00EF26D3"/>
    <w:rsid w:val="00EF281D"/>
    <w:rsid w:val="00EF44FC"/>
    <w:rsid w:val="00EF4AA9"/>
    <w:rsid w:val="00EF57BF"/>
    <w:rsid w:val="00EF5B05"/>
    <w:rsid w:val="00EF5D60"/>
    <w:rsid w:val="00EF6F76"/>
    <w:rsid w:val="00F0181E"/>
    <w:rsid w:val="00F02248"/>
    <w:rsid w:val="00F023B1"/>
    <w:rsid w:val="00F02980"/>
    <w:rsid w:val="00F035DB"/>
    <w:rsid w:val="00F03BB8"/>
    <w:rsid w:val="00F051B6"/>
    <w:rsid w:val="00F06117"/>
    <w:rsid w:val="00F06812"/>
    <w:rsid w:val="00F06F95"/>
    <w:rsid w:val="00F07B0F"/>
    <w:rsid w:val="00F07BB0"/>
    <w:rsid w:val="00F10DDC"/>
    <w:rsid w:val="00F12119"/>
    <w:rsid w:val="00F12D08"/>
    <w:rsid w:val="00F12D69"/>
    <w:rsid w:val="00F13F4B"/>
    <w:rsid w:val="00F163FD"/>
    <w:rsid w:val="00F16C19"/>
    <w:rsid w:val="00F175E1"/>
    <w:rsid w:val="00F17F6A"/>
    <w:rsid w:val="00F2106A"/>
    <w:rsid w:val="00F212F4"/>
    <w:rsid w:val="00F21342"/>
    <w:rsid w:val="00F2244A"/>
    <w:rsid w:val="00F2249F"/>
    <w:rsid w:val="00F23334"/>
    <w:rsid w:val="00F24741"/>
    <w:rsid w:val="00F247FF"/>
    <w:rsid w:val="00F249E9"/>
    <w:rsid w:val="00F24F87"/>
    <w:rsid w:val="00F26628"/>
    <w:rsid w:val="00F266E1"/>
    <w:rsid w:val="00F305CA"/>
    <w:rsid w:val="00F31F40"/>
    <w:rsid w:val="00F32283"/>
    <w:rsid w:val="00F3284E"/>
    <w:rsid w:val="00F32D99"/>
    <w:rsid w:val="00F34083"/>
    <w:rsid w:val="00F34157"/>
    <w:rsid w:val="00F34BA8"/>
    <w:rsid w:val="00F35784"/>
    <w:rsid w:val="00F3632D"/>
    <w:rsid w:val="00F3692D"/>
    <w:rsid w:val="00F37740"/>
    <w:rsid w:val="00F37880"/>
    <w:rsid w:val="00F37985"/>
    <w:rsid w:val="00F40864"/>
    <w:rsid w:val="00F40A1B"/>
    <w:rsid w:val="00F41503"/>
    <w:rsid w:val="00F41695"/>
    <w:rsid w:val="00F4254E"/>
    <w:rsid w:val="00F436BB"/>
    <w:rsid w:val="00F44BEF"/>
    <w:rsid w:val="00F45658"/>
    <w:rsid w:val="00F45EEB"/>
    <w:rsid w:val="00F467CB"/>
    <w:rsid w:val="00F46A18"/>
    <w:rsid w:val="00F47145"/>
    <w:rsid w:val="00F4741E"/>
    <w:rsid w:val="00F47E1E"/>
    <w:rsid w:val="00F47E97"/>
    <w:rsid w:val="00F50141"/>
    <w:rsid w:val="00F50C07"/>
    <w:rsid w:val="00F50D75"/>
    <w:rsid w:val="00F5228B"/>
    <w:rsid w:val="00F52597"/>
    <w:rsid w:val="00F5265A"/>
    <w:rsid w:val="00F545BF"/>
    <w:rsid w:val="00F5486B"/>
    <w:rsid w:val="00F54D2A"/>
    <w:rsid w:val="00F558A2"/>
    <w:rsid w:val="00F56107"/>
    <w:rsid w:val="00F56152"/>
    <w:rsid w:val="00F56E05"/>
    <w:rsid w:val="00F5746D"/>
    <w:rsid w:val="00F57A9E"/>
    <w:rsid w:val="00F60CA5"/>
    <w:rsid w:val="00F60E77"/>
    <w:rsid w:val="00F61002"/>
    <w:rsid w:val="00F61B86"/>
    <w:rsid w:val="00F6241D"/>
    <w:rsid w:val="00F62DD2"/>
    <w:rsid w:val="00F631D8"/>
    <w:rsid w:val="00F63AA5"/>
    <w:rsid w:val="00F63BF3"/>
    <w:rsid w:val="00F642FF"/>
    <w:rsid w:val="00F64C49"/>
    <w:rsid w:val="00F658ED"/>
    <w:rsid w:val="00F65BBF"/>
    <w:rsid w:val="00F67119"/>
    <w:rsid w:val="00F700E1"/>
    <w:rsid w:val="00F701A8"/>
    <w:rsid w:val="00F71148"/>
    <w:rsid w:val="00F71B56"/>
    <w:rsid w:val="00F72CB0"/>
    <w:rsid w:val="00F7334B"/>
    <w:rsid w:val="00F73DB9"/>
    <w:rsid w:val="00F75061"/>
    <w:rsid w:val="00F766F9"/>
    <w:rsid w:val="00F7687C"/>
    <w:rsid w:val="00F7736F"/>
    <w:rsid w:val="00F802E6"/>
    <w:rsid w:val="00F807C8"/>
    <w:rsid w:val="00F80B53"/>
    <w:rsid w:val="00F80BA2"/>
    <w:rsid w:val="00F832C8"/>
    <w:rsid w:val="00F835A9"/>
    <w:rsid w:val="00F83D27"/>
    <w:rsid w:val="00F84433"/>
    <w:rsid w:val="00F84926"/>
    <w:rsid w:val="00F84971"/>
    <w:rsid w:val="00F86C3C"/>
    <w:rsid w:val="00F873B3"/>
    <w:rsid w:val="00F8764A"/>
    <w:rsid w:val="00F9051F"/>
    <w:rsid w:val="00F90A78"/>
    <w:rsid w:val="00F910AD"/>
    <w:rsid w:val="00F910DE"/>
    <w:rsid w:val="00F914D1"/>
    <w:rsid w:val="00F91879"/>
    <w:rsid w:val="00F921AC"/>
    <w:rsid w:val="00F9237C"/>
    <w:rsid w:val="00F92499"/>
    <w:rsid w:val="00F93453"/>
    <w:rsid w:val="00F93B6F"/>
    <w:rsid w:val="00F95EAA"/>
    <w:rsid w:val="00F9616C"/>
    <w:rsid w:val="00F9726A"/>
    <w:rsid w:val="00F97FC5"/>
    <w:rsid w:val="00FA064C"/>
    <w:rsid w:val="00FA192C"/>
    <w:rsid w:val="00FA1DF4"/>
    <w:rsid w:val="00FA317E"/>
    <w:rsid w:val="00FA35A9"/>
    <w:rsid w:val="00FA37B6"/>
    <w:rsid w:val="00FA391D"/>
    <w:rsid w:val="00FA3F25"/>
    <w:rsid w:val="00FA42B9"/>
    <w:rsid w:val="00FA755A"/>
    <w:rsid w:val="00FA79E7"/>
    <w:rsid w:val="00FA7C12"/>
    <w:rsid w:val="00FB0E28"/>
    <w:rsid w:val="00FB1609"/>
    <w:rsid w:val="00FB2B0F"/>
    <w:rsid w:val="00FB2D05"/>
    <w:rsid w:val="00FB36A7"/>
    <w:rsid w:val="00FB3F53"/>
    <w:rsid w:val="00FB4F6B"/>
    <w:rsid w:val="00FB5FE1"/>
    <w:rsid w:val="00FB6055"/>
    <w:rsid w:val="00FC0DFE"/>
    <w:rsid w:val="00FC0E8D"/>
    <w:rsid w:val="00FC1279"/>
    <w:rsid w:val="00FC1358"/>
    <w:rsid w:val="00FC143A"/>
    <w:rsid w:val="00FC16CD"/>
    <w:rsid w:val="00FC1E2F"/>
    <w:rsid w:val="00FC1F29"/>
    <w:rsid w:val="00FC24CF"/>
    <w:rsid w:val="00FC46EF"/>
    <w:rsid w:val="00FC59E2"/>
    <w:rsid w:val="00FC6426"/>
    <w:rsid w:val="00FC68A3"/>
    <w:rsid w:val="00FC6D37"/>
    <w:rsid w:val="00FC7327"/>
    <w:rsid w:val="00FC7C7D"/>
    <w:rsid w:val="00FD037B"/>
    <w:rsid w:val="00FD0A98"/>
    <w:rsid w:val="00FD0AAF"/>
    <w:rsid w:val="00FD0E4C"/>
    <w:rsid w:val="00FD1A67"/>
    <w:rsid w:val="00FD29B1"/>
    <w:rsid w:val="00FD31B3"/>
    <w:rsid w:val="00FD3831"/>
    <w:rsid w:val="00FD3ABE"/>
    <w:rsid w:val="00FD418B"/>
    <w:rsid w:val="00FD4204"/>
    <w:rsid w:val="00FD4941"/>
    <w:rsid w:val="00FD567D"/>
    <w:rsid w:val="00FD621C"/>
    <w:rsid w:val="00FD7059"/>
    <w:rsid w:val="00FD7568"/>
    <w:rsid w:val="00FE037F"/>
    <w:rsid w:val="00FE0A84"/>
    <w:rsid w:val="00FE17F7"/>
    <w:rsid w:val="00FE1B4A"/>
    <w:rsid w:val="00FE2742"/>
    <w:rsid w:val="00FE2C3C"/>
    <w:rsid w:val="00FE2E42"/>
    <w:rsid w:val="00FE4880"/>
    <w:rsid w:val="00FE596E"/>
    <w:rsid w:val="00FE63C8"/>
    <w:rsid w:val="00FE6730"/>
    <w:rsid w:val="00FE7066"/>
    <w:rsid w:val="00FE7376"/>
    <w:rsid w:val="00FF0112"/>
    <w:rsid w:val="00FF11D8"/>
    <w:rsid w:val="00FF13B3"/>
    <w:rsid w:val="00FF256E"/>
    <w:rsid w:val="00FF2891"/>
    <w:rsid w:val="00FF2A14"/>
    <w:rsid w:val="00FF2C97"/>
    <w:rsid w:val="00FF2DC2"/>
    <w:rsid w:val="00FF3115"/>
    <w:rsid w:val="00FF3CCB"/>
    <w:rsid w:val="00FF4935"/>
    <w:rsid w:val="00FF50B6"/>
    <w:rsid w:val="00FF57B5"/>
    <w:rsid w:val="00FF5D9D"/>
    <w:rsid w:val="00FF629E"/>
    <w:rsid w:val="00FF653B"/>
    <w:rsid w:val="00FF69CD"/>
    <w:rsid w:val="00FF6D80"/>
    <w:rsid w:val="04CFB5F9"/>
    <w:rsid w:val="07623EA5"/>
    <w:rsid w:val="07848D04"/>
    <w:rsid w:val="0A9DB33D"/>
    <w:rsid w:val="0E3EEBAB"/>
    <w:rsid w:val="0F4BAEC2"/>
    <w:rsid w:val="14251432"/>
    <w:rsid w:val="16100FC2"/>
    <w:rsid w:val="18B2AEED"/>
    <w:rsid w:val="1B3C8B5D"/>
    <w:rsid w:val="1E11A185"/>
    <w:rsid w:val="1E244BDC"/>
    <w:rsid w:val="1E6BF698"/>
    <w:rsid w:val="1F4C20D4"/>
    <w:rsid w:val="1FA00374"/>
    <w:rsid w:val="2A5A58AD"/>
    <w:rsid w:val="2D4119E6"/>
    <w:rsid w:val="2DB6A5BF"/>
    <w:rsid w:val="36EDB310"/>
    <w:rsid w:val="3D7D8B56"/>
    <w:rsid w:val="42B6090A"/>
    <w:rsid w:val="4C549B99"/>
    <w:rsid w:val="4E519358"/>
    <w:rsid w:val="51FD1536"/>
    <w:rsid w:val="5A0B270B"/>
    <w:rsid w:val="5A618EC9"/>
    <w:rsid w:val="5C773CFF"/>
    <w:rsid w:val="5CB2610B"/>
    <w:rsid w:val="5E19F334"/>
    <w:rsid w:val="67F45429"/>
    <w:rsid w:val="68F747A7"/>
    <w:rsid w:val="6A1170C4"/>
    <w:rsid w:val="6B0EDC12"/>
    <w:rsid w:val="71BB8CA1"/>
    <w:rsid w:val="7BBA4620"/>
    <w:rsid w:val="7D3F822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3A965C6D-A474-4FEE-87A8-2820AE76A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E90780"/>
    <w:pPr>
      <w:keepNext/>
      <w:numPr>
        <w:numId w:val="22"/>
      </w:numPr>
      <w:spacing w:before="240"/>
      <w:outlineLvl w:val="0"/>
    </w:pPr>
    <w:rPr>
      <w:color w:val="22413A"/>
      <w:sz w:val="48"/>
    </w:rPr>
  </w:style>
  <w:style w:type="paragraph" w:styleId="Heading2">
    <w:name w:val="heading 2"/>
    <w:basedOn w:val="Heading1"/>
    <w:next w:val="Normal"/>
    <w:link w:val="Heading2Char"/>
    <w:qFormat/>
    <w:rsid w:val="00037EE2"/>
    <w:pPr>
      <w:numPr>
        <w:ilvl w:val="1"/>
      </w:numPr>
      <w:ind w:left="851" w:hanging="851"/>
      <w:outlineLvl w:val="1"/>
    </w:pPr>
    <w:rPr>
      <w:sz w:val="36"/>
    </w:rPr>
  </w:style>
  <w:style w:type="paragraph" w:styleId="Heading3">
    <w:name w:val="heading 3"/>
    <w:basedOn w:val="Heading1"/>
    <w:next w:val="Normal"/>
    <w:link w:val="Heading3Char"/>
    <w:qFormat/>
    <w:rsid w:val="00037EE2"/>
    <w:pPr>
      <w:numPr>
        <w:ilvl w:val="2"/>
      </w:numPr>
      <w:ind w:left="851" w:hanging="851"/>
      <w:outlineLvl w:val="2"/>
    </w:pPr>
    <w:rPr>
      <w:sz w:val="28"/>
      <w:szCs w:val="12"/>
    </w:rPr>
  </w:style>
  <w:style w:type="paragraph" w:styleId="Heading4">
    <w:name w:val="heading 4"/>
    <w:basedOn w:val="Heading3"/>
    <w:next w:val="Normal"/>
    <w:link w:val="Heading4Char"/>
    <w:qFormat/>
    <w:rsid w:val="000A51C3"/>
    <w:pPr>
      <w:numPr>
        <w:ilvl w:val="3"/>
      </w:numPr>
      <w:ind w:left="851" w:hanging="851"/>
      <w:outlineLvl w:val="3"/>
    </w:pPr>
    <w:rPr>
      <w:b/>
      <w:bCs/>
      <w:sz w:val="24"/>
      <w:szCs w:val="10"/>
    </w:rPr>
  </w:style>
  <w:style w:type="paragraph" w:styleId="Heading5">
    <w:name w:val="heading 5"/>
    <w:basedOn w:val="Normal"/>
    <w:next w:val="Normal"/>
    <w:link w:val="Heading5Char"/>
    <w:uiPriority w:val="99"/>
    <w:qFormat/>
    <w:rsid w:val="00F47145"/>
    <w:pPr>
      <w:keepNext/>
      <w:outlineLvl w:val="4"/>
    </w:pPr>
    <w:rPr>
      <w:i/>
      <w:noProof/>
      <w:color w:val="22413A"/>
    </w:rPr>
  </w:style>
  <w:style w:type="paragraph" w:styleId="Heading6">
    <w:name w:val="heading 6"/>
    <w:basedOn w:val="Normal"/>
    <w:next w:val="Normal"/>
    <w:link w:val="Heading6Char"/>
    <w:uiPriority w:val="99"/>
    <w:qFormat/>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uiPriority w:val="99"/>
    <w:qFormat/>
    <w:rsid w:val="00642F4D"/>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uiPriority w:val="99"/>
    <w:qFormat/>
    <w:rsid w:val="00642F4D"/>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uiPriority w:val="99"/>
    <w:qFormat/>
    <w:rsid w:val="00642F4D"/>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037EE2"/>
    <w:rPr>
      <w:rFonts w:ascii="Arial" w:hAnsi="Arial"/>
      <w:color w:val="22413A"/>
      <w:sz w:val="36"/>
      <w:szCs w:val="22"/>
      <w:lang w:eastAsia="en-US" w:bidi="he-IL"/>
    </w:rPr>
  </w:style>
  <w:style w:type="character" w:customStyle="1" w:styleId="Heading3Char">
    <w:name w:val="Heading 3 Char"/>
    <w:link w:val="Heading3"/>
    <w:rsid w:val="00037EE2"/>
    <w:rPr>
      <w:rFonts w:ascii="Arial" w:hAnsi="Arial"/>
      <w:color w:val="22413A"/>
      <w:sz w:val="28"/>
      <w:szCs w:val="12"/>
      <w:lang w:eastAsia="en-US" w:bidi="he-IL"/>
    </w:rPr>
  </w:style>
  <w:style w:type="character" w:customStyle="1" w:styleId="Heading4Char">
    <w:name w:val="Heading 4 Char"/>
    <w:link w:val="Heading4"/>
    <w:rsid w:val="000A51C3"/>
    <w:rPr>
      <w:rFonts w:ascii="Arial" w:hAnsi="Arial"/>
      <w:b/>
      <w:bCs/>
      <w:color w:val="22413A"/>
      <w:sz w:val="24"/>
      <w:szCs w:val="10"/>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E90780"/>
    <w:rPr>
      <w:rFonts w:ascii="Arial" w:hAnsi="Arial"/>
      <w:color w:val="22413A"/>
      <w:sz w:val="48"/>
      <w:szCs w:val="22"/>
      <w:lang w:eastAsia="en-US" w:bidi="he-IL"/>
    </w:rPr>
  </w:style>
  <w:style w:type="table" w:styleId="TableGrid">
    <w:name w:val="Table Grid"/>
    <w:basedOn w:val="TableNormal"/>
    <w:uiPriority w:val="5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C35D86"/>
    <w:pPr>
      <w:numPr>
        <w:numId w:val="12"/>
      </w:numPr>
      <w:spacing w:before="240" w:after="120" w:line="240" w:lineRule="auto"/>
      <w:ind w:left="1418" w:hanging="357"/>
    </w:pPr>
    <w:rPr>
      <w:bCs/>
      <w:noProof/>
    </w:rPr>
  </w:style>
  <w:style w:type="paragraph" w:customStyle="1" w:styleId="Bulletlist2">
    <w:name w:val="Bullet list 2"/>
    <w:basedOn w:val="Bulletlist1"/>
    <w:uiPriority w:val="1"/>
    <w:qFormat/>
    <w:rsid w:val="00C35D86"/>
    <w:pPr>
      <w:numPr>
        <w:ilvl w:val="1"/>
      </w:numPr>
      <w:ind w:left="1843"/>
    </w:pPr>
    <w:rPr>
      <w:bCs w:val="0"/>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884E43"/>
    <w:pPr>
      <w:spacing w:before="60" w:after="60"/>
    </w:p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rsid w:val="00C32CC1"/>
    <w:rPr>
      <w:lang w:eastAsia="en-US" w:bidi="he-IL"/>
    </w:rPr>
  </w:style>
  <w:style w:type="character" w:styleId="FootnoteReference">
    <w:name w:val="footnote reference"/>
    <w:basedOn w:val="DefaultParagraphFont"/>
    <w:uiPriority w:val="99"/>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CE1DB2"/>
    <w:pPr>
      <w:pBdr>
        <w:top w:val="single" w:sz="4" w:space="6" w:color="22413A"/>
        <w:bottom w:val="single" w:sz="4" w:space="6" w:color="22413A"/>
      </w:pBdr>
      <w:spacing w:before="240"/>
      <w:ind w:left="851"/>
    </w:pPr>
    <w:rPr>
      <w:rFonts w:asciiTheme="minorHAnsi" w:eastAsiaTheme="minorHAnsi" w:hAnsiTheme="minorHAnsi" w:cstheme="minorBidi"/>
      <w:sz w:val="28"/>
      <w:szCs w:val="30"/>
      <w:lang w:bidi="ar-SA"/>
    </w:rPr>
  </w:style>
  <w:style w:type="paragraph" w:customStyle="1" w:styleId="NumList1">
    <w:name w:val="Num List 1"/>
    <w:basedOn w:val="Normal"/>
    <w:uiPriority w:val="1"/>
    <w:qFormat/>
    <w:rsid w:val="000A51C3"/>
    <w:pPr>
      <w:numPr>
        <w:numId w:val="28"/>
      </w:numPr>
      <w:spacing w:before="240" w:after="120" w:line="240" w:lineRule="auto"/>
    </w:pPr>
    <w:rPr>
      <w:rFonts w:asciiTheme="minorHAnsi" w:eastAsiaTheme="minorHAnsi" w:hAnsiTheme="minorHAnsi" w:cstheme="minorBidi"/>
      <w:bCs/>
      <w:noProof/>
      <w:lang w:bidi="ar-SA"/>
    </w:rPr>
  </w:style>
  <w:style w:type="paragraph" w:customStyle="1" w:styleId="NumList2">
    <w:name w:val="Num List 2"/>
    <w:basedOn w:val="NumList1"/>
    <w:uiPriority w:val="1"/>
    <w:qFormat/>
    <w:rsid w:val="000A51C3"/>
    <w:pPr>
      <w:numPr>
        <w:ilvl w:val="1"/>
      </w:numPr>
      <w:ind w:left="1701"/>
    </w:pPr>
  </w:style>
  <w:style w:type="paragraph" w:customStyle="1" w:styleId="BulletList3">
    <w:name w:val="Bullet List 3"/>
    <w:basedOn w:val="Bulletlist2"/>
    <w:uiPriority w:val="1"/>
    <w:qFormat/>
    <w:rsid w:val="00C35D86"/>
    <w:pPr>
      <w:numPr>
        <w:ilvl w:val="2"/>
      </w:numPr>
      <w:ind w:left="2268"/>
    </w:pPr>
  </w:style>
  <w:style w:type="character" w:styleId="CommentReference">
    <w:name w:val="annotation reference"/>
    <w:basedOn w:val="DefaultParagraphFont"/>
    <w:uiPriority w:val="99"/>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404B0C"/>
    <w:pPr>
      <w:keepLines/>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customStyle="1" w:styleId="F9-Paragraph">
    <w:name w:val="F9 - # Paragraph"/>
    <w:basedOn w:val="Normal"/>
    <w:link w:val="F9-ParagraphChar"/>
    <w:qFormat/>
    <w:rsid w:val="005504C2"/>
    <w:pPr>
      <w:numPr>
        <w:numId w:val="21"/>
      </w:numPr>
      <w:spacing w:before="240" w:after="120" w:line="240" w:lineRule="auto"/>
    </w:pPr>
    <w:rPr>
      <w:rFonts w:eastAsia="Times New Roman"/>
      <w:szCs w:val="24"/>
      <w:lang w:bidi="ar-SA"/>
    </w:rPr>
  </w:style>
  <w:style w:type="character" w:customStyle="1" w:styleId="F9-ParagraphChar">
    <w:name w:val="F9 - # Paragraph Char"/>
    <w:basedOn w:val="DefaultParagraphFont"/>
    <w:link w:val="F9-Paragraph"/>
    <w:rsid w:val="005504C2"/>
    <w:rPr>
      <w:rFonts w:ascii="Arial" w:eastAsia="Times New Roman" w:hAnsi="Arial"/>
      <w:sz w:val="24"/>
      <w:szCs w:val="24"/>
      <w:lang w:eastAsia="en-US"/>
    </w:rPr>
  </w:style>
  <w:style w:type="paragraph" w:customStyle="1" w:styleId="BulletPoint">
    <w:name w:val="Bullet Point"/>
    <w:basedOn w:val="ListParagraph"/>
    <w:link w:val="BulletPointChar"/>
    <w:qFormat/>
    <w:rsid w:val="00587E35"/>
    <w:pPr>
      <w:numPr>
        <w:numId w:val="26"/>
      </w:numPr>
      <w:spacing w:before="240" w:after="120" w:line="264" w:lineRule="auto"/>
    </w:pPr>
    <w:rPr>
      <w:rFonts w:eastAsia="Times New Roman" w:cs="Times New Roman"/>
      <w:sz w:val="22"/>
      <w:szCs w:val="24"/>
      <w:lang w:bidi="ar-SA"/>
    </w:rPr>
  </w:style>
  <w:style w:type="character" w:customStyle="1" w:styleId="BulletPointChar">
    <w:name w:val="Bullet Point Char"/>
    <w:basedOn w:val="DefaultParagraphFont"/>
    <w:link w:val="BulletPoint"/>
    <w:rsid w:val="00587E35"/>
    <w:rPr>
      <w:rFonts w:ascii="Arial" w:eastAsia="Times New Roman" w:hAnsi="Arial" w:cs="Times New Roman"/>
      <w:sz w:val="22"/>
      <w:szCs w:val="24"/>
      <w:lang w:eastAsia="en-US"/>
    </w:rPr>
  </w:style>
  <w:style w:type="character" w:styleId="FollowedHyperlink">
    <w:name w:val="FollowedHyperlink"/>
    <w:basedOn w:val="DefaultParagraphFont"/>
    <w:uiPriority w:val="99"/>
    <w:semiHidden/>
    <w:unhideWhenUsed/>
    <w:rsid w:val="00F61B86"/>
    <w:rPr>
      <w:color w:val="AA1C76" w:themeColor="followedHyperlink"/>
      <w:u w:val="single"/>
    </w:rPr>
  </w:style>
  <w:style w:type="paragraph" w:styleId="NormalWeb">
    <w:name w:val="Normal (Web)"/>
    <w:basedOn w:val="Normal"/>
    <w:uiPriority w:val="99"/>
    <w:unhideWhenUsed/>
    <w:rsid w:val="00AA6D10"/>
    <w:pPr>
      <w:spacing w:before="100" w:beforeAutospacing="1" w:after="100" w:afterAutospacing="1" w:line="240" w:lineRule="auto"/>
    </w:pPr>
    <w:rPr>
      <w:rFonts w:eastAsia="Times New Roman"/>
      <w:szCs w:val="24"/>
      <w:lang w:eastAsia="en-GB" w:bidi="ar-SA"/>
    </w:rPr>
  </w:style>
  <w:style w:type="paragraph" w:customStyle="1" w:styleId="TSNumberedParagraph1">
    <w:name w:val="TS Numbered Paragraph 1"/>
    <w:basedOn w:val="Normal"/>
    <w:link w:val="TSNumberedParagraph1Char"/>
    <w:rsid w:val="00930799"/>
    <w:pPr>
      <w:numPr>
        <w:numId w:val="36"/>
      </w:numPr>
      <w:spacing w:after="220" w:line="240" w:lineRule="auto"/>
      <w:outlineLvl w:val="0"/>
    </w:pPr>
    <w:rPr>
      <w:rFonts w:eastAsia="Times New Roman" w:cs="Times New Roman"/>
      <w:sz w:val="22"/>
      <w:szCs w:val="24"/>
      <w:lang w:bidi="ar-SA"/>
    </w:rPr>
  </w:style>
  <w:style w:type="character" w:customStyle="1" w:styleId="TSNumberedParagraph1Char">
    <w:name w:val="TS Numbered Paragraph 1 Char"/>
    <w:link w:val="TSNumberedParagraph1"/>
    <w:rsid w:val="00930799"/>
    <w:rPr>
      <w:rFonts w:ascii="Arial" w:eastAsia="Times New Roman" w:hAnsi="Arial" w:cs="Times New Roman"/>
      <w:sz w:val="22"/>
      <w:szCs w:val="24"/>
      <w:lang w:eastAsia="en-US"/>
    </w:rPr>
  </w:style>
  <w:style w:type="paragraph" w:styleId="Revision">
    <w:name w:val="Revision"/>
    <w:hidden/>
    <w:uiPriority w:val="99"/>
    <w:semiHidden/>
    <w:rsid w:val="00673330"/>
    <w:rPr>
      <w:rFonts w:ascii="Arial" w:hAnsi="Arial"/>
      <w:sz w:val="24"/>
      <w:szCs w:val="22"/>
      <w:lang w:eastAsia="en-US" w:bidi="he-IL"/>
    </w:rPr>
  </w:style>
  <w:style w:type="paragraph" w:customStyle="1" w:styleId="TSBullet1Square">
    <w:name w:val="TS Bullet 1 Square"/>
    <w:basedOn w:val="Normal"/>
    <w:uiPriority w:val="99"/>
    <w:rsid w:val="00AF2813"/>
    <w:pPr>
      <w:numPr>
        <w:numId w:val="38"/>
      </w:numPr>
      <w:spacing w:line="240" w:lineRule="auto"/>
      <w:contextualSpacing/>
    </w:pPr>
    <w:rPr>
      <w:rFonts w:eastAsia="Times New Roman" w:cs="Times New Roman"/>
      <w:sz w:val="22"/>
      <w:szCs w:val="24"/>
      <w:lang w:bidi="ar-SA"/>
    </w:rPr>
  </w:style>
  <w:style w:type="character" w:customStyle="1" w:styleId="Heading7Char">
    <w:name w:val="Heading 7 Char"/>
    <w:basedOn w:val="DefaultParagraphFont"/>
    <w:link w:val="Heading7"/>
    <w:uiPriority w:val="99"/>
    <w:rsid w:val="00642F4D"/>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uiPriority w:val="99"/>
    <w:rsid w:val="00642F4D"/>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uiPriority w:val="99"/>
    <w:rsid w:val="00642F4D"/>
    <w:rPr>
      <w:rFonts w:ascii="Arial" w:eastAsia="Times New Roman" w:hAnsi="Arial"/>
      <w:sz w:val="22"/>
      <w:szCs w:val="22"/>
      <w:lang w:eastAsia="en-US"/>
    </w:rPr>
  </w:style>
  <w:style w:type="paragraph" w:customStyle="1" w:styleId="TSHeadingNumbered1">
    <w:name w:val="TS Heading Numbered 1"/>
    <w:basedOn w:val="Normal"/>
    <w:rsid w:val="00642F4D"/>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link w:val="TSHeadingNumbered11Char"/>
    <w:rsid w:val="00642F4D"/>
    <w:pPr>
      <w:tabs>
        <w:tab w:val="clear" w:pos="-31680"/>
      </w:tabs>
      <w:ind w:left="5605" w:hanging="360"/>
    </w:pPr>
    <w:rPr>
      <w:caps w:val="0"/>
    </w:rPr>
  </w:style>
  <w:style w:type="paragraph" w:customStyle="1" w:styleId="TSHeadingNumbered1111">
    <w:name w:val="TS Heading Numbered 1.1.1.1"/>
    <w:basedOn w:val="TSHeadingNumbered1"/>
    <w:uiPriority w:val="99"/>
    <w:rsid w:val="00642F4D"/>
  </w:style>
  <w:style w:type="paragraph" w:customStyle="1" w:styleId="TSHeadingNumbered111">
    <w:name w:val="TS Heading Numbered 1.1.1"/>
    <w:basedOn w:val="TSHeadingNumbered1"/>
    <w:uiPriority w:val="99"/>
    <w:rsid w:val="00760FAB"/>
    <w:pPr>
      <w:tabs>
        <w:tab w:val="clear" w:pos="-31680"/>
      </w:tabs>
      <w:ind w:left="0" w:firstLine="0"/>
    </w:pPr>
    <w:rPr>
      <w:caps w:val="0"/>
    </w:rPr>
  </w:style>
  <w:style w:type="character" w:customStyle="1" w:styleId="TSHeadingNumbered11Char">
    <w:name w:val="TS Heading Numbered 1.1 Char"/>
    <w:basedOn w:val="DefaultParagraphFont"/>
    <w:link w:val="TSHeadingNumbered11"/>
    <w:rsid w:val="002569E1"/>
    <w:rPr>
      <w:rFonts w:ascii="Arial Bold" w:eastAsia="Times New Roman" w:hAnsi="Arial Bold" w:cs="Times New Roman"/>
      <w:b/>
      <w:sz w:val="22"/>
      <w:szCs w:val="24"/>
      <w:lang w:eastAsia="en-US"/>
    </w:rPr>
  </w:style>
  <w:style w:type="paragraph" w:styleId="CommentSubject">
    <w:name w:val="annotation subject"/>
    <w:basedOn w:val="CommentText"/>
    <w:next w:val="CommentText"/>
    <w:link w:val="CommentSubjectChar"/>
    <w:uiPriority w:val="99"/>
    <w:semiHidden/>
    <w:unhideWhenUsed/>
    <w:rsid w:val="004842D1"/>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4842D1"/>
    <w:rPr>
      <w:rFonts w:ascii="Arial" w:eastAsiaTheme="minorHAnsi" w:hAnsi="Arial" w:cstheme="minorBidi"/>
      <w:b/>
      <w:bCs/>
      <w:lang w:eastAsia="en-US" w:bidi="he-IL"/>
    </w:rPr>
  </w:style>
  <w:style w:type="paragraph" w:styleId="TableofFigures">
    <w:name w:val="table of figures"/>
    <w:basedOn w:val="Normal"/>
    <w:next w:val="Normal"/>
    <w:uiPriority w:val="99"/>
    <w:unhideWhenUsed/>
    <w:rsid w:val="00E52A6D"/>
    <w:pPr>
      <w:spacing w:after="0"/>
    </w:pPr>
  </w:style>
  <w:style w:type="paragraph" w:styleId="TOC4">
    <w:name w:val="toc 4"/>
    <w:basedOn w:val="Normal"/>
    <w:next w:val="Normal"/>
    <w:autoRedefine/>
    <w:uiPriority w:val="39"/>
    <w:rsid w:val="00C67864"/>
    <w:pPr>
      <w:spacing w:after="100"/>
      <w:ind w:left="720"/>
    </w:pPr>
  </w:style>
  <w:style w:type="paragraph" w:customStyle="1" w:styleId="Default">
    <w:name w:val="Default"/>
    <w:uiPriority w:val="99"/>
    <w:rsid w:val="00512502"/>
    <w:pPr>
      <w:autoSpaceDE w:val="0"/>
      <w:autoSpaceDN w:val="0"/>
      <w:adjustRightInd w:val="0"/>
    </w:pPr>
    <w:rPr>
      <w:rFonts w:ascii="Arial" w:eastAsia="Times New Roman" w:hAnsi="Arial"/>
      <w:color w:val="000000"/>
      <w:sz w:val="24"/>
      <w:szCs w:val="24"/>
    </w:rPr>
  </w:style>
  <w:style w:type="paragraph" w:customStyle="1" w:styleId="Appendix">
    <w:name w:val="Appendix"/>
    <w:basedOn w:val="Heading1"/>
    <w:link w:val="AppendixChar"/>
    <w:qFormat/>
    <w:rsid w:val="00BE5A7A"/>
    <w:pPr>
      <w:numPr>
        <w:numId w:val="0"/>
      </w:numPr>
    </w:pPr>
  </w:style>
  <w:style w:type="paragraph" w:customStyle="1" w:styleId="Style4">
    <w:name w:val="Style4"/>
    <w:basedOn w:val="Heading2"/>
    <w:link w:val="Style4Char"/>
    <w:qFormat/>
    <w:rsid w:val="00BE5A7A"/>
    <w:pPr>
      <w:numPr>
        <w:ilvl w:val="0"/>
        <w:numId w:val="74"/>
      </w:numPr>
    </w:pPr>
  </w:style>
  <w:style w:type="character" w:customStyle="1" w:styleId="AppendixChar">
    <w:name w:val="Appendix Char"/>
    <w:basedOn w:val="Heading1Char"/>
    <w:link w:val="Appendix"/>
    <w:rsid w:val="00BE5A7A"/>
    <w:rPr>
      <w:rFonts w:ascii="Arial" w:hAnsi="Arial"/>
      <w:color w:val="22413A"/>
      <w:sz w:val="48"/>
      <w:szCs w:val="22"/>
      <w:lang w:eastAsia="en-US" w:bidi="he-IL"/>
    </w:rPr>
  </w:style>
  <w:style w:type="numbering" w:customStyle="1" w:styleId="AppendixA">
    <w:name w:val="Appendix A"/>
    <w:uiPriority w:val="99"/>
    <w:rsid w:val="00694201"/>
    <w:pPr>
      <w:numPr>
        <w:numId w:val="75"/>
      </w:numPr>
    </w:pPr>
  </w:style>
  <w:style w:type="character" w:customStyle="1" w:styleId="Style4Char">
    <w:name w:val="Style4 Char"/>
    <w:basedOn w:val="Heading2Char"/>
    <w:link w:val="Style4"/>
    <w:rsid w:val="00BE5A7A"/>
    <w:rPr>
      <w:rFonts w:ascii="Arial" w:hAnsi="Arial"/>
      <w:color w:val="22413A"/>
      <w:sz w:val="36"/>
      <w:szCs w:val="22"/>
      <w:lang w:eastAsia="en-US" w:bidi="he-IL"/>
    </w:rPr>
  </w:style>
  <w:style w:type="character" w:customStyle="1" w:styleId="ui-provider">
    <w:name w:val="ui-provider"/>
    <w:basedOn w:val="DefaultParagraphFont"/>
    <w:rsid w:val="004D4C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8215">
      <w:bodyDiv w:val="1"/>
      <w:marLeft w:val="0"/>
      <w:marRight w:val="0"/>
      <w:marTop w:val="0"/>
      <w:marBottom w:val="0"/>
      <w:divBdr>
        <w:top w:val="none" w:sz="0" w:space="0" w:color="auto"/>
        <w:left w:val="none" w:sz="0" w:space="0" w:color="auto"/>
        <w:bottom w:val="none" w:sz="0" w:space="0" w:color="auto"/>
        <w:right w:val="none" w:sz="0" w:space="0" w:color="auto"/>
      </w:divBdr>
    </w:div>
    <w:div w:id="1052309">
      <w:bodyDiv w:val="1"/>
      <w:marLeft w:val="0"/>
      <w:marRight w:val="0"/>
      <w:marTop w:val="0"/>
      <w:marBottom w:val="0"/>
      <w:divBdr>
        <w:top w:val="none" w:sz="0" w:space="0" w:color="auto"/>
        <w:left w:val="none" w:sz="0" w:space="0" w:color="auto"/>
        <w:bottom w:val="none" w:sz="0" w:space="0" w:color="auto"/>
        <w:right w:val="none" w:sz="0" w:space="0" w:color="auto"/>
      </w:divBdr>
    </w:div>
    <w:div w:id="1471652">
      <w:bodyDiv w:val="1"/>
      <w:marLeft w:val="0"/>
      <w:marRight w:val="0"/>
      <w:marTop w:val="0"/>
      <w:marBottom w:val="0"/>
      <w:divBdr>
        <w:top w:val="none" w:sz="0" w:space="0" w:color="auto"/>
        <w:left w:val="none" w:sz="0" w:space="0" w:color="auto"/>
        <w:bottom w:val="none" w:sz="0" w:space="0" w:color="auto"/>
        <w:right w:val="none" w:sz="0" w:space="0" w:color="auto"/>
      </w:divBdr>
    </w:div>
    <w:div w:id="2511057">
      <w:bodyDiv w:val="1"/>
      <w:marLeft w:val="0"/>
      <w:marRight w:val="0"/>
      <w:marTop w:val="0"/>
      <w:marBottom w:val="0"/>
      <w:divBdr>
        <w:top w:val="none" w:sz="0" w:space="0" w:color="auto"/>
        <w:left w:val="none" w:sz="0" w:space="0" w:color="auto"/>
        <w:bottom w:val="none" w:sz="0" w:space="0" w:color="auto"/>
        <w:right w:val="none" w:sz="0" w:space="0" w:color="auto"/>
      </w:divBdr>
    </w:div>
    <w:div w:id="4016970">
      <w:bodyDiv w:val="1"/>
      <w:marLeft w:val="0"/>
      <w:marRight w:val="0"/>
      <w:marTop w:val="0"/>
      <w:marBottom w:val="0"/>
      <w:divBdr>
        <w:top w:val="none" w:sz="0" w:space="0" w:color="auto"/>
        <w:left w:val="none" w:sz="0" w:space="0" w:color="auto"/>
        <w:bottom w:val="none" w:sz="0" w:space="0" w:color="auto"/>
        <w:right w:val="none" w:sz="0" w:space="0" w:color="auto"/>
      </w:divBdr>
    </w:div>
    <w:div w:id="4404745">
      <w:bodyDiv w:val="1"/>
      <w:marLeft w:val="0"/>
      <w:marRight w:val="0"/>
      <w:marTop w:val="0"/>
      <w:marBottom w:val="0"/>
      <w:divBdr>
        <w:top w:val="none" w:sz="0" w:space="0" w:color="auto"/>
        <w:left w:val="none" w:sz="0" w:space="0" w:color="auto"/>
        <w:bottom w:val="none" w:sz="0" w:space="0" w:color="auto"/>
        <w:right w:val="none" w:sz="0" w:space="0" w:color="auto"/>
      </w:divBdr>
    </w:div>
    <w:div w:id="5906677">
      <w:bodyDiv w:val="1"/>
      <w:marLeft w:val="0"/>
      <w:marRight w:val="0"/>
      <w:marTop w:val="0"/>
      <w:marBottom w:val="0"/>
      <w:divBdr>
        <w:top w:val="none" w:sz="0" w:space="0" w:color="auto"/>
        <w:left w:val="none" w:sz="0" w:space="0" w:color="auto"/>
        <w:bottom w:val="none" w:sz="0" w:space="0" w:color="auto"/>
        <w:right w:val="none" w:sz="0" w:space="0" w:color="auto"/>
      </w:divBdr>
    </w:div>
    <w:div w:id="6641216">
      <w:bodyDiv w:val="1"/>
      <w:marLeft w:val="0"/>
      <w:marRight w:val="0"/>
      <w:marTop w:val="0"/>
      <w:marBottom w:val="0"/>
      <w:divBdr>
        <w:top w:val="none" w:sz="0" w:space="0" w:color="auto"/>
        <w:left w:val="none" w:sz="0" w:space="0" w:color="auto"/>
        <w:bottom w:val="none" w:sz="0" w:space="0" w:color="auto"/>
        <w:right w:val="none" w:sz="0" w:space="0" w:color="auto"/>
      </w:divBdr>
    </w:div>
    <w:div w:id="7947776">
      <w:bodyDiv w:val="1"/>
      <w:marLeft w:val="0"/>
      <w:marRight w:val="0"/>
      <w:marTop w:val="0"/>
      <w:marBottom w:val="0"/>
      <w:divBdr>
        <w:top w:val="none" w:sz="0" w:space="0" w:color="auto"/>
        <w:left w:val="none" w:sz="0" w:space="0" w:color="auto"/>
        <w:bottom w:val="none" w:sz="0" w:space="0" w:color="auto"/>
        <w:right w:val="none" w:sz="0" w:space="0" w:color="auto"/>
      </w:divBdr>
    </w:div>
    <w:div w:id="8215630">
      <w:bodyDiv w:val="1"/>
      <w:marLeft w:val="0"/>
      <w:marRight w:val="0"/>
      <w:marTop w:val="0"/>
      <w:marBottom w:val="0"/>
      <w:divBdr>
        <w:top w:val="none" w:sz="0" w:space="0" w:color="auto"/>
        <w:left w:val="none" w:sz="0" w:space="0" w:color="auto"/>
        <w:bottom w:val="none" w:sz="0" w:space="0" w:color="auto"/>
        <w:right w:val="none" w:sz="0" w:space="0" w:color="auto"/>
      </w:divBdr>
    </w:div>
    <w:div w:id="9259250">
      <w:bodyDiv w:val="1"/>
      <w:marLeft w:val="0"/>
      <w:marRight w:val="0"/>
      <w:marTop w:val="0"/>
      <w:marBottom w:val="0"/>
      <w:divBdr>
        <w:top w:val="none" w:sz="0" w:space="0" w:color="auto"/>
        <w:left w:val="none" w:sz="0" w:space="0" w:color="auto"/>
        <w:bottom w:val="none" w:sz="0" w:space="0" w:color="auto"/>
        <w:right w:val="none" w:sz="0" w:space="0" w:color="auto"/>
      </w:divBdr>
    </w:div>
    <w:div w:id="9261047">
      <w:bodyDiv w:val="1"/>
      <w:marLeft w:val="0"/>
      <w:marRight w:val="0"/>
      <w:marTop w:val="0"/>
      <w:marBottom w:val="0"/>
      <w:divBdr>
        <w:top w:val="none" w:sz="0" w:space="0" w:color="auto"/>
        <w:left w:val="none" w:sz="0" w:space="0" w:color="auto"/>
        <w:bottom w:val="none" w:sz="0" w:space="0" w:color="auto"/>
        <w:right w:val="none" w:sz="0" w:space="0" w:color="auto"/>
      </w:divBdr>
    </w:div>
    <w:div w:id="9916316">
      <w:bodyDiv w:val="1"/>
      <w:marLeft w:val="0"/>
      <w:marRight w:val="0"/>
      <w:marTop w:val="0"/>
      <w:marBottom w:val="0"/>
      <w:divBdr>
        <w:top w:val="none" w:sz="0" w:space="0" w:color="auto"/>
        <w:left w:val="none" w:sz="0" w:space="0" w:color="auto"/>
        <w:bottom w:val="none" w:sz="0" w:space="0" w:color="auto"/>
        <w:right w:val="none" w:sz="0" w:space="0" w:color="auto"/>
      </w:divBdr>
    </w:div>
    <w:div w:id="9991703">
      <w:bodyDiv w:val="1"/>
      <w:marLeft w:val="0"/>
      <w:marRight w:val="0"/>
      <w:marTop w:val="0"/>
      <w:marBottom w:val="0"/>
      <w:divBdr>
        <w:top w:val="none" w:sz="0" w:space="0" w:color="auto"/>
        <w:left w:val="none" w:sz="0" w:space="0" w:color="auto"/>
        <w:bottom w:val="none" w:sz="0" w:space="0" w:color="auto"/>
        <w:right w:val="none" w:sz="0" w:space="0" w:color="auto"/>
      </w:divBdr>
    </w:div>
    <w:div w:id="10767205">
      <w:bodyDiv w:val="1"/>
      <w:marLeft w:val="0"/>
      <w:marRight w:val="0"/>
      <w:marTop w:val="0"/>
      <w:marBottom w:val="0"/>
      <w:divBdr>
        <w:top w:val="none" w:sz="0" w:space="0" w:color="auto"/>
        <w:left w:val="none" w:sz="0" w:space="0" w:color="auto"/>
        <w:bottom w:val="none" w:sz="0" w:space="0" w:color="auto"/>
        <w:right w:val="none" w:sz="0" w:space="0" w:color="auto"/>
      </w:divBdr>
    </w:div>
    <w:div w:id="11959215">
      <w:bodyDiv w:val="1"/>
      <w:marLeft w:val="0"/>
      <w:marRight w:val="0"/>
      <w:marTop w:val="0"/>
      <w:marBottom w:val="0"/>
      <w:divBdr>
        <w:top w:val="none" w:sz="0" w:space="0" w:color="auto"/>
        <w:left w:val="none" w:sz="0" w:space="0" w:color="auto"/>
        <w:bottom w:val="none" w:sz="0" w:space="0" w:color="auto"/>
        <w:right w:val="none" w:sz="0" w:space="0" w:color="auto"/>
      </w:divBdr>
    </w:div>
    <w:div w:id="13386532">
      <w:bodyDiv w:val="1"/>
      <w:marLeft w:val="0"/>
      <w:marRight w:val="0"/>
      <w:marTop w:val="0"/>
      <w:marBottom w:val="0"/>
      <w:divBdr>
        <w:top w:val="none" w:sz="0" w:space="0" w:color="auto"/>
        <w:left w:val="none" w:sz="0" w:space="0" w:color="auto"/>
        <w:bottom w:val="none" w:sz="0" w:space="0" w:color="auto"/>
        <w:right w:val="none" w:sz="0" w:space="0" w:color="auto"/>
      </w:divBdr>
    </w:div>
    <w:div w:id="14507154">
      <w:bodyDiv w:val="1"/>
      <w:marLeft w:val="0"/>
      <w:marRight w:val="0"/>
      <w:marTop w:val="0"/>
      <w:marBottom w:val="0"/>
      <w:divBdr>
        <w:top w:val="none" w:sz="0" w:space="0" w:color="auto"/>
        <w:left w:val="none" w:sz="0" w:space="0" w:color="auto"/>
        <w:bottom w:val="none" w:sz="0" w:space="0" w:color="auto"/>
        <w:right w:val="none" w:sz="0" w:space="0" w:color="auto"/>
      </w:divBdr>
    </w:div>
    <w:div w:id="14622971">
      <w:bodyDiv w:val="1"/>
      <w:marLeft w:val="0"/>
      <w:marRight w:val="0"/>
      <w:marTop w:val="0"/>
      <w:marBottom w:val="0"/>
      <w:divBdr>
        <w:top w:val="none" w:sz="0" w:space="0" w:color="auto"/>
        <w:left w:val="none" w:sz="0" w:space="0" w:color="auto"/>
        <w:bottom w:val="none" w:sz="0" w:space="0" w:color="auto"/>
        <w:right w:val="none" w:sz="0" w:space="0" w:color="auto"/>
      </w:divBdr>
    </w:div>
    <w:div w:id="15205197">
      <w:bodyDiv w:val="1"/>
      <w:marLeft w:val="0"/>
      <w:marRight w:val="0"/>
      <w:marTop w:val="0"/>
      <w:marBottom w:val="0"/>
      <w:divBdr>
        <w:top w:val="none" w:sz="0" w:space="0" w:color="auto"/>
        <w:left w:val="none" w:sz="0" w:space="0" w:color="auto"/>
        <w:bottom w:val="none" w:sz="0" w:space="0" w:color="auto"/>
        <w:right w:val="none" w:sz="0" w:space="0" w:color="auto"/>
      </w:divBdr>
    </w:div>
    <w:div w:id="15735973">
      <w:bodyDiv w:val="1"/>
      <w:marLeft w:val="0"/>
      <w:marRight w:val="0"/>
      <w:marTop w:val="0"/>
      <w:marBottom w:val="0"/>
      <w:divBdr>
        <w:top w:val="none" w:sz="0" w:space="0" w:color="auto"/>
        <w:left w:val="none" w:sz="0" w:space="0" w:color="auto"/>
        <w:bottom w:val="none" w:sz="0" w:space="0" w:color="auto"/>
        <w:right w:val="none" w:sz="0" w:space="0" w:color="auto"/>
      </w:divBdr>
    </w:div>
    <w:div w:id="18510116">
      <w:bodyDiv w:val="1"/>
      <w:marLeft w:val="0"/>
      <w:marRight w:val="0"/>
      <w:marTop w:val="0"/>
      <w:marBottom w:val="0"/>
      <w:divBdr>
        <w:top w:val="none" w:sz="0" w:space="0" w:color="auto"/>
        <w:left w:val="none" w:sz="0" w:space="0" w:color="auto"/>
        <w:bottom w:val="none" w:sz="0" w:space="0" w:color="auto"/>
        <w:right w:val="none" w:sz="0" w:space="0" w:color="auto"/>
      </w:divBdr>
    </w:div>
    <w:div w:id="20207358">
      <w:bodyDiv w:val="1"/>
      <w:marLeft w:val="0"/>
      <w:marRight w:val="0"/>
      <w:marTop w:val="0"/>
      <w:marBottom w:val="0"/>
      <w:divBdr>
        <w:top w:val="none" w:sz="0" w:space="0" w:color="auto"/>
        <w:left w:val="none" w:sz="0" w:space="0" w:color="auto"/>
        <w:bottom w:val="none" w:sz="0" w:space="0" w:color="auto"/>
        <w:right w:val="none" w:sz="0" w:space="0" w:color="auto"/>
      </w:divBdr>
    </w:div>
    <w:div w:id="20787171">
      <w:bodyDiv w:val="1"/>
      <w:marLeft w:val="0"/>
      <w:marRight w:val="0"/>
      <w:marTop w:val="0"/>
      <w:marBottom w:val="0"/>
      <w:divBdr>
        <w:top w:val="none" w:sz="0" w:space="0" w:color="auto"/>
        <w:left w:val="none" w:sz="0" w:space="0" w:color="auto"/>
        <w:bottom w:val="none" w:sz="0" w:space="0" w:color="auto"/>
        <w:right w:val="none" w:sz="0" w:space="0" w:color="auto"/>
      </w:divBdr>
    </w:div>
    <w:div w:id="20981418">
      <w:bodyDiv w:val="1"/>
      <w:marLeft w:val="0"/>
      <w:marRight w:val="0"/>
      <w:marTop w:val="0"/>
      <w:marBottom w:val="0"/>
      <w:divBdr>
        <w:top w:val="none" w:sz="0" w:space="0" w:color="auto"/>
        <w:left w:val="none" w:sz="0" w:space="0" w:color="auto"/>
        <w:bottom w:val="none" w:sz="0" w:space="0" w:color="auto"/>
        <w:right w:val="none" w:sz="0" w:space="0" w:color="auto"/>
      </w:divBdr>
    </w:div>
    <w:div w:id="21128408">
      <w:bodyDiv w:val="1"/>
      <w:marLeft w:val="0"/>
      <w:marRight w:val="0"/>
      <w:marTop w:val="0"/>
      <w:marBottom w:val="0"/>
      <w:divBdr>
        <w:top w:val="none" w:sz="0" w:space="0" w:color="auto"/>
        <w:left w:val="none" w:sz="0" w:space="0" w:color="auto"/>
        <w:bottom w:val="none" w:sz="0" w:space="0" w:color="auto"/>
        <w:right w:val="none" w:sz="0" w:space="0" w:color="auto"/>
      </w:divBdr>
    </w:div>
    <w:div w:id="22634577">
      <w:bodyDiv w:val="1"/>
      <w:marLeft w:val="0"/>
      <w:marRight w:val="0"/>
      <w:marTop w:val="0"/>
      <w:marBottom w:val="0"/>
      <w:divBdr>
        <w:top w:val="none" w:sz="0" w:space="0" w:color="auto"/>
        <w:left w:val="none" w:sz="0" w:space="0" w:color="auto"/>
        <w:bottom w:val="none" w:sz="0" w:space="0" w:color="auto"/>
        <w:right w:val="none" w:sz="0" w:space="0" w:color="auto"/>
      </w:divBdr>
    </w:div>
    <w:div w:id="23098086">
      <w:bodyDiv w:val="1"/>
      <w:marLeft w:val="0"/>
      <w:marRight w:val="0"/>
      <w:marTop w:val="0"/>
      <w:marBottom w:val="0"/>
      <w:divBdr>
        <w:top w:val="none" w:sz="0" w:space="0" w:color="auto"/>
        <w:left w:val="none" w:sz="0" w:space="0" w:color="auto"/>
        <w:bottom w:val="none" w:sz="0" w:space="0" w:color="auto"/>
        <w:right w:val="none" w:sz="0" w:space="0" w:color="auto"/>
      </w:divBdr>
    </w:div>
    <w:div w:id="24911999">
      <w:bodyDiv w:val="1"/>
      <w:marLeft w:val="0"/>
      <w:marRight w:val="0"/>
      <w:marTop w:val="0"/>
      <w:marBottom w:val="0"/>
      <w:divBdr>
        <w:top w:val="none" w:sz="0" w:space="0" w:color="auto"/>
        <w:left w:val="none" w:sz="0" w:space="0" w:color="auto"/>
        <w:bottom w:val="none" w:sz="0" w:space="0" w:color="auto"/>
        <w:right w:val="none" w:sz="0" w:space="0" w:color="auto"/>
      </w:divBdr>
    </w:div>
    <w:div w:id="25756870">
      <w:bodyDiv w:val="1"/>
      <w:marLeft w:val="0"/>
      <w:marRight w:val="0"/>
      <w:marTop w:val="0"/>
      <w:marBottom w:val="0"/>
      <w:divBdr>
        <w:top w:val="none" w:sz="0" w:space="0" w:color="auto"/>
        <w:left w:val="none" w:sz="0" w:space="0" w:color="auto"/>
        <w:bottom w:val="none" w:sz="0" w:space="0" w:color="auto"/>
        <w:right w:val="none" w:sz="0" w:space="0" w:color="auto"/>
      </w:divBdr>
    </w:div>
    <w:div w:id="26151325">
      <w:bodyDiv w:val="1"/>
      <w:marLeft w:val="0"/>
      <w:marRight w:val="0"/>
      <w:marTop w:val="0"/>
      <w:marBottom w:val="0"/>
      <w:divBdr>
        <w:top w:val="none" w:sz="0" w:space="0" w:color="auto"/>
        <w:left w:val="none" w:sz="0" w:space="0" w:color="auto"/>
        <w:bottom w:val="none" w:sz="0" w:space="0" w:color="auto"/>
        <w:right w:val="none" w:sz="0" w:space="0" w:color="auto"/>
      </w:divBdr>
    </w:div>
    <w:div w:id="27343525">
      <w:bodyDiv w:val="1"/>
      <w:marLeft w:val="0"/>
      <w:marRight w:val="0"/>
      <w:marTop w:val="0"/>
      <w:marBottom w:val="0"/>
      <w:divBdr>
        <w:top w:val="none" w:sz="0" w:space="0" w:color="auto"/>
        <w:left w:val="none" w:sz="0" w:space="0" w:color="auto"/>
        <w:bottom w:val="none" w:sz="0" w:space="0" w:color="auto"/>
        <w:right w:val="none" w:sz="0" w:space="0" w:color="auto"/>
      </w:divBdr>
    </w:div>
    <w:div w:id="28186610">
      <w:bodyDiv w:val="1"/>
      <w:marLeft w:val="0"/>
      <w:marRight w:val="0"/>
      <w:marTop w:val="0"/>
      <w:marBottom w:val="0"/>
      <w:divBdr>
        <w:top w:val="none" w:sz="0" w:space="0" w:color="auto"/>
        <w:left w:val="none" w:sz="0" w:space="0" w:color="auto"/>
        <w:bottom w:val="none" w:sz="0" w:space="0" w:color="auto"/>
        <w:right w:val="none" w:sz="0" w:space="0" w:color="auto"/>
      </w:divBdr>
    </w:div>
    <w:div w:id="28259134">
      <w:bodyDiv w:val="1"/>
      <w:marLeft w:val="0"/>
      <w:marRight w:val="0"/>
      <w:marTop w:val="0"/>
      <w:marBottom w:val="0"/>
      <w:divBdr>
        <w:top w:val="none" w:sz="0" w:space="0" w:color="auto"/>
        <w:left w:val="none" w:sz="0" w:space="0" w:color="auto"/>
        <w:bottom w:val="none" w:sz="0" w:space="0" w:color="auto"/>
        <w:right w:val="none" w:sz="0" w:space="0" w:color="auto"/>
      </w:divBdr>
    </w:div>
    <w:div w:id="29306629">
      <w:bodyDiv w:val="1"/>
      <w:marLeft w:val="0"/>
      <w:marRight w:val="0"/>
      <w:marTop w:val="0"/>
      <w:marBottom w:val="0"/>
      <w:divBdr>
        <w:top w:val="none" w:sz="0" w:space="0" w:color="auto"/>
        <w:left w:val="none" w:sz="0" w:space="0" w:color="auto"/>
        <w:bottom w:val="none" w:sz="0" w:space="0" w:color="auto"/>
        <w:right w:val="none" w:sz="0" w:space="0" w:color="auto"/>
      </w:divBdr>
    </w:div>
    <w:div w:id="29647832">
      <w:bodyDiv w:val="1"/>
      <w:marLeft w:val="0"/>
      <w:marRight w:val="0"/>
      <w:marTop w:val="0"/>
      <w:marBottom w:val="0"/>
      <w:divBdr>
        <w:top w:val="none" w:sz="0" w:space="0" w:color="auto"/>
        <w:left w:val="none" w:sz="0" w:space="0" w:color="auto"/>
        <w:bottom w:val="none" w:sz="0" w:space="0" w:color="auto"/>
        <w:right w:val="none" w:sz="0" w:space="0" w:color="auto"/>
      </w:divBdr>
    </w:div>
    <w:div w:id="31423166">
      <w:bodyDiv w:val="1"/>
      <w:marLeft w:val="0"/>
      <w:marRight w:val="0"/>
      <w:marTop w:val="0"/>
      <w:marBottom w:val="0"/>
      <w:divBdr>
        <w:top w:val="none" w:sz="0" w:space="0" w:color="auto"/>
        <w:left w:val="none" w:sz="0" w:space="0" w:color="auto"/>
        <w:bottom w:val="none" w:sz="0" w:space="0" w:color="auto"/>
        <w:right w:val="none" w:sz="0" w:space="0" w:color="auto"/>
      </w:divBdr>
    </w:div>
    <w:div w:id="31811675">
      <w:bodyDiv w:val="1"/>
      <w:marLeft w:val="0"/>
      <w:marRight w:val="0"/>
      <w:marTop w:val="0"/>
      <w:marBottom w:val="0"/>
      <w:divBdr>
        <w:top w:val="none" w:sz="0" w:space="0" w:color="auto"/>
        <w:left w:val="none" w:sz="0" w:space="0" w:color="auto"/>
        <w:bottom w:val="none" w:sz="0" w:space="0" w:color="auto"/>
        <w:right w:val="none" w:sz="0" w:space="0" w:color="auto"/>
      </w:divBdr>
    </w:div>
    <w:div w:id="33623303">
      <w:bodyDiv w:val="1"/>
      <w:marLeft w:val="0"/>
      <w:marRight w:val="0"/>
      <w:marTop w:val="0"/>
      <w:marBottom w:val="0"/>
      <w:divBdr>
        <w:top w:val="none" w:sz="0" w:space="0" w:color="auto"/>
        <w:left w:val="none" w:sz="0" w:space="0" w:color="auto"/>
        <w:bottom w:val="none" w:sz="0" w:space="0" w:color="auto"/>
        <w:right w:val="none" w:sz="0" w:space="0" w:color="auto"/>
      </w:divBdr>
    </w:div>
    <w:div w:id="33701806">
      <w:bodyDiv w:val="1"/>
      <w:marLeft w:val="0"/>
      <w:marRight w:val="0"/>
      <w:marTop w:val="0"/>
      <w:marBottom w:val="0"/>
      <w:divBdr>
        <w:top w:val="none" w:sz="0" w:space="0" w:color="auto"/>
        <w:left w:val="none" w:sz="0" w:space="0" w:color="auto"/>
        <w:bottom w:val="none" w:sz="0" w:space="0" w:color="auto"/>
        <w:right w:val="none" w:sz="0" w:space="0" w:color="auto"/>
      </w:divBdr>
    </w:div>
    <w:div w:id="33968922">
      <w:bodyDiv w:val="1"/>
      <w:marLeft w:val="0"/>
      <w:marRight w:val="0"/>
      <w:marTop w:val="0"/>
      <w:marBottom w:val="0"/>
      <w:divBdr>
        <w:top w:val="none" w:sz="0" w:space="0" w:color="auto"/>
        <w:left w:val="none" w:sz="0" w:space="0" w:color="auto"/>
        <w:bottom w:val="none" w:sz="0" w:space="0" w:color="auto"/>
        <w:right w:val="none" w:sz="0" w:space="0" w:color="auto"/>
      </w:divBdr>
    </w:div>
    <w:div w:id="34434033">
      <w:bodyDiv w:val="1"/>
      <w:marLeft w:val="0"/>
      <w:marRight w:val="0"/>
      <w:marTop w:val="0"/>
      <w:marBottom w:val="0"/>
      <w:divBdr>
        <w:top w:val="none" w:sz="0" w:space="0" w:color="auto"/>
        <w:left w:val="none" w:sz="0" w:space="0" w:color="auto"/>
        <w:bottom w:val="none" w:sz="0" w:space="0" w:color="auto"/>
        <w:right w:val="none" w:sz="0" w:space="0" w:color="auto"/>
      </w:divBdr>
    </w:div>
    <w:div w:id="36394250">
      <w:bodyDiv w:val="1"/>
      <w:marLeft w:val="0"/>
      <w:marRight w:val="0"/>
      <w:marTop w:val="0"/>
      <w:marBottom w:val="0"/>
      <w:divBdr>
        <w:top w:val="none" w:sz="0" w:space="0" w:color="auto"/>
        <w:left w:val="none" w:sz="0" w:space="0" w:color="auto"/>
        <w:bottom w:val="none" w:sz="0" w:space="0" w:color="auto"/>
        <w:right w:val="none" w:sz="0" w:space="0" w:color="auto"/>
      </w:divBdr>
    </w:div>
    <w:div w:id="38097282">
      <w:bodyDiv w:val="1"/>
      <w:marLeft w:val="0"/>
      <w:marRight w:val="0"/>
      <w:marTop w:val="0"/>
      <w:marBottom w:val="0"/>
      <w:divBdr>
        <w:top w:val="none" w:sz="0" w:space="0" w:color="auto"/>
        <w:left w:val="none" w:sz="0" w:space="0" w:color="auto"/>
        <w:bottom w:val="none" w:sz="0" w:space="0" w:color="auto"/>
        <w:right w:val="none" w:sz="0" w:space="0" w:color="auto"/>
      </w:divBdr>
    </w:div>
    <w:div w:id="38408309">
      <w:bodyDiv w:val="1"/>
      <w:marLeft w:val="0"/>
      <w:marRight w:val="0"/>
      <w:marTop w:val="0"/>
      <w:marBottom w:val="0"/>
      <w:divBdr>
        <w:top w:val="none" w:sz="0" w:space="0" w:color="auto"/>
        <w:left w:val="none" w:sz="0" w:space="0" w:color="auto"/>
        <w:bottom w:val="none" w:sz="0" w:space="0" w:color="auto"/>
        <w:right w:val="none" w:sz="0" w:space="0" w:color="auto"/>
      </w:divBdr>
    </w:div>
    <w:div w:id="41756483">
      <w:bodyDiv w:val="1"/>
      <w:marLeft w:val="0"/>
      <w:marRight w:val="0"/>
      <w:marTop w:val="0"/>
      <w:marBottom w:val="0"/>
      <w:divBdr>
        <w:top w:val="none" w:sz="0" w:space="0" w:color="auto"/>
        <w:left w:val="none" w:sz="0" w:space="0" w:color="auto"/>
        <w:bottom w:val="none" w:sz="0" w:space="0" w:color="auto"/>
        <w:right w:val="none" w:sz="0" w:space="0" w:color="auto"/>
      </w:divBdr>
    </w:div>
    <w:div w:id="41905612">
      <w:bodyDiv w:val="1"/>
      <w:marLeft w:val="0"/>
      <w:marRight w:val="0"/>
      <w:marTop w:val="0"/>
      <w:marBottom w:val="0"/>
      <w:divBdr>
        <w:top w:val="none" w:sz="0" w:space="0" w:color="auto"/>
        <w:left w:val="none" w:sz="0" w:space="0" w:color="auto"/>
        <w:bottom w:val="none" w:sz="0" w:space="0" w:color="auto"/>
        <w:right w:val="none" w:sz="0" w:space="0" w:color="auto"/>
      </w:divBdr>
    </w:div>
    <w:div w:id="43069903">
      <w:bodyDiv w:val="1"/>
      <w:marLeft w:val="0"/>
      <w:marRight w:val="0"/>
      <w:marTop w:val="0"/>
      <w:marBottom w:val="0"/>
      <w:divBdr>
        <w:top w:val="none" w:sz="0" w:space="0" w:color="auto"/>
        <w:left w:val="none" w:sz="0" w:space="0" w:color="auto"/>
        <w:bottom w:val="none" w:sz="0" w:space="0" w:color="auto"/>
        <w:right w:val="none" w:sz="0" w:space="0" w:color="auto"/>
      </w:divBdr>
    </w:div>
    <w:div w:id="43216739">
      <w:bodyDiv w:val="1"/>
      <w:marLeft w:val="0"/>
      <w:marRight w:val="0"/>
      <w:marTop w:val="0"/>
      <w:marBottom w:val="0"/>
      <w:divBdr>
        <w:top w:val="none" w:sz="0" w:space="0" w:color="auto"/>
        <w:left w:val="none" w:sz="0" w:space="0" w:color="auto"/>
        <w:bottom w:val="none" w:sz="0" w:space="0" w:color="auto"/>
        <w:right w:val="none" w:sz="0" w:space="0" w:color="auto"/>
      </w:divBdr>
    </w:div>
    <w:div w:id="43456052">
      <w:bodyDiv w:val="1"/>
      <w:marLeft w:val="0"/>
      <w:marRight w:val="0"/>
      <w:marTop w:val="0"/>
      <w:marBottom w:val="0"/>
      <w:divBdr>
        <w:top w:val="none" w:sz="0" w:space="0" w:color="auto"/>
        <w:left w:val="none" w:sz="0" w:space="0" w:color="auto"/>
        <w:bottom w:val="none" w:sz="0" w:space="0" w:color="auto"/>
        <w:right w:val="none" w:sz="0" w:space="0" w:color="auto"/>
      </w:divBdr>
    </w:div>
    <w:div w:id="44263192">
      <w:bodyDiv w:val="1"/>
      <w:marLeft w:val="0"/>
      <w:marRight w:val="0"/>
      <w:marTop w:val="0"/>
      <w:marBottom w:val="0"/>
      <w:divBdr>
        <w:top w:val="none" w:sz="0" w:space="0" w:color="auto"/>
        <w:left w:val="none" w:sz="0" w:space="0" w:color="auto"/>
        <w:bottom w:val="none" w:sz="0" w:space="0" w:color="auto"/>
        <w:right w:val="none" w:sz="0" w:space="0" w:color="auto"/>
      </w:divBdr>
    </w:div>
    <w:div w:id="45493872">
      <w:bodyDiv w:val="1"/>
      <w:marLeft w:val="0"/>
      <w:marRight w:val="0"/>
      <w:marTop w:val="0"/>
      <w:marBottom w:val="0"/>
      <w:divBdr>
        <w:top w:val="none" w:sz="0" w:space="0" w:color="auto"/>
        <w:left w:val="none" w:sz="0" w:space="0" w:color="auto"/>
        <w:bottom w:val="none" w:sz="0" w:space="0" w:color="auto"/>
        <w:right w:val="none" w:sz="0" w:space="0" w:color="auto"/>
      </w:divBdr>
    </w:div>
    <w:div w:id="46339553">
      <w:bodyDiv w:val="1"/>
      <w:marLeft w:val="0"/>
      <w:marRight w:val="0"/>
      <w:marTop w:val="0"/>
      <w:marBottom w:val="0"/>
      <w:divBdr>
        <w:top w:val="none" w:sz="0" w:space="0" w:color="auto"/>
        <w:left w:val="none" w:sz="0" w:space="0" w:color="auto"/>
        <w:bottom w:val="none" w:sz="0" w:space="0" w:color="auto"/>
        <w:right w:val="none" w:sz="0" w:space="0" w:color="auto"/>
      </w:divBdr>
    </w:div>
    <w:div w:id="46491285">
      <w:bodyDiv w:val="1"/>
      <w:marLeft w:val="0"/>
      <w:marRight w:val="0"/>
      <w:marTop w:val="0"/>
      <w:marBottom w:val="0"/>
      <w:divBdr>
        <w:top w:val="none" w:sz="0" w:space="0" w:color="auto"/>
        <w:left w:val="none" w:sz="0" w:space="0" w:color="auto"/>
        <w:bottom w:val="none" w:sz="0" w:space="0" w:color="auto"/>
        <w:right w:val="none" w:sz="0" w:space="0" w:color="auto"/>
      </w:divBdr>
    </w:div>
    <w:div w:id="46537738">
      <w:bodyDiv w:val="1"/>
      <w:marLeft w:val="0"/>
      <w:marRight w:val="0"/>
      <w:marTop w:val="0"/>
      <w:marBottom w:val="0"/>
      <w:divBdr>
        <w:top w:val="none" w:sz="0" w:space="0" w:color="auto"/>
        <w:left w:val="none" w:sz="0" w:space="0" w:color="auto"/>
        <w:bottom w:val="none" w:sz="0" w:space="0" w:color="auto"/>
        <w:right w:val="none" w:sz="0" w:space="0" w:color="auto"/>
      </w:divBdr>
    </w:div>
    <w:div w:id="46953078">
      <w:bodyDiv w:val="1"/>
      <w:marLeft w:val="0"/>
      <w:marRight w:val="0"/>
      <w:marTop w:val="0"/>
      <w:marBottom w:val="0"/>
      <w:divBdr>
        <w:top w:val="none" w:sz="0" w:space="0" w:color="auto"/>
        <w:left w:val="none" w:sz="0" w:space="0" w:color="auto"/>
        <w:bottom w:val="none" w:sz="0" w:space="0" w:color="auto"/>
        <w:right w:val="none" w:sz="0" w:space="0" w:color="auto"/>
      </w:divBdr>
    </w:div>
    <w:div w:id="48460150">
      <w:bodyDiv w:val="1"/>
      <w:marLeft w:val="0"/>
      <w:marRight w:val="0"/>
      <w:marTop w:val="0"/>
      <w:marBottom w:val="0"/>
      <w:divBdr>
        <w:top w:val="none" w:sz="0" w:space="0" w:color="auto"/>
        <w:left w:val="none" w:sz="0" w:space="0" w:color="auto"/>
        <w:bottom w:val="none" w:sz="0" w:space="0" w:color="auto"/>
        <w:right w:val="none" w:sz="0" w:space="0" w:color="auto"/>
      </w:divBdr>
    </w:div>
    <w:div w:id="49378605">
      <w:bodyDiv w:val="1"/>
      <w:marLeft w:val="0"/>
      <w:marRight w:val="0"/>
      <w:marTop w:val="0"/>
      <w:marBottom w:val="0"/>
      <w:divBdr>
        <w:top w:val="none" w:sz="0" w:space="0" w:color="auto"/>
        <w:left w:val="none" w:sz="0" w:space="0" w:color="auto"/>
        <w:bottom w:val="none" w:sz="0" w:space="0" w:color="auto"/>
        <w:right w:val="none" w:sz="0" w:space="0" w:color="auto"/>
      </w:divBdr>
    </w:div>
    <w:div w:id="49618663">
      <w:bodyDiv w:val="1"/>
      <w:marLeft w:val="0"/>
      <w:marRight w:val="0"/>
      <w:marTop w:val="0"/>
      <w:marBottom w:val="0"/>
      <w:divBdr>
        <w:top w:val="none" w:sz="0" w:space="0" w:color="auto"/>
        <w:left w:val="none" w:sz="0" w:space="0" w:color="auto"/>
        <w:bottom w:val="none" w:sz="0" w:space="0" w:color="auto"/>
        <w:right w:val="none" w:sz="0" w:space="0" w:color="auto"/>
      </w:divBdr>
    </w:div>
    <w:div w:id="50545011">
      <w:bodyDiv w:val="1"/>
      <w:marLeft w:val="0"/>
      <w:marRight w:val="0"/>
      <w:marTop w:val="0"/>
      <w:marBottom w:val="0"/>
      <w:divBdr>
        <w:top w:val="none" w:sz="0" w:space="0" w:color="auto"/>
        <w:left w:val="none" w:sz="0" w:space="0" w:color="auto"/>
        <w:bottom w:val="none" w:sz="0" w:space="0" w:color="auto"/>
        <w:right w:val="none" w:sz="0" w:space="0" w:color="auto"/>
      </w:divBdr>
    </w:div>
    <w:div w:id="51076268">
      <w:bodyDiv w:val="1"/>
      <w:marLeft w:val="0"/>
      <w:marRight w:val="0"/>
      <w:marTop w:val="0"/>
      <w:marBottom w:val="0"/>
      <w:divBdr>
        <w:top w:val="none" w:sz="0" w:space="0" w:color="auto"/>
        <w:left w:val="none" w:sz="0" w:space="0" w:color="auto"/>
        <w:bottom w:val="none" w:sz="0" w:space="0" w:color="auto"/>
        <w:right w:val="none" w:sz="0" w:space="0" w:color="auto"/>
      </w:divBdr>
    </w:div>
    <w:div w:id="52198135">
      <w:bodyDiv w:val="1"/>
      <w:marLeft w:val="0"/>
      <w:marRight w:val="0"/>
      <w:marTop w:val="0"/>
      <w:marBottom w:val="0"/>
      <w:divBdr>
        <w:top w:val="none" w:sz="0" w:space="0" w:color="auto"/>
        <w:left w:val="none" w:sz="0" w:space="0" w:color="auto"/>
        <w:bottom w:val="none" w:sz="0" w:space="0" w:color="auto"/>
        <w:right w:val="none" w:sz="0" w:space="0" w:color="auto"/>
      </w:divBdr>
    </w:div>
    <w:div w:id="52316788">
      <w:bodyDiv w:val="1"/>
      <w:marLeft w:val="0"/>
      <w:marRight w:val="0"/>
      <w:marTop w:val="0"/>
      <w:marBottom w:val="0"/>
      <w:divBdr>
        <w:top w:val="none" w:sz="0" w:space="0" w:color="auto"/>
        <w:left w:val="none" w:sz="0" w:space="0" w:color="auto"/>
        <w:bottom w:val="none" w:sz="0" w:space="0" w:color="auto"/>
        <w:right w:val="none" w:sz="0" w:space="0" w:color="auto"/>
      </w:divBdr>
    </w:div>
    <w:div w:id="52972887">
      <w:bodyDiv w:val="1"/>
      <w:marLeft w:val="0"/>
      <w:marRight w:val="0"/>
      <w:marTop w:val="0"/>
      <w:marBottom w:val="0"/>
      <w:divBdr>
        <w:top w:val="none" w:sz="0" w:space="0" w:color="auto"/>
        <w:left w:val="none" w:sz="0" w:space="0" w:color="auto"/>
        <w:bottom w:val="none" w:sz="0" w:space="0" w:color="auto"/>
        <w:right w:val="none" w:sz="0" w:space="0" w:color="auto"/>
      </w:divBdr>
    </w:div>
    <w:div w:id="53698976">
      <w:bodyDiv w:val="1"/>
      <w:marLeft w:val="0"/>
      <w:marRight w:val="0"/>
      <w:marTop w:val="0"/>
      <w:marBottom w:val="0"/>
      <w:divBdr>
        <w:top w:val="none" w:sz="0" w:space="0" w:color="auto"/>
        <w:left w:val="none" w:sz="0" w:space="0" w:color="auto"/>
        <w:bottom w:val="none" w:sz="0" w:space="0" w:color="auto"/>
        <w:right w:val="none" w:sz="0" w:space="0" w:color="auto"/>
      </w:divBdr>
    </w:div>
    <w:div w:id="56362230">
      <w:bodyDiv w:val="1"/>
      <w:marLeft w:val="0"/>
      <w:marRight w:val="0"/>
      <w:marTop w:val="0"/>
      <w:marBottom w:val="0"/>
      <w:divBdr>
        <w:top w:val="none" w:sz="0" w:space="0" w:color="auto"/>
        <w:left w:val="none" w:sz="0" w:space="0" w:color="auto"/>
        <w:bottom w:val="none" w:sz="0" w:space="0" w:color="auto"/>
        <w:right w:val="none" w:sz="0" w:space="0" w:color="auto"/>
      </w:divBdr>
    </w:div>
    <w:div w:id="56713110">
      <w:bodyDiv w:val="1"/>
      <w:marLeft w:val="0"/>
      <w:marRight w:val="0"/>
      <w:marTop w:val="0"/>
      <w:marBottom w:val="0"/>
      <w:divBdr>
        <w:top w:val="none" w:sz="0" w:space="0" w:color="auto"/>
        <w:left w:val="none" w:sz="0" w:space="0" w:color="auto"/>
        <w:bottom w:val="none" w:sz="0" w:space="0" w:color="auto"/>
        <w:right w:val="none" w:sz="0" w:space="0" w:color="auto"/>
      </w:divBdr>
    </w:div>
    <w:div w:id="56754397">
      <w:bodyDiv w:val="1"/>
      <w:marLeft w:val="0"/>
      <w:marRight w:val="0"/>
      <w:marTop w:val="0"/>
      <w:marBottom w:val="0"/>
      <w:divBdr>
        <w:top w:val="none" w:sz="0" w:space="0" w:color="auto"/>
        <w:left w:val="none" w:sz="0" w:space="0" w:color="auto"/>
        <w:bottom w:val="none" w:sz="0" w:space="0" w:color="auto"/>
        <w:right w:val="none" w:sz="0" w:space="0" w:color="auto"/>
      </w:divBdr>
    </w:div>
    <w:div w:id="57245522">
      <w:bodyDiv w:val="1"/>
      <w:marLeft w:val="0"/>
      <w:marRight w:val="0"/>
      <w:marTop w:val="0"/>
      <w:marBottom w:val="0"/>
      <w:divBdr>
        <w:top w:val="none" w:sz="0" w:space="0" w:color="auto"/>
        <w:left w:val="none" w:sz="0" w:space="0" w:color="auto"/>
        <w:bottom w:val="none" w:sz="0" w:space="0" w:color="auto"/>
        <w:right w:val="none" w:sz="0" w:space="0" w:color="auto"/>
      </w:divBdr>
    </w:div>
    <w:div w:id="57368858">
      <w:bodyDiv w:val="1"/>
      <w:marLeft w:val="0"/>
      <w:marRight w:val="0"/>
      <w:marTop w:val="0"/>
      <w:marBottom w:val="0"/>
      <w:divBdr>
        <w:top w:val="none" w:sz="0" w:space="0" w:color="auto"/>
        <w:left w:val="none" w:sz="0" w:space="0" w:color="auto"/>
        <w:bottom w:val="none" w:sz="0" w:space="0" w:color="auto"/>
        <w:right w:val="none" w:sz="0" w:space="0" w:color="auto"/>
      </w:divBdr>
    </w:div>
    <w:div w:id="58024049">
      <w:bodyDiv w:val="1"/>
      <w:marLeft w:val="0"/>
      <w:marRight w:val="0"/>
      <w:marTop w:val="0"/>
      <w:marBottom w:val="0"/>
      <w:divBdr>
        <w:top w:val="none" w:sz="0" w:space="0" w:color="auto"/>
        <w:left w:val="none" w:sz="0" w:space="0" w:color="auto"/>
        <w:bottom w:val="none" w:sz="0" w:space="0" w:color="auto"/>
        <w:right w:val="none" w:sz="0" w:space="0" w:color="auto"/>
      </w:divBdr>
    </w:div>
    <w:div w:id="58866212">
      <w:bodyDiv w:val="1"/>
      <w:marLeft w:val="0"/>
      <w:marRight w:val="0"/>
      <w:marTop w:val="0"/>
      <w:marBottom w:val="0"/>
      <w:divBdr>
        <w:top w:val="none" w:sz="0" w:space="0" w:color="auto"/>
        <w:left w:val="none" w:sz="0" w:space="0" w:color="auto"/>
        <w:bottom w:val="none" w:sz="0" w:space="0" w:color="auto"/>
        <w:right w:val="none" w:sz="0" w:space="0" w:color="auto"/>
      </w:divBdr>
    </w:div>
    <w:div w:id="59720357">
      <w:bodyDiv w:val="1"/>
      <w:marLeft w:val="0"/>
      <w:marRight w:val="0"/>
      <w:marTop w:val="0"/>
      <w:marBottom w:val="0"/>
      <w:divBdr>
        <w:top w:val="none" w:sz="0" w:space="0" w:color="auto"/>
        <w:left w:val="none" w:sz="0" w:space="0" w:color="auto"/>
        <w:bottom w:val="none" w:sz="0" w:space="0" w:color="auto"/>
        <w:right w:val="none" w:sz="0" w:space="0" w:color="auto"/>
      </w:divBdr>
    </w:div>
    <w:div w:id="60520028">
      <w:bodyDiv w:val="1"/>
      <w:marLeft w:val="0"/>
      <w:marRight w:val="0"/>
      <w:marTop w:val="0"/>
      <w:marBottom w:val="0"/>
      <w:divBdr>
        <w:top w:val="none" w:sz="0" w:space="0" w:color="auto"/>
        <w:left w:val="none" w:sz="0" w:space="0" w:color="auto"/>
        <w:bottom w:val="none" w:sz="0" w:space="0" w:color="auto"/>
        <w:right w:val="none" w:sz="0" w:space="0" w:color="auto"/>
      </w:divBdr>
    </w:div>
    <w:div w:id="61954223">
      <w:bodyDiv w:val="1"/>
      <w:marLeft w:val="0"/>
      <w:marRight w:val="0"/>
      <w:marTop w:val="0"/>
      <w:marBottom w:val="0"/>
      <w:divBdr>
        <w:top w:val="none" w:sz="0" w:space="0" w:color="auto"/>
        <w:left w:val="none" w:sz="0" w:space="0" w:color="auto"/>
        <w:bottom w:val="none" w:sz="0" w:space="0" w:color="auto"/>
        <w:right w:val="none" w:sz="0" w:space="0" w:color="auto"/>
      </w:divBdr>
    </w:div>
    <w:div w:id="62945529">
      <w:bodyDiv w:val="1"/>
      <w:marLeft w:val="0"/>
      <w:marRight w:val="0"/>
      <w:marTop w:val="0"/>
      <w:marBottom w:val="0"/>
      <w:divBdr>
        <w:top w:val="none" w:sz="0" w:space="0" w:color="auto"/>
        <w:left w:val="none" w:sz="0" w:space="0" w:color="auto"/>
        <w:bottom w:val="none" w:sz="0" w:space="0" w:color="auto"/>
        <w:right w:val="none" w:sz="0" w:space="0" w:color="auto"/>
      </w:divBdr>
    </w:div>
    <w:div w:id="65155674">
      <w:bodyDiv w:val="1"/>
      <w:marLeft w:val="0"/>
      <w:marRight w:val="0"/>
      <w:marTop w:val="0"/>
      <w:marBottom w:val="0"/>
      <w:divBdr>
        <w:top w:val="none" w:sz="0" w:space="0" w:color="auto"/>
        <w:left w:val="none" w:sz="0" w:space="0" w:color="auto"/>
        <w:bottom w:val="none" w:sz="0" w:space="0" w:color="auto"/>
        <w:right w:val="none" w:sz="0" w:space="0" w:color="auto"/>
      </w:divBdr>
    </w:div>
    <w:div w:id="65961584">
      <w:bodyDiv w:val="1"/>
      <w:marLeft w:val="0"/>
      <w:marRight w:val="0"/>
      <w:marTop w:val="0"/>
      <w:marBottom w:val="0"/>
      <w:divBdr>
        <w:top w:val="none" w:sz="0" w:space="0" w:color="auto"/>
        <w:left w:val="none" w:sz="0" w:space="0" w:color="auto"/>
        <w:bottom w:val="none" w:sz="0" w:space="0" w:color="auto"/>
        <w:right w:val="none" w:sz="0" w:space="0" w:color="auto"/>
      </w:divBdr>
    </w:div>
    <w:div w:id="66154443">
      <w:bodyDiv w:val="1"/>
      <w:marLeft w:val="0"/>
      <w:marRight w:val="0"/>
      <w:marTop w:val="0"/>
      <w:marBottom w:val="0"/>
      <w:divBdr>
        <w:top w:val="none" w:sz="0" w:space="0" w:color="auto"/>
        <w:left w:val="none" w:sz="0" w:space="0" w:color="auto"/>
        <w:bottom w:val="none" w:sz="0" w:space="0" w:color="auto"/>
        <w:right w:val="none" w:sz="0" w:space="0" w:color="auto"/>
      </w:divBdr>
    </w:div>
    <w:div w:id="68505472">
      <w:bodyDiv w:val="1"/>
      <w:marLeft w:val="0"/>
      <w:marRight w:val="0"/>
      <w:marTop w:val="0"/>
      <w:marBottom w:val="0"/>
      <w:divBdr>
        <w:top w:val="none" w:sz="0" w:space="0" w:color="auto"/>
        <w:left w:val="none" w:sz="0" w:space="0" w:color="auto"/>
        <w:bottom w:val="none" w:sz="0" w:space="0" w:color="auto"/>
        <w:right w:val="none" w:sz="0" w:space="0" w:color="auto"/>
      </w:divBdr>
    </w:div>
    <w:div w:id="70590606">
      <w:bodyDiv w:val="1"/>
      <w:marLeft w:val="0"/>
      <w:marRight w:val="0"/>
      <w:marTop w:val="0"/>
      <w:marBottom w:val="0"/>
      <w:divBdr>
        <w:top w:val="none" w:sz="0" w:space="0" w:color="auto"/>
        <w:left w:val="none" w:sz="0" w:space="0" w:color="auto"/>
        <w:bottom w:val="none" w:sz="0" w:space="0" w:color="auto"/>
        <w:right w:val="none" w:sz="0" w:space="0" w:color="auto"/>
      </w:divBdr>
    </w:div>
    <w:div w:id="72745511">
      <w:bodyDiv w:val="1"/>
      <w:marLeft w:val="0"/>
      <w:marRight w:val="0"/>
      <w:marTop w:val="0"/>
      <w:marBottom w:val="0"/>
      <w:divBdr>
        <w:top w:val="none" w:sz="0" w:space="0" w:color="auto"/>
        <w:left w:val="none" w:sz="0" w:space="0" w:color="auto"/>
        <w:bottom w:val="none" w:sz="0" w:space="0" w:color="auto"/>
        <w:right w:val="none" w:sz="0" w:space="0" w:color="auto"/>
      </w:divBdr>
    </w:div>
    <w:div w:id="73090764">
      <w:bodyDiv w:val="1"/>
      <w:marLeft w:val="0"/>
      <w:marRight w:val="0"/>
      <w:marTop w:val="0"/>
      <w:marBottom w:val="0"/>
      <w:divBdr>
        <w:top w:val="none" w:sz="0" w:space="0" w:color="auto"/>
        <w:left w:val="none" w:sz="0" w:space="0" w:color="auto"/>
        <w:bottom w:val="none" w:sz="0" w:space="0" w:color="auto"/>
        <w:right w:val="none" w:sz="0" w:space="0" w:color="auto"/>
      </w:divBdr>
    </w:div>
    <w:div w:id="73209033">
      <w:bodyDiv w:val="1"/>
      <w:marLeft w:val="0"/>
      <w:marRight w:val="0"/>
      <w:marTop w:val="0"/>
      <w:marBottom w:val="0"/>
      <w:divBdr>
        <w:top w:val="none" w:sz="0" w:space="0" w:color="auto"/>
        <w:left w:val="none" w:sz="0" w:space="0" w:color="auto"/>
        <w:bottom w:val="none" w:sz="0" w:space="0" w:color="auto"/>
        <w:right w:val="none" w:sz="0" w:space="0" w:color="auto"/>
      </w:divBdr>
    </w:div>
    <w:div w:id="74477873">
      <w:bodyDiv w:val="1"/>
      <w:marLeft w:val="0"/>
      <w:marRight w:val="0"/>
      <w:marTop w:val="0"/>
      <w:marBottom w:val="0"/>
      <w:divBdr>
        <w:top w:val="none" w:sz="0" w:space="0" w:color="auto"/>
        <w:left w:val="none" w:sz="0" w:space="0" w:color="auto"/>
        <w:bottom w:val="none" w:sz="0" w:space="0" w:color="auto"/>
        <w:right w:val="none" w:sz="0" w:space="0" w:color="auto"/>
      </w:divBdr>
    </w:div>
    <w:div w:id="74982346">
      <w:bodyDiv w:val="1"/>
      <w:marLeft w:val="0"/>
      <w:marRight w:val="0"/>
      <w:marTop w:val="0"/>
      <w:marBottom w:val="0"/>
      <w:divBdr>
        <w:top w:val="none" w:sz="0" w:space="0" w:color="auto"/>
        <w:left w:val="none" w:sz="0" w:space="0" w:color="auto"/>
        <w:bottom w:val="none" w:sz="0" w:space="0" w:color="auto"/>
        <w:right w:val="none" w:sz="0" w:space="0" w:color="auto"/>
      </w:divBdr>
    </w:div>
    <w:div w:id="75563795">
      <w:bodyDiv w:val="1"/>
      <w:marLeft w:val="0"/>
      <w:marRight w:val="0"/>
      <w:marTop w:val="0"/>
      <w:marBottom w:val="0"/>
      <w:divBdr>
        <w:top w:val="none" w:sz="0" w:space="0" w:color="auto"/>
        <w:left w:val="none" w:sz="0" w:space="0" w:color="auto"/>
        <w:bottom w:val="none" w:sz="0" w:space="0" w:color="auto"/>
        <w:right w:val="none" w:sz="0" w:space="0" w:color="auto"/>
      </w:divBdr>
    </w:div>
    <w:div w:id="76826706">
      <w:bodyDiv w:val="1"/>
      <w:marLeft w:val="0"/>
      <w:marRight w:val="0"/>
      <w:marTop w:val="0"/>
      <w:marBottom w:val="0"/>
      <w:divBdr>
        <w:top w:val="none" w:sz="0" w:space="0" w:color="auto"/>
        <w:left w:val="none" w:sz="0" w:space="0" w:color="auto"/>
        <w:bottom w:val="none" w:sz="0" w:space="0" w:color="auto"/>
        <w:right w:val="none" w:sz="0" w:space="0" w:color="auto"/>
      </w:divBdr>
    </w:div>
    <w:div w:id="77869751">
      <w:bodyDiv w:val="1"/>
      <w:marLeft w:val="0"/>
      <w:marRight w:val="0"/>
      <w:marTop w:val="0"/>
      <w:marBottom w:val="0"/>
      <w:divBdr>
        <w:top w:val="none" w:sz="0" w:space="0" w:color="auto"/>
        <w:left w:val="none" w:sz="0" w:space="0" w:color="auto"/>
        <w:bottom w:val="none" w:sz="0" w:space="0" w:color="auto"/>
        <w:right w:val="none" w:sz="0" w:space="0" w:color="auto"/>
      </w:divBdr>
    </w:div>
    <w:div w:id="77873766">
      <w:bodyDiv w:val="1"/>
      <w:marLeft w:val="0"/>
      <w:marRight w:val="0"/>
      <w:marTop w:val="0"/>
      <w:marBottom w:val="0"/>
      <w:divBdr>
        <w:top w:val="none" w:sz="0" w:space="0" w:color="auto"/>
        <w:left w:val="none" w:sz="0" w:space="0" w:color="auto"/>
        <w:bottom w:val="none" w:sz="0" w:space="0" w:color="auto"/>
        <w:right w:val="none" w:sz="0" w:space="0" w:color="auto"/>
      </w:divBdr>
    </w:div>
    <w:div w:id="78068935">
      <w:bodyDiv w:val="1"/>
      <w:marLeft w:val="0"/>
      <w:marRight w:val="0"/>
      <w:marTop w:val="0"/>
      <w:marBottom w:val="0"/>
      <w:divBdr>
        <w:top w:val="none" w:sz="0" w:space="0" w:color="auto"/>
        <w:left w:val="none" w:sz="0" w:space="0" w:color="auto"/>
        <w:bottom w:val="none" w:sz="0" w:space="0" w:color="auto"/>
        <w:right w:val="none" w:sz="0" w:space="0" w:color="auto"/>
      </w:divBdr>
    </w:div>
    <w:div w:id="78647092">
      <w:bodyDiv w:val="1"/>
      <w:marLeft w:val="0"/>
      <w:marRight w:val="0"/>
      <w:marTop w:val="0"/>
      <w:marBottom w:val="0"/>
      <w:divBdr>
        <w:top w:val="none" w:sz="0" w:space="0" w:color="auto"/>
        <w:left w:val="none" w:sz="0" w:space="0" w:color="auto"/>
        <w:bottom w:val="none" w:sz="0" w:space="0" w:color="auto"/>
        <w:right w:val="none" w:sz="0" w:space="0" w:color="auto"/>
      </w:divBdr>
    </w:div>
    <w:div w:id="79374494">
      <w:bodyDiv w:val="1"/>
      <w:marLeft w:val="0"/>
      <w:marRight w:val="0"/>
      <w:marTop w:val="0"/>
      <w:marBottom w:val="0"/>
      <w:divBdr>
        <w:top w:val="none" w:sz="0" w:space="0" w:color="auto"/>
        <w:left w:val="none" w:sz="0" w:space="0" w:color="auto"/>
        <w:bottom w:val="none" w:sz="0" w:space="0" w:color="auto"/>
        <w:right w:val="none" w:sz="0" w:space="0" w:color="auto"/>
      </w:divBdr>
    </w:div>
    <w:div w:id="79907222">
      <w:bodyDiv w:val="1"/>
      <w:marLeft w:val="0"/>
      <w:marRight w:val="0"/>
      <w:marTop w:val="0"/>
      <w:marBottom w:val="0"/>
      <w:divBdr>
        <w:top w:val="none" w:sz="0" w:space="0" w:color="auto"/>
        <w:left w:val="none" w:sz="0" w:space="0" w:color="auto"/>
        <w:bottom w:val="none" w:sz="0" w:space="0" w:color="auto"/>
        <w:right w:val="none" w:sz="0" w:space="0" w:color="auto"/>
      </w:divBdr>
    </w:div>
    <w:div w:id="80294066">
      <w:bodyDiv w:val="1"/>
      <w:marLeft w:val="0"/>
      <w:marRight w:val="0"/>
      <w:marTop w:val="0"/>
      <w:marBottom w:val="0"/>
      <w:divBdr>
        <w:top w:val="none" w:sz="0" w:space="0" w:color="auto"/>
        <w:left w:val="none" w:sz="0" w:space="0" w:color="auto"/>
        <w:bottom w:val="none" w:sz="0" w:space="0" w:color="auto"/>
        <w:right w:val="none" w:sz="0" w:space="0" w:color="auto"/>
      </w:divBdr>
    </w:div>
    <w:div w:id="81493702">
      <w:bodyDiv w:val="1"/>
      <w:marLeft w:val="0"/>
      <w:marRight w:val="0"/>
      <w:marTop w:val="0"/>
      <w:marBottom w:val="0"/>
      <w:divBdr>
        <w:top w:val="none" w:sz="0" w:space="0" w:color="auto"/>
        <w:left w:val="none" w:sz="0" w:space="0" w:color="auto"/>
        <w:bottom w:val="none" w:sz="0" w:space="0" w:color="auto"/>
        <w:right w:val="none" w:sz="0" w:space="0" w:color="auto"/>
      </w:divBdr>
    </w:div>
    <w:div w:id="81681658">
      <w:bodyDiv w:val="1"/>
      <w:marLeft w:val="0"/>
      <w:marRight w:val="0"/>
      <w:marTop w:val="0"/>
      <w:marBottom w:val="0"/>
      <w:divBdr>
        <w:top w:val="none" w:sz="0" w:space="0" w:color="auto"/>
        <w:left w:val="none" w:sz="0" w:space="0" w:color="auto"/>
        <w:bottom w:val="none" w:sz="0" w:space="0" w:color="auto"/>
        <w:right w:val="none" w:sz="0" w:space="0" w:color="auto"/>
      </w:divBdr>
    </w:div>
    <w:div w:id="81876738">
      <w:bodyDiv w:val="1"/>
      <w:marLeft w:val="0"/>
      <w:marRight w:val="0"/>
      <w:marTop w:val="0"/>
      <w:marBottom w:val="0"/>
      <w:divBdr>
        <w:top w:val="none" w:sz="0" w:space="0" w:color="auto"/>
        <w:left w:val="none" w:sz="0" w:space="0" w:color="auto"/>
        <w:bottom w:val="none" w:sz="0" w:space="0" w:color="auto"/>
        <w:right w:val="none" w:sz="0" w:space="0" w:color="auto"/>
      </w:divBdr>
    </w:div>
    <w:div w:id="82073735">
      <w:bodyDiv w:val="1"/>
      <w:marLeft w:val="0"/>
      <w:marRight w:val="0"/>
      <w:marTop w:val="0"/>
      <w:marBottom w:val="0"/>
      <w:divBdr>
        <w:top w:val="none" w:sz="0" w:space="0" w:color="auto"/>
        <w:left w:val="none" w:sz="0" w:space="0" w:color="auto"/>
        <w:bottom w:val="none" w:sz="0" w:space="0" w:color="auto"/>
        <w:right w:val="none" w:sz="0" w:space="0" w:color="auto"/>
      </w:divBdr>
    </w:div>
    <w:div w:id="82797445">
      <w:bodyDiv w:val="1"/>
      <w:marLeft w:val="0"/>
      <w:marRight w:val="0"/>
      <w:marTop w:val="0"/>
      <w:marBottom w:val="0"/>
      <w:divBdr>
        <w:top w:val="none" w:sz="0" w:space="0" w:color="auto"/>
        <w:left w:val="none" w:sz="0" w:space="0" w:color="auto"/>
        <w:bottom w:val="none" w:sz="0" w:space="0" w:color="auto"/>
        <w:right w:val="none" w:sz="0" w:space="0" w:color="auto"/>
      </w:divBdr>
    </w:div>
    <w:div w:id="83766495">
      <w:bodyDiv w:val="1"/>
      <w:marLeft w:val="0"/>
      <w:marRight w:val="0"/>
      <w:marTop w:val="0"/>
      <w:marBottom w:val="0"/>
      <w:divBdr>
        <w:top w:val="none" w:sz="0" w:space="0" w:color="auto"/>
        <w:left w:val="none" w:sz="0" w:space="0" w:color="auto"/>
        <w:bottom w:val="none" w:sz="0" w:space="0" w:color="auto"/>
        <w:right w:val="none" w:sz="0" w:space="0" w:color="auto"/>
      </w:divBdr>
    </w:div>
    <w:div w:id="84349699">
      <w:bodyDiv w:val="1"/>
      <w:marLeft w:val="0"/>
      <w:marRight w:val="0"/>
      <w:marTop w:val="0"/>
      <w:marBottom w:val="0"/>
      <w:divBdr>
        <w:top w:val="none" w:sz="0" w:space="0" w:color="auto"/>
        <w:left w:val="none" w:sz="0" w:space="0" w:color="auto"/>
        <w:bottom w:val="none" w:sz="0" w:space="0" w:color="auto"/>
        <w:right w:val="none" w:sz="0" w:space="0" w:color="auto"/>
      </w:divBdr>
    </w:div>
    <w:div w:id="84812466">
      <w:bodyDiv w:val="1"/>
      <w:marLeft w:val="0"/>
      <w:marRight w:val="0"/>
      <w:marTop w:val="0"/>
      <w:marBottom w:val="0"/>
      <w:divBdr>
        <w:top w:val="none" w:sz="0" w:space="0" w:color="auto"/>
        <w:left w:val="none" w:sz="0" w:space="0" w:color="auto"/>
        <w:bottom w:val="none" w:sz="0" w:space="0" w:color="auto"/>
        <w:right w:val="none" w:sz="0" w:space="0" w:color="auto"/>
      </w:divBdr>
    </w:div>
    <w:div w:id="86389045">
      <w:bodyDiv w:val="1"/>
      <w:marLeft w:val="0"/>
      <w:marRight w:val="0"/>
      <w:marTop w:val="0"/>
      <w:marBottom w:val="0"/>
      <w:divBdr>
        <w:top w:val="none" w:sz="0" w:space="0" w:color="auto"/>
        <w:left w:val="none" w:sz="0" w:space="0" w:color="auto"/>
        <w:bottom w:val="none" w:sz="0" w:space="0" w:color="auto"/>
        <w:right w:val="none" w:sz="0" w:space="0" w:color="auto"/>
      </w:divBdr>
    </w:div>
    <w:div w:id="88081825">
      <w:bodyDiv w:val="1"/>
      <w:marLeft w:val="0"/>
      <w:marRight w:val="0"/>
      <w:marTop w:val="0"/>
      <w:marBottom w:val="0"/>
      <w:divBdr>
        <w:top w:val="none" w:sz="0" w:space="0" w:color="auto"/>
        <w:left w:val="none" w:sz="0" w:space="0" w:color="auto"/>
        <w:bottom w:val="none" w:sz="0" w:space="0" w:color="auto"/>
        <w:right w:val="none" w:sz="0" w:space="0" w:color="auto"/>
      </w:divBdr>
    </w:div>
    <w:div w:id="88233401">
      <w:bodyDiv w:val="1"/>
      <w:marLeft w:val="0"/>
      <w:marRight w:val="0"/>
      <w:marTop w:val="0"/>
      <w:marBottom w:val="0"/>
      <w:divBdr>
        <w:top w:val="none" w:sz="0" w:space="0" w:color="auto"/>
        <w:left w:val="none" w:sz="0" w:space="0" w:color="auto"/>
        <w:bottom w:val="none" w:sz="0" w:space="0" w:color="auto"/>
        <w:right w:val="none" w:sz="0" w:space="0" w:color="auto"/>
      </w:divBdr>
    </w:div>
    <w:div w:id="90976384">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1977364">
      <w:bodyDiv w:val="1"/>
      <w:marLeft w:val="0"/>
      <w:marRight w:val="0"/>
      <w:marTop w:val="0"/>
      <w:marBottom w:val="0"/>
      <w:divBdr>
        <w:top w:val="none" w:sz="0" w:space="0" w:color="auto"/>
        <w:left w:val="none" w:sz="0" w:space="0" w:color="auto"/>
        <w:bottom w:val="none" w:sz="0" w:space="0" w:color="auto"/>
        <w:right w:val="none" w:sz="0" w:space="0" w:color="auto"/>
      </w:divBdr>
    </w:div>
    <w:div w:id="93942517">
      <w:bodyDiv w:val="1"/>
      <w:marLeft w:val="0"/>
      <w:marRight w:val="0"/>
      <w:marTop w:val="0"/>
      <w:marBottom w:val="0"/>
      <w:divBdr>
        <w:top w:val="none" w:sz="0" w:space="0" w:color="auto"/>
        <w:left w:val="none" w:sz="0" w:space="0" w:color="auto"/>
        <w:bottom w:val="none" w:sz="0" w:space="0" w:color="auto"/>
        <w:right w:val="none" w:sz="0" w:space="0" w:color="auto"/>
      </w:divBdr>
    </w:div>
    <w:div w:id="93985274">
      <w:bodyDiv w:val="1"/>
      <w:marLeft w:val="0"/>
      <w:marRight w:val="0"/>
      <w:marTop w:val="0"/>
      <w:marBottom w:val="0"/>
      <w:divBdr>
        <w:top w:val="none" w:sz="0" w:space="0" w:color="auto"/>
        <w:left w:val="none" w:sz="0" w:space="0" w:color="auto"/>
        <w:bottom w:val="none" w:sz="0" w:space="0" w:color="auto"/>
        <w:right w:val="none" w:sz="0" w:space="0" w:color="auto"/>
      </w:divBdr>
    </w:div>
    <w:div w:id="94983395">
      <w:bodyDiv w:val="1"/>
      <w:marLeft w:val="0"/>
      <w:marRight w:val="0"/>
      <w:marTop w:val="0"/>
      <w:marBottom w:val="0"/>
      <w:divBdr>
        <w:top w:val="none" w:sz="0" w:space="0" w:color="auto"/>
        <w:left w:val="none" w:sz="0" w:space="0" w:color="auto"/>
        <w:bottom w:val="none" w:sz="0" w:space="0" w:color="auto"/>
        <w:right w:val="none" w:sz="0" w:space="0" w:color="auto"/>
      </w:divBdr>
    </w:div>
    <w:div w:id="95059960">
      <w:bodyDiv w:val="1"/>
      <w:marLeft w:val="0"/>
      <w:marRight w:val="0"/>
      <w:marTop w:val="0"/>
      <w:marBottom w:val="0"/>
      <w:divBdr>
        <w:top w:val="none" w:sz="0" w:space="0" w:color="auto"/>
        <w:left w:val="none" w:sz="0" w:space="0" w:color="auto"/>
        <w:bottom w:val="none" w:sz="0" w:space="0" w:color="auto"/>
        <w:right w:val="none" w:sz="0" w:space="0" w:color="auto"/>
      </w:divBdr>
    </w:div>
    <w:div w:id="95173546">
      <w:bodyDiv w:val="1"/>
      <w:marLeft w:val="0"/>
      <w:marRight w:val="0"/>
      <w:marTop w:val="0"/>
      <w:marBottom w:val="0"/>
      <w:divBdr>
        <w:top w:val="none" w:sz="0" w:space="0" w:color="auto"/>
        <w:left w:val="none" w:sz="0" w:space="0" w:color="auto"/>
        <w:bottom w:val="none" w:sz="0" w:space="0" w:color="auto"/>
        <w:right w:val="none" w:sz="0" w:space="0" w:color="auto"/>
      </w:divBdr>
    </w:div>
    <w:div w:id="96759595">
      <w:bodyDiv w:val="1"/>
      <w:marLeft w:val="0"/>
      <w:marRight w:val="0"/>
      <w:marTop w:val="0"/>
      <w:marBottom w:val="0"/>
      <w:divBdr>
        <w:top w:val="none" w:sz="0" w:space="0" w:color="auto"/>
        <w:left w:val="none" w:sz="0" w:space="0" w:color="auto"/>
        <w:bottom w:val="none" w:sz="0" w:space="0" w:color="auto"/>
        <w:right w:val="none" w:sz="0" w:space="0" w:color="auto"/>
      </w:divBdr>
    </w:div>
    <w:div w:id="97600016">
      <w:bodyDiv w:val="1"/>
      <w:marLeft w:val="0"/>
      <w:marRight w:val="0"/>
      <w:marTop w:val="0"/>
      <w:marBottom w:val="0"/>
      <w:divBdr>
        <w:top w:val="none" w:sz="0" w:space="0" w:color="auto"/>
        <w:left w:val="none" w:sz="0" w:space="0" w:color="auto"/>
        <w:bottom w:val="none" w:sz="0" w:space="0" w:color="auto"/>
        <w:right w:val="none" w:sz="0" w:space="0" w:color="auto"/>
      </w:divBdr>
    </w:div>
    <w:div w:id="97869449">
      <w:bodyDiv w:val="1"/>
      <w:marLeft w:val="0"/>
      <w:marRight w:val="0"/>
      <w:marTop w:val="0"/>
      <w:marBottom w:val="0"/>
      <w:divBdr>
        <w:top w:val="none" w:sz="0" w:space="0" w:color="auto"/>
        <w:left w:val="none" w:sz="0" w:space="0" w:color="auto"/>
        <w:bottom w:val="none" w:sz="0" w:space="0" w:color="auto"/>
        <w:right w:val="none" w:sz="0" w:space="0" w:color="auto"/>
      </w:divBdr>
    </w:div>
    <w:div w:id="99379041">
      <w:bodyDiv w:val="1"/>
      <w:marLeft w:val="0"/>
      <w:marRight w:val="0"/>
      <w:marTop w:val="0"/>
      <w:marBottom w:val="0"/>
      <w:divBdr>
        <w:top w:val="none" w:sz="0" w:space="0" w:color="auto"/>
        <w:left w:val="none" w:sz="0" w:space="0" w:color="auto"/>
        <w:bottom w:val="none" w:sz="0" w:space="0" w:color="auto"/>
        <w:right w:val="none" w:sz="0" w:space="0" w:color="auto"/>
      </w:divBdr>
    </w:div>
    <w:div w:id="101799884">
      <w:bodyDiv w:val="1"/>
      <w:marLeft w:val="0"/>
      <w:marRight w:val="0"/>
      <w:marTop w:val="0"/>
      <w:marBottom w:val="0"/>
      <w:divBdr>
        <w:top w:val="none" w:sz="0" w:space="0" w:color="auto"/>
        <w:left w:val="none" w:sz="0" w:space="0" w:color="auto"/>
        <w:bottom w:val="none" w:sz="0" w:space="0" w:color="auto"/>
        <w:right w:val="none" w:sz="0" w:space="0" w:color="auto"/>
      </w:divBdr>
    </w:div>
    <w:div w:id="101993022">
      <w:bodyDiv w:val="1"/>
      <w:marLeft w:val="0"/>
      <w:marRight w:val="0"/>
      <w:marTop w:val="0"/>
      <w:marBottom w:val="0"/>
      <w:divBdr>
        <w:top w:val="none" w:sz="0" w:space="0" w:color="auto"/>
        <w:left w:val="none" w:sz="0" w:space="0" w:color="auto"/>
        <w:bottom w:val="none" w:sz="0" w:space="0" w:color="auto"/>
        <w:right w:val="none" w:sz="0" w:space="0" w:color="auto"/>
      </w:divBdr>
    </w:div>
    <w:div w:id="102119822">
      <w:bodyDiv w:val="1"/>
      <w:marLeft w:val="0"/>
      <w:marRight w:val="0"/>
      <w:marTop w:val="0"/>
      <w:marBottom w:val="0"/>
      <w:divBdr>
        <w:top w:val="none" w:sz="0" w:space="0" w:color="auto"/>
        <w:left w:val="none" w:sz="0" w:space="0" w:color="auto"/>
        <w:bottom w:val="none" w:sz="0" w:space="0" w:color="auto"/>
        <w:right w:val="none" w:sz="0" w:space="0" w:color="auto"/>
      </w:divBdr>
    </w:div>
    <w:div w:id="102964451">
      <w:bodyDiv w:val="1"/>
      <w:marLeft w:val="0"/>
      <w:marRight w:val="0"/>
      <w:marTop w:val="0"/>
      <w:marBottom w:val="0"/>
      <w:divBdr>
        <w:top w:val="none" w:sz="0" w:space="0" w:color="auto"/>
        <w:left w:val="none" w:sz="0" w:space="0" w:color="auto"/>
        <w:bottom w:val="none" w:sz="0" w:space="0" w:color="auto"/>
        <w:right w:val="none" w:sz="0" w:space="0" w:color="auto"/>
      </w:divBdr>
    </w:div>
    <w:div w:id="103767125">
      <w:bodyDiv w:val="1"/>
      <w:marLeft w:val="0"/>
      <w:marRight w:val="0"/>
      <w:marTop w:val="0"/>
      <w:marBottom w:val="0"/>
      <w:divBdr>
        <w:top w:val="none" w:sz="0" w:space="0" w:color="auto"/>
        <w:left w:val="none" w:sz="0" w:space="0" w:color="auto"/>
        <w:bottom w:val="none" w:sz="0" w:space="0" w:color="auto"/>
        <w:right w:val="none" w:sz="0" w:space="0" w:color="auto"/>
      </w:divBdr>
    </w:div>
    <w:div w:id="105272160">
      <w:bodyDiv w:val="1"/>
      <w:marLeft w:val="0"/>
      <w:marRight w:val="0"/>
      <w:marTop w:val="0"/>
      <w:marBottom w:val="0"/>
      <w:divBdr>
        <w:top w:val="none" w:sz="0" w:space="0" w:color="auto"/>
        <w:left w:val="none" w:sz="0" w:space="0" w:color="auto"/>
        <w:bottom w:val="none" w:sz="0" w:space="0" w:color="auto"/>
        <w:right w:val="none" w:sz="0" w:space="0" w:color="auto"/>
      </w:divBdr>
    </w:div>
    <w:div w:id="106313051">
      <w:bodyDiv w:val="1"/>
      <w:marLeft w:val="0"/>
      <w:marRight w:val="0"/>
      <w:marTop w:val="0"/>
      <w:marBottom w:val="0"/>
      <w:divBdr>
        <w:top w:val="none" w:sz="0" w:space="0" w:color="auto"/>
        <w:left w:val="none" w:sz="0" w:space="0" w:color="auto"/>
        <w:bottom w:val="none" w:sz="0" w:space="0" w:color="auto"/>
        <w:right w:val="none" w:sz="0" w:space="0" w:color="auto"/>
      </w:divBdr>
    </w:div>
    <w:div w:id="107310920">
      <w:bodyDiv w:val="1"/>
      <w:marLeft w:val="0"/>
      <w:marRight w:val="0"/>
      <w:marTop w:val="0"/>
      <w:marBottom w:val="0"/>
      <w:divBdr>
        <w:top w:val="none" w:sz="0" w:space="0" w:color="auto"/>
        <w:left w:val="none" w:sz="0" w:space="0" w:color="auto"/>
        <w:bottom w:val="none" w:sz="0" w:space="0" w:color="auto"/>
        <w:right w:val="none" w:sz="0" w:space="0" w:color="auto"/>
      </w:divBdr>
    </w:div>
    <w:div w:id="113448560">
      <w:bodyDiv w:val="1"/>
      <w:marLeft w:val="0"/>
      <w:marRight w:val="0"/>
      <w:marTop w:val="0"/>
      <w:marBottom w:val="0"/>
      <w:divBdr>
        <w:top w:val="none" w:sz="0" w:space="0" w:color="auto"/>
        <w:left w:val="none" w:sz="0" w:space="0" w:color="auto"/>
        <w:bottom w:val="none" w:sz="0" w:space="0" w:color="auto"/>
        <w:right w:val="none" w:sz="0" w:space="0" w:color="auto"/>
      </w:divBdr>
    </w:div>
    <w:div w:id="113599662">
      <w:bodyDiv w:val="1"/>
      <w:marLeft w:val="0"/>
      <w:marRight w:val="0"/>
      <w:marTop w:val="0"/>
      <w:marBottom w:val="0"/>
      <w:divBdr>
        <w:top w:val="none" w:sz="0" w:space="0" w:color="auto"/>
        <w:left w:val="none" w:sz="0" w:space="0" w:color="auto"/>
        <w:bottom w:val="none" w:sz="0" w:space="0" w:color="auto"/>
        <w:right w:val="none" w:sz="0" w:space="0" w:color="auto"/>
      </w:divBdr>
    </w:div>
    <w:div w:id="113985280">
      <w:bodyDiv w:val="1"/>
      <w:marLeft w:val="0"/>
      <w:marRight w:val="0"/>
      <w:marTop w:val="0"/>
      <w:marBottom w:val="0"/>
      <w:divBdr>
        <w:top w:val="none" w:sz="0" w:space="0" w:color="auto"/>
        <w:left w:val="none" w:sz="0" w:space="0" w:color="auto"/>
        <w:bottom w:val="none" w:sz="0" w:space="0" w:color="auto"/>
        <w:right w:val="none" w:sz="0" w:space="0" w:color="auto"/>
      </w:divBdr>
    </w:div>
    <w:div w:id="114452388">
      <w:bodyDiv w:val="1"/>
      <w:marLeft w:val="0"/>
      <w:marRight w:val="0"/>
      <w:marTop w:val="0"/>
      <w:marBottom w:val="0"/>
      <w:divBdr>
        <w:top w:val="none" w:sz="0" w:space="0" w:color="auto"/>
        <w:left w:val="none" w:sz="0" w:space="0" w:color="auto"/>
        <w:bottom w:val="none" w:sz="0" w:space="0" w:color="auto"/>
        <w:right w:val="none" w:sz="0" w:space="0" w:color="auto"/>
      </w:divBdr>
    </w:div>
    <w:div w:id="115609173">
      <w:bodyDiv w:val="1"/>
      <w:marLeft w:val="0"/>
      <w:marRight w:val="0"/>
      <w:marTop w:val="0"/>
      <w:marBottom w:val="0"/>
      <w:divBdr>
        <w:top w:val="none" w:sz="0" w:space="0" w:color="auto"/>
        <w:left w:val="none" w:sz="0" w:space="0" w:color="auto"/>
        <w:bottom w:val="none" w:sz="0" w:space="0" w:color="auto"/>
        <w:right w:val="none" w:sz="0" w:space="0" w:color="auto"/>
      </w:divBdr>
    </w:div>
    <w:div w:id="116074162">
      <w:bodyDiv w:val="1"/>
      <w:marLeft w:val="0"/>
      <w:marRight w:val="0"/>
      <w:marTop w:val="0"/>
      <w:marBottom w:val="0"/>
      <w:divBdr>
        <w:top w:val="none" w:sz="0" w:space="0" w:color="auto"/>
        <w:left w:val="none" w:sz="0" w:space="0" w:color="auto"/>
        <w:bottom w:val="none" w:sz="0" w:space="0" w:color="auto"/>
        <w:right w:val="none" w:sz="0" w:space="0" w:color="auto"/>
      </w:divBdr>
    </w:div>
    <w:div w:id="118838927">
      <w:bodyDiv w:val="1"/>
      <w:marLeft w:val="0"/>
      <w:marRight w:val="0"/>
      <w:marTop w:val="0"/>
      <w:marBottom w:val="0"/>
      <w:divBdr>
        <w:top w:val="none" w:sz="0" w:space="0" w:color="auto"/>
        <w:left w:val="none" w:sz="0" w:space="0" w:color="auto"/>
        <w:bottom w:val="none" w:sz="0" w:space="0" w:color="auto"/>
        <w:right w:val="none" w:sz="0" w:space="0" w:color="auto"/>
      </w:divBdr>
    </w:div>
    <w:div w:id="120193732">
      <w:bodyDiv w:val="1"/>
      <w:marLeft w:val="0"/>
      <w:marRight w:val="0"/>
      <w:marTop w:val="0"/>
      <w:marBottom w:val="0"/>
      <w:divBdr>
        <w:top w:val="none" w:sz="0" w:space="0" w:color="auto"/>
        <w:left w:val="none" w:sz="0" w:space="0" w:color="auto"/>
        <w:bottom w:val="none" w:sz="0" w:space="0" w:color="auto"/>
        <w:right w:val="none" w:sz="0" w:space="0" w:color="auto"/>
      </w:divBdr>
    </w:div>
    <w:div w:id="120341681">
      <w:bodyDiv w:val="1"/>
      <w:marLeft w:val="0"/>
      <w:marRight w:val="0"/>
      <w:marTop w:val="0"/>
      <w:marBottom w:val="0"/>
      <w:divBdr>
        <w:top w:val="none" w:sz="0" w:space="0" w:color="auto"/>
        <w:left w:val="none" w:sz="0" w:space="0" w:color="auto"/>
        <w:bottom w:val="none" w:sz="0" w:space="0" w:color="auto"/>
        <w:right w:val="none" w:sz="0" w:space="0" w:color="auto"/>
      </w:divBdr>
    </w:div>
    <w:div w:id="120805096">
      <w:bodyDiv w:val="1"/>
      <w:marLeft w:val="0"/>
      <w:marRight w:val="0"/>
      <w:marTop w:val="0"/>
      <w:marBottom w:val="0"/>
      <w:divBdr>
        <w:top w:val="none" w:sz="0" w:space="0" w:color="auto"/>
        <w:left w:val="none" w:sz="0" w:space="0" w:color="auto"/>
        <w:bottom w:val="none" w:sz="0" w:space="0" w:color="auto"/>
        <w:right w:val="none" w:sz="0" w:space="0" w:color="auto"/>
      </w:divBdr>
    </w:div>
    <w:div w:id="120996533">
      <w:bodyDiv w:val="1"/>
      <w:marLeft w:val="0"/>
      <w:marRight w:val="0"/>
      <w:marTop w:val="0"/>
      <w:marBottom w:val="0"/>
      <w:divBdr>
        <w:top w:val="none" w:sz="0" w:space="0" w:color="auto"/>
        <w:left w:val="none" w:sz="0" w:space="0" w:color="auto"/>
        <w:bottom w:val="none" w:sz="0" w:space="0" w:color="auto"/>
        <w:right w:val="none" w:sz="0" w:space="0" w:color="auto"/>
      </w:divBdr>
    </w:div>
    <w:div w:id="123162308">
      <w:bodyDiv w:val="1"/>
      <w:marLeft w:val="0"/>
      <w:marRight w:val="0"/>
      <w:marTop w:val="0"/>
      <w:marBottom w:val="0"/>
      <w:divBdr>
        <w:top w:val="none" w:sz="0" w:space="0" w:color="auto"/>
        <w:left w:val="none" w:sz="0" w:space="0" w:color="auto"/>
        <w:bottom w:val="none" w:sz="0" w:space="0" w:color="auto"/>
        <w:right w:val="none" w:sz="0" w:space="0" w:color="auto"/>
      </w:divBdr>
    </w:div>
    <w:div w:id="123891601">
      <w:bodyDiv w:val="1"/>
      <w:marLeft w:val="0"/>
      <w:marRight w:val="0"/>
      <w:marTop w:val="0"/>
      <w:marBottom w:val="0"/>
      <w:divBdr>
        <w:top w:val="none" w:sz="0" w:space="0" w:color="auto"/>
        <w:left w:val="none" w:sz="0" w:space="0" w:color="auto"/>
        <w:bottom w:val="none" w:sz="0" w:space="0" w:color="auto"/>
        <w:right w:val="none" w:sz="0" w:space="0" w:color="auto"/>
      </w:divBdr>
    </w:div>
    <w:div w:id="125855197">
      <w:bodyDiv w:val="1"/>
      <w:marLeft w:val="0"/>
      <w:marRight w:val="0"/>
      <w:marTop w:val="0"/>
      <w:marBottom w:val="0"/>
      <w:divBdr>
        <w:top w:val="none" w:sz="0" w:space="0" w:color="auto"/>
        <w:left w:val="none" w:sz="0" w:space="0" w:color="auto"/>
        <w:bottom w:val="none" w:sz="0" w:space="0" w:color="auto"/>
        <w:right w:val="none" w:sz="0" w:space="0" w:color="auto"/>
      </w:divBdr>
    </w:div>
    <w:div w:id="128016913">
      <w:bodyDiv w:val="1"/>
      <w:marLeft w:val="0"/>
      <w:marRight w:val="0"/>
      <w:marTop w:val="0"/>
      <w:marBottom w:val="0"/>
      <w:divBdr>
        <w:top w:val="none" w:sz="0" w:space="0" w:color="auto"/>
        <w:left w:val="none" w:sz="0" w:space="0" w:color="auto"/>
        <w:bottom w:val="none" w:sz="0" w:space="0" w:color="auto"/>
        <w:right w:val="none" w:sz="0" w:space="0" w:color="auto"/>
      </w:divBdr>
    </w:div>
    <w:div w:id="128938148">
      <w:bodyDiv w:val="1"/>
      <w:marLeft w:val="0"/>
      <w:marRight w:val="0"/>
      <w:marTop w:val="0"/>
      <w:marBottom w:val="0"/>
      <w:divBdr>
        <w:top w:val="none" w:sz="0" w:space="0" w:color="auto"/>
        <w:left w:val="none" w:sz="0" w:space="0" w:color="auto"/>
        <w:bottom w:val="none" w:sz="0" w:space="0" w:color="auto"/>
        <w:right w:val="none" w:sz="0" w:space="0" w:color="auto"/>
      </w:divBdr>
    </w:div>
    <w:div w:id="129057273">
      <w:bodyDiv w:val="1"/>
      <w:marLeft w:val="0"/>
      <w:marRight w:val="0"/>
      <w:marTop w:val="0"/>
      <w:marBottom w:val="0"/>
      <w:divBdr>
        <w:top w:val="none" w:sz="0" w:space="0" w:color="auto"/>
        <w:left w:val="none" w:sz="0" w:space="0" w:color="auto"/>
        <w:bottom w:val="none" w:sz="0" w:space="0" w:color="auto"/>
        <w:right w:val="none" w:sz="0" w:space="0" w:color="auto"/>
      </w:divBdr>
    </w:div>
    <w:div w:id="129908657">
      <w:bodyDiv w:val="1"/>
      <w:marLeft w:val="0"/>
      <w:marRight w:val="0"/>
      <w:marTop w:val="0"/>
      <w:marBottom w:val="0"/>
      <w:divBdr>
        <w:top w:val="none" w:sz="0" w:space="0" w:color="auto"/>
        <w:left w:val="none" w:sz="0" w:space="0" w:color="auto"/>
        <w:bottom w:val="none" w:sz="0" w:space="0" w:color="auto"/>
        <w:right w:val="none" w:sz="0" w:space="0" w:color="auto"/>
      </w:divBdr>
    </w:div>
    <w:div w:id="130557938">
      <w:bodyDiv w:val="1"/>
      <w:marLeft w:val="0"/>
      <w:marRight w:val="0"/>
      <w:marTop w:val="0"/>
      <w:marBottom w:val="0"/>
      <w:divBdr>
        <w:top w:val="none" w:sz="0" w:space="0" w:color="auto"/>
        <w:left w:val="none" w:sz="0" w:space="0" w:color="auto"/>
        <w:bottom w:val="none" w:sz="0" w:space="0" w:color="auto"/>
        <w:right w:val="none" w:sz="0" w:space="0" w:color="auto"/>
      </w:divBdr>
    </w:div>
    <w:div w:id="130903029">
      <w:bodyDiv w:val="1"/>
      <w:marLeft w:val="0"/>
      <w:marRight w:val="0"/>
      <w:marTop w:val="0"/>
      <w:marBottom w:val="0"/>
      <w:divBdr>
        <w:top w:val="none" w:sz="0" w:space="0" w:color="auto"/>
        <w:left w:val="none" w:sz="0" w:space="0" w:color="auto"/>
        <w:bottom w:val="none" w:sz="0" w:space="0" w:color="auto"/>
        <w:right w:val="none" w:sz="0" w:space="0" w:color="auto"/>
      </w:divBdr>
    </w:div>
    <w:div w:id="131096493">
      <w:bodyDiv w:val="1"/>
      <w:marLeft w:val="0"/>
      <w:marRight w:val="0"/>
      <w:marTop w:val="0"/>
      <w:marBottom w:val="0"/>
      <w:divBdr>
        <w:top w:val="none" w:sz="0" w:space="0" w:color="auto"/>
        <w:left w:val="none" w:sz="0" w:space="0" w:color="auto"/>
        <w:bottom w:val="none" w:sz="0" w:space="0" w:color="auto"/>
        <w:right w:val="none" w:sz="0" w:space="0" w:color="auto"/>
      </w:divBdr>
    </w:div>
    <w:div w:id="131168885">
      <w:bodyDiv w:val="1"/>
      <w:marLeft w:val="0"/>
      <w:marRight w:val="0"/>
      <w:marTop w:val="0"/>
      <w:marBottom w:val="0"/>
      <w:divBdr>
        <w:top w:val="none" w:sz="0" w:space="0" w:color="auto"/>
        <w:left w:val="none" w:sz="0" w:space="0" w:color="auto"/>
        <w:bottom w:val="none" w:sz="0" w:space="0" w:color="auto"/>
        <w:right w:val="none" w:sz="0" w:space="0" w:color="auto"/>
      </w:divBdr>
    </w:div>
    <w:div w:id="131602732">
      <w:bodyDiv w:val="1"/>
      <w:marLeft w:val="0"/>
      <w:marRight w:val="0"/>
      <w:marTop w:val="0"/>
      <w:marBottom w:val="0"/>
      <w:divBdr>
        <w:top w:val="none" w:sz="0" w:space="0" w:color="auto"/>
        <w:left w:val="none" w:sz="0" w:space="0" w:color="auto"/>
        <w:bottom w:val="none" w:sz="0" w:space="0" w:color="auto"/>
        <w:right w:val="none" w:sz="0" w:space="0" w:color="auto"/>
      </w:divBdr>
    </w:div>
    <w:div w:id="132140087">
      <w:bodyDiv w:val="1"/>
      <w:marLeft w:val="0"/>
      <w:marRight w:val="0"/>
      <w:marTop w:val="0"/>
      <w:marBottom w:val="0"/>
      <w:divBdr>
        <w:top w:val="none" w:sz="0" w:space="0" w:color="auto"/>
        <w:left w:val="none" w:sz="0" w:space="0" w:color="auto"/>
        <w:bottom w:val="none" w:sz="0" w:space="0" w:color="auto"/>
        <w:right w:val="none" w:sz="0" w:space="0" w:color="auto"/>
      </w:divBdr>
    </w:div>
    <w:div w:id="132800459">
      <w:bodyDiv w:val="1"/>
      <w:marLeft w:val="0"/>
      <w:marRight w:val="0"/>
      <w:marTop w:val="0"/>
      <w:marBottom w:val="0"/>
      <w:divBdr>
        <w:top w:val="none" w:sz="0" w:space="0" w:color="auto"/>
        <w:left w:val="none" w:sz="0" w:space="0" w:color="auto"/>
        <w:bottom w:val="none" w:sz="0" w:space="0" w:color="auto"/>
        <w:right w:val="none" w:sz="0" w:space="0" w:color="auto"/>
      </w:divBdr>
    </w:div>
    <w:div w:id="134222843">
      <w:bodyDiv w:val="1"/>
      <w:marLeft w:val="0"/>
      <w:marRight w:val="0"/>
      <w:marTop w:val="0"/>
      <w:marBottom w:val="0"/>
      <w:divBdr>
        <w:top w:val="none" w:sz="0" w:space="0" w:color="auto"/>
        <w:left w:val="none" w:sz="0" w:space="0" w:color="auto"/>
        <w:bottom w:val="none" w:sz="0" w:space="0" w:color="auto"/>
        <w:right w:val="none" w:sz="0" w:space="0" w:color="auto"/>
      </w:divBdr>
    </w:div>
    <w:div w:id="134297050">
      <w:bodyDiv w:val="1"/>
      <w:marLeft w:val="0"/>
      <w:marRight w:val="0"/>
      <w:marTop w:val="0"/>
      <w:marBottom w:val="0"/>
      <w:divBdr>
        <w:top w:val="none" w:sz="0" w:space="0" w:color="auto"/>
        <w:left w:val="none" w:sz="0" w:space="0" w:color="auto"/>
        <w:bottom w:val="none" w:sz="0" w:space="0" w:color="auto"/>
        <w:right w:val="none" w:sz="0" w:space="0" w:color="auto"/>
      </w:divBdr>
    </w:div>
    <w:div w:id="135992837">
      <w:bodyDiv w:val="1"/>
      <w:marLeft w:val="0"/>
      <w:marRight w:val="0"/>
      <w:marTop w:val="0"/>
      <w:marBottom w:val="0"/>
      <w:divBdr>
        <w:top w:val="none" w:sz="0" w:space="0" w:color="auto"/>
        <w:left w:val="none" w:sz="0" w:space="0" w:color="auto"/>
        <w:bottom w:val="none" w:sz="0" w:space="0" w:color="auto"/>
        <w:right w:val="none" w:sz="0" w:space="0" w:color="auto"/>
      </w:divBdr>
    </w:div>
    <w:div w:id="136530540">
      <w:bodyDiv w:val="1"/>
      <w:marLeft w:val="0"/>
      <w:marRight w:val="0"/>
      <w:marTop w:val="0"/>
      <w:marBottom w:val="0"/>
      <w:divBdr>
        <w:top w:val="none" w:sz="0" w:space="0" w:color="auto"/>
        <w:left w:val="none" w:sz="0" w:space="0" w:color="auto"/>
        <w:bottom w:val="none" w:sz="0" w:space="0" w:color="auto"/>
        <w:right w:val="none" w:sz="0" w:space="0" w:color="auto"/>
      </w:divBdr>
    </w:div>
    <w:div w:id="139617491">
      <w:bodyDiv w:val="1"/>
      <w:marLeft w:val="0"/>
      <w:marRight w:val="0"/>
      <w:marTop w:val="0"/>
      <w:marBottom w:val="0"/>
      <w:divBdr>
        <w:top w:val="none" w:sz="0" w:space="0" w:color="auto"/>
        <w:left w:val="none" w:sz="0" w:space="0" w:color="auto"/>
        <w:bottom w:val="none" w:sz="0" w:space="0" w:color="auto"/>
        <w:right w:val="none" w:sz="0" w:space="0" w:color="auto"/>
      </w:divBdr>
    </w:div>
    <w:div w:id="140658638">
      <w:bodyDiv w:val="1"/>
      <w:marLeft w:val="0"/>
      <w:marRight w:val="0"/>
      <w:marTop w:val="0"/>
      <w:marBottom w:val="0"/>
      <w:divBdr>
        <w:top w:val="none" w:sz="0" w:space="0" w:color="auto"/>
        <w:left w:val="none" w:sz="0" w:space="0" w:color="auto"/>
        <w:bottom w:val="none" w:sz="0" w:space="0" w:color="auto"/>
        <w:right w:val="none" w:sz="0" w:space="0" w:color="auto"/>
      </w:divBdr>
    </w:div>
    <w:div w:id="141121061">
      <w:bodyDiv w:val="1"/>
      <w:marLeft w:val="0"/>
      <w:marRight w:val="0"/>
      <w:marTop w:val="0"/>
      <w:marBottom w:val="0"/>
      <w:divBdr>
        <w:top w:val="none" w:sz="0" w:space="0" w:color="auto"/>
        <w:left w:val="none" w:sz="0" w:space="0" w:color="auto"/>
        <w:bottom w:val="none" w:sz="0" w:space="0" w:color="auto"/>
        <w:right w:val="none" w:sz="0" w:space="0" w:color="auto"/>
      </w:divBdr>
    </w:div>
    <w:div w:id="142085597">
      <w:bodyDiv w:val="1"/>
      <w:marLeft w:val="0"/>
      <w:marRight w:val="0"/>
      <w:marTop w:val="0"/>
      <w:marBottom w:val="0"/>
      <w:divBdr>
        <w:top w:val="none" w:sz="0" w:space="0" w:color="auto"/>
        <w:left w:val="none" w:sz="0" w:space="0" w:color="auto"/>
        <w:bottom w:val="none" w:sz="0" w:space="0" w:color="auto"/>
        <w:right w:val="none" w:sz="0" w:space="0" w:color="auto"/>
      </w:divBdr>
    </w:div>
    <w:div w:id="143738477">
      <w:bodyDiv w:val="1"/>
      <w:marLeft w:val="0"/>
      <w:marRight w:val="0"/>
      <w:marTop w:val="0"/>
      <w:marBottom w:val="0"/>
      <w:divBdr>
        <w:top w:val="none" w:sz="0" w:space="0" w:color="auto"/>
        <w:left w:val="none" w:sz="0" w:space="0" w:color="auto"/>
        <w:bottom w:val="none" w:sz="0" w:space="0" w:color="auto"/>
        <w:right w:val="none" w:sz="0" w:space="0" w:color="auto"/>
      </w:divBdr>
    </w:div>
    <w:div w:id="144781490">
      <w:bodyDiv w:val="1"/>
      <w:marLeft w:val="0"/>
      <w:marRight w:val="0"/>
      <w:marTop w:val="0"/>
      <w:marBottom w:val="0"/>
      <w:divBdr>
        <w:top w:val="none" w:sz="0" w:space="0" w:color="auto"/>
        <w:left w:val="none" w:sz="0" w:space="0" w:color="auto"/>
        <w:bottom w:val="none" w:sz="0" w:space="0" w:color="auto"/>
        <w:right w:val="none" w:sz="0" w:space="0" w:color="auto"/>
      </w:divBdr>
    </w:div>
    <w:div w:id="144781960">
      <w:bodyDiv w:val="1"/>
      <w:marLeft w:val="0"/>
      <w:marRight w:val="0"/>
      <w:marTop w:val="0"/>
      <w:marBottom w:val="0"/>
      <w:divBdr>
        <w:top w:val="none" w:sz="0" w:space="0" w:color="auto"/>
        <w:left w:val="none" w:sz="0" w:space="0" w:color="auto"/>
        <w:bottom w:val="none" w:sz="0" w:space="0" w:color="auto"/>
        <w:right w:val="none" w:sz="0" w:space="0" w:color="auto"/>
      </w:divBdr>
    </w:div>
    <w:div w:id="145320963">
      <w:bodyDiv w:val="1"/>
      <w:marLeft w:val="0"/>
      <w:marRight w:val="0"/>
      <w:marTop w:val="0"/>
      <w:marBottom w:val="0"/>
      <w:divBdr>
        <w:top w:val="none" w:sz="0" w:space="0" w:color="auto"/>
        <w:left w:val="none" w:sz="0" w:space="0" w:color="auto"/>
        <w:bottom w:val="none" w:sz="0" w:space="0" w:color="auto"/>
        <w:right w:val="none" w:sz="0" w:space="0" w:color="auto"/>
      </w:divBdr>
    </w:div>
    <w:div w:id="146870374">
      <w:bodyDiv w:val="1"/>
      <w:marLeft w:val="0"/>
      <w:marRight w:val="0"/>
      <w:marTop w:val="0"/>
      <w:marBottom w:val="0"/>
      <w:divBdr>
        <w:top w:val="none" w:sz="0" w:space="0" w:color="auto"/>
        <w:left w:val="none" w:sz="0" w:space="0" w:color="auto"/>
        <w:bottom w:val="none" w:sz="0" w:space="0" w:color="auto"/>
        <w:right w:val="none" w:sz="0" w:space="0" w:color="auto"/>
      </w:divBdr>
    </w:div>
    <w:div w:id="147601091">
      <w:bodyDiv w:val="1"/>
      <w:marLeft w:val="0"/>
      <w:marRight w:val="0"/>
      <w:marTop w:val="0"/>
      <w:marBottom w:val="0"/>
      <w:divBdr>
        <w:top w:val="none" w:sz="0" w:space="0" w:color="auto"/>
        <w:left w:val="none" w:sz="0" w:space="0" w:color="auto"/>
        <w:bottom w:val="none" w:sz="0" w:space="0" w:color="auto"/>
        <w:right w:val="none" w:sz="0" w:space="0" w:color="auto"/>
      </w:divBdr>
    </w:div>
    <w:div w:id="148057363">
      <w:bodyDiv w:val="1"/>
      <w:marLeft w:val="0"/>
      <w:marRight w:val="0"/>
      <w:marTop w:val="0"/>
      <w:marBottom w:val="0"/>
      <w:divBdr>
        <w:top w:val="none" w:sz="0" w:space="0" w:color="auto"/>
        <w:left w:val="none" w:sz="0" w:space="0" w:color="auto"/>
        <w:bottom w:val="none" w:sz="0" w:space="0" w:color="auto"/>
        <w:right w:val="none" w:sz="0" w:space="0" w:color="auto"/>
      </w:divBdr>
    </w:div>
    <w:div w:id="148375689">
      <w:bodyDiv w:val="1"/>
      <w:marLeft w:val="0"/>
      <w:marRight w:val="0"/>
      <w:marTop w:val="0"/>
      <w:marBottom w:val="0"/>
      <w:divBdr>
        <w:top w:val="none" w:sz="0" w:space="0" w:color="auto"/>
        <w:left w:val="none" w:sz="0" w:space="0" w:color="auto"/>
        <w:bottom w:val="none" w:sz="0" w:space="0" w:color="auto"/>
        <w:right w:val="none" w:sz="0" w:space="0" w:color="auto"/>
      </w:divBdr>
    </w:div>
    <w:div w:id="150289966">
      <w:bodyDiv w:val="1"/>
      <w:marLeft w:val="0"/>
      <w:marRight w:val="0"/>
      <w:marTop w:val="0"/>
      <w:marBottom w:val="0"/>
      <w:divBdr>
        <w:top w:val="none" w:sz="0" w:space="0" w:color="auto"/>
        <w:left w:val="none" w:sz="0" w:space="0" w:color="auto"/>
        <w:bottom w:val="none" w:sz="0" w:space="0" w:color="auto"/>
        <w:right w:val="none" w:sz="0" w:space="0" w:color="auto"/>
      </w:divBdr>
    </w:div>
    <w:div w:id="156263844">
      <w:bodyDiv w:val="1"/>
      <w:marLeft w:val="0"/>
      <w:marRight w:val="0"/>
      <w:marTop w:val="0"/>
      <w:marBottom w:val="0"/>
      <w:divBdr>
        <w:top w:val="none" w:sz="0" w:space="0" w:color="auto"/>
        <w:left w:val="none" w:sz="0" w:space="0" w:color="auto"/>
        <w:bottom w:val="none" w:sz="0" w:space="0" w:color="auto"/>
        <w:right w:val="none" w:sz="0" w:space="0" w:color="auto"/>
      </w:divBdr>
    </w:div>
    <w:div w:id="157186806">
      <w:bodyDiv w:val="1"/>
      <w:marLeft w:val="0"/>
      <w:marRight w:val="0"/>
      <w:marTop w:val="0"/>
      <w:marBottom w:val="0"/>
      <w:divBdr>
        <w:top w:val="none" w:sz="0" w:space="0" w:color="auto"/>
        <w:left w:val="none" w:sz="0" w:space="0" w:color="auto"/>
        <w:bottom w:val="none" w:sz="0" w:space="0" w:color="auto"/>
        <w:right w:val="none" w:sz="0" w:space="0" w:color="auto"/>
      </w:divBdr>
    </w:div>
    <w:div w:id="157382036">
      <w:bodyDiv w:val="1"/>
      <w:marLeft w:val="0"/>
      <w:marRight w:val="0"/>
      <w:marTop w:val="0"/>
      <w:marBottom w:val="0"/>
      <w:divBdr>
        <w:top w:val="none" w:sz="0" w:space="0" w:color="auto"/>
        <w:left w:val="none" w:sz="0" w:space="0" w:color="auto"/>
        <w:bottom w:val="none" w:sz="0" w:space="0" w:color="auto"/>
        <w:right w:val="none" w:sz="0" w:space="0" w:color="auto"/>
      </w:divBdr>
    </w:div>
    <w:div w:id="158156398">
      <w:bodyDiv w:val="1"/>
      <w:marLeft w:val="0"/>
      <w:marRight w:val="0"/>
      <w:marTop w:val="0"/>
      <w:marBottom w:val="0"/>
      <w:divBdr>
        <w:top w:val="none" w:sz="0" w:space="0" w:color="auto"/>
        <w:left w:val="none" w:sz="0" w:space="0" w:color="auto"/>
        <w:bottom w:val="none" w:sz="0" w:space="0" w:color="auto"/>
        <w:right w:val="none" w:sz="0" w:space="0" w:color="auto"/>
      </w:divBdr>
    </w:div>
    <w:div w:id="159153859">
      <w:bodyDiv w:val="1"/>
      <w:marLeft w:val="0"/>
      <w:marRight w:val="0"/>
      <w:marTop w:val="0"/>
      <w:marBottom w:val="0"/>
      <w:divBdr>
        <w:top w:val="none" w:sz="0" w:space="0" w:color="auto"/>
        <w:left w:val="none" w:sz="0" w:space="0" w:color="auto"/>
        <w:bottom w:val="none" w:sz="0" w:space="0" w:color="auto"/>
        <w:right w:val="none" w:sz="0" w:space="0" w:color="auto"/>
      </w:divBdr>
    </w:div>
    <w:div w:id="159395910">
      <w:bodyDiv w:val="1"/>
      <w:marLeft w:val="0"/>
      <w:marRight w:val="0"/>
      <w:marTop w:val="0"/>
      <w:marBottom w:val="0"/>
      <w:divBdr>
        <w:top w:val="none" w:sz="0" w:space="0" w:color="auto"/>
        <w:left w:val="none" w:sz="0" w:space="0" w:color="auto"/>
        <w:bottom w:val="none" w:sz="0" w:space="0" w:color="auto"/>
        <w:right w:val="none" w:sz="0" w:space="0" w:color="auto"/>
      </w:divBdr>
    </w:div>
    <w:div w:id="160584049">
      <w:bodyDiv w:val="1"/>
      <w:marLeft w:val="0"/>
      <w:marRight w:val="0"/>
      <w:marTop w:val="0"/>
      <w:marBottom w:val="0"/>
      <w:divBdr>
        <w:top w:val="none" w:sz="0" w:space="0" w:color="auto"/>
        <w:left w:val="none" w:sz="0" w:space="0" w:color="auto"/>
        <w:bottom w:val="none" w:sz="0" w:space="0" w:color="auto"/>
        <w:right w:val="none" w:sz="0" w:space="0" w:color="auto"/>
      </w:divBdr>
    </w:div>
    <w:div w:id="161094964">
      <w:bodyDiv w:val="1"/>
      <w:marLeft w:val="0"/>
      <w:marRight w:val="0"/>
      <w:marTop w:val="0"/>
      <w:marBottom w:val="0"/>
      <w:divBdr>
        <w:top w:val="none" w:sz="0" w:space="0" w:color="auto"/>
        <w:left w:val="none" w:sz="0" w:space="0" w:color="auto"/>
        <w:bottom w:val="none" w:sz="0" w:space="0" w:color="auto"/>
        <w:right w:val="none" w:sz="0" w:space="0" w:color="auto"/>
      </w:divBdr>
    </w:div>
    <w:div w:id="161549946">
      <w:bodyDiv w:val="1"/>
      <w:marLeft w:val="0"/>
      <w:marRight w:val="0"/>
      <w:marTop w:val="0"/>
      <w:marBottom w:val="0"/>
      <w:divBdr>
        <w:top w:val="none" w:sz="0" w:space="0" w:color="auto"/>
        <w:left w:val="none" w:sz="0" w:space="0" w:color="auto"/>
        <w:bottom w:val="none" w:sz="0" w:space="0" w:color="auto"/>
        <w:right w:val="none" w:sz="0" w:space="0" w:color="auto"/>
      </w:divBdr>
    </w:div>
    <w:div w:id="162205583">
      <w:bodyDiv w:val="1"/>
      <w:marLeft w:val="0"/>
      <w:marRight w:val="0"/>
      <w:marTop w:val="0"/>
      <w:marBottom w:val="0"/>
      <w:divBdr>
        <w:top w:val="none" w:sz="0" w:space="0" w:color="auto"/>
        <w:left w:val="none" w:sz="0" w:space="0" w:color="auto"/>
        <w:bottom w:val="none" w:sz="0" w:space="0" w:color="auto"/>
        <w:right w:val="none" w:sz="0" w:space="0" w:color="auto"/>
      </w:divBdr>
    </w:div>
    <w:div w:id="163204086">
      <w:bodyDiv w:val="1"/>
      <w:marLeft w:val="0"/>
      <w:marRight w:val="0"/>
      <w:marTop w:val="0"/>
      <w:marBottom w:val="0"/>
      <w:divBdr>
        <w:top w:val="none" w:sz="0" w:space="0" w:color="auto"/>
        <w:left w:val="none" w:sz="0" w:space="0" w:color="auto"/>
        <w:bottom w:val="none" w:sz="0" w:space="0" w:color="auto"/>
        <w:right w:val="none" w:sz="0" w:space="0" w:color="auto"/>
      </w:divBdr>
    </w:div>
    <w:div w:id="165051927">
      <w:bodyDiv w:val="1"/>
      <w:marLeft w:val="0"/>
      <w:marRight w:val="0"/>
      <w:marTop w:val="0"/>
      <w:marBottom w:val="0"/>
      <w:divBdr>
        <w:top w:val="none" w:sz="0" w:space="0" w:color="auto"/>
        <w:left w:val="none" w:sz="0" w:space="0" w:color="auto"/>
        <w:bottom w:val="none" w:sz="0" w:space="0" w:color="auto"/>
        <w:right w:val="none" w:sz="0" w:space="0" w:color="auto"/>
      </w:divBdr>
    </w:div>
    <w:div w:id="165874488">
      <w:bodyDiv w:val="1"/>
      <w:marLeft w:val="0"/>
      <w:marRight w:val="0"/>
      <w:marTop w:val="0"/>
      <w:marBottom w:val="0"/>
      <w:divBdr>
        <w:top w:val="none" w:sz="0" w:space="0" w:color="auto"/>
        <w:left w:val="none" w:sz="0" w:space="0" w:color="auto"/>
        <w:bottom w:val="none" w:sz="0" w:space="0" w:color="auto"/>
        <w:right w:val="none" w:sz="0" w:space="0" w:color="auto"/>
      </w:divBdr>
    </w:div>
    <w:div w:id="166528089">
      <w:bodyDiv w:val="1"/>
      <w:marLeft w:val="0"/>
      <w:marRight w:val="0"/>
      <w:marTop w:val="0"/>
      <w:marBottom w:val="0"/>
      <w:divBdr>
        <w:top w:val="none" w:sz="0" w:space="0" w:color="auto"/>
        <w:left w:val="none" w:sz="0" w:space="0" w:color="auto"/>
        <w:bottom w:val="none" w:sz="0" w:space="0" w:color="auto"/>
        <w:right w:val="none" w:sz="0" w:space="0" w:color="auto"/>
      </w:divBdr>
    </w:div>
    <w:div w:id="166948165">
      <w:bodyDiv w:val="1"/>
      <w:marLeft w:val="0"/>
      <w:marRight w:val="0"/>
      <w:marTop w:val="0"/>
      <w:marBottom w:val="0"/>
      <w:divBdr>
        <w:top w:val="none" w:sz="0" w:space="0" w:color="auto"/>
        <w:left w:val="none" w:sz="0" w:space="0" w:color="auto"/>
        <w:bottom w:val="none" w:sz="0" w:space="0" w:color="auto"/>
        <w:right w:val="none" w:sz="0" w:space="0" w:color="auto"/>
      </w:divBdr>
    </w:div>
    <w:div w:id="168103860">
      <w:bodyDiv w:val="1"/>
      <w:marLeft w:val="0"/>
      <w:marRight w:val="0"/>
      <w:marTop w:val="0"/>
      <w:marBottom w:val="0"/>
      <w:divBdr>
        <w:top w:val="none" w:sz="0" w:space="0" w:color="auto"/>
        <w:left w:val="none" w:sz="0" w:space="0" w:color="auto"/>
        <w:bottom w:val="none" w:sz="0" w:space="0" w:color="auto"/>
        <w:right w:val="none" w:sz="0" w:space="0" w:color="auto"/>
      </w:divBdr>
    </w:div>
    <w:div w:id="169487800">
      <w:bodyDiv w:val="1"/>
      <w:marLeft w:val="0"/>
      <w:marRight w:val="0"/>
      <w:marTop w:val="0"/>
      <w:marBottom w:val="0"/>
      <w:divBdr>
        <w:top w:val="none" w:sz="0" w:space="0" w:color="auto"/>
        <w:left w:val="none" w:sz="0" w:space="0" w:color="auto"/>
        <w:bottom w:val="none" w:sz="0" w:space="0" w:color="auto"/>
        <w:right w:val="none" w:sz="0" w:space="0" w:color="auto"/>
      </w:divBdr>
    </w:div>
    <w:div w:id="169566808">
      <w:bodyDiv w:val="1"/>
      <w:marLeft w:val="0"/>
      <w:marRight w:val="0"/>
      <w:marTop w:val="0"/>
      <w:marBottom w:val="0"/>
      <w:divBdr>
        <w:top w:val="none" w:sz="0" w:space="0" w:color="auto"/>
        <w:left w:val="none" w:sz="0" w:space="0" w:color="auto"/>
        <w:bottom w:val="none" w:sz="0" w:space="0" w:color="auto"/>
        <w:right w:val="none" w:sz="0" w:space="0" w:color="auto"/>
      </w:divBdr>
    </w:div>
    <w:div w:id="169832636">
      <w:bodyDiv w:val="1"/>
      <w:marLeft w:val="0"/>
      <w:marRight w:val="0"/>
      <w:marTop w:val="0"/>
      <w:marBottom w:val="0"/>
      <w:divBdr>
        <w:top w:val="none" w:sz="0" w:space="0" w:color="auto"/>
        <w:left w:val="none" w:sz="0" w:space="0" w:color="auto"/>
        <w:bottom w:val="none" w:sz="0" w:space="0" w:color="auto"/>
        <w:right w:val="none" w:sz="0" w:space="0" w:color="auto"/>
      </w:divBdr>
    </w:div>
    <w:div w:id="170074017">
      <w:bodyDiv w:val="1"/>
      <w:marLeft w:val="0"/>
      <w:marRight w:val="0"/>
      <w:marTop w:val="0"/>
      <w:marBottom w:val="0"/>
      <w:divBdr>
        <w:top w:val="none" w:sz="0" w:space="0" w:color="auto"/>
        <w:left w:val="none" w:sz="0" w:space="0" w:color="auto"/>
        <w:bottom w:val="none" w:sz="0" w:space="0" w:color="auto"/>
        <w:right w:val="none" w:sz="0" w:space="0" w:color="auto"/>
      </w:divBdr>
    </w:div>
    <w:div w:id="170608832">
      <w:bodyDiv w:val="1"/>
      <w:marLeft w:val="0"/>
      <w:marRight w:val="0"/>
      <w:marTop w:val="0"/>
      <w:marBottom w:val="0"/>
      <w:divBdr>
        <w:top w:val="none" w:sz="0" w:space="0" w:color="auto"/>
        <w:left w:val="none" w:sz="0" w:space="0" w:color="auto"/>
        <w:bottom w:val="none" w:sz="0" w:space="0" w:color="auto"/>
        <w:right w:val="none" w:sz="0" w:space="0" w:color="auto"/>
      </w:divBdr>
    </w:div>
    <w:div w:id="170727752">
      <w:bodyDiv w:val="1"/>
      <w:marLeft w:val="0"/>
      <w:marRight w:val="0"/>
      <w:marTop w:val="0"/>
      <w:marBottom w:val="0"/>
      <w:divBdr>
        <w:top w:val="none" w:sz="0" w:space="0" w:color="auto"/>
        <w:left w:val="none" w:sz="0" w:space="0" w:color="auto"/>
        <w:bottom w:val="none" w:sz="0" w:space="0" w:color="auto"/>
        <w:right w:val="none" w:sz="0" w:space="0" w:color="auto"/>
      </w:divBdr>
    </w:div>
    <w:div w:id="174999442">
      <w:bodyDiv w:val="1"/>
      <w:marLeft w:val="0"/>
      <w:marRight w:val="0"/>
      <w:marTop w:val="0"/>
      <w:marBottom w:val="0"/>
      <w:divBdr>
        <w:top w:val="none" w:sz="0" w:space="0" w:color="auto"/>
        <w:left w:val="none" w:sz="0" w:space="0" w:color="auto"/>
        <w:bottom w:val="none" w:sz="0" w:space="0" w:color="auto"/>
        <w:right w:val="none" w:sz="0" w:space="0" w:color="auto"/>
      </w:divBdr>
    </w:div>
    <w:div w:id="176241446">
      <w:bodyDiv w:val="1"/>
      <w:marLeft w:val="0"/>
      <w:marRight w:val="0"/>
      <w:marTop w:val="0"/>
      <w:marBottom w:val="0"/>
      <w:divBdr>
        <w:top w:val="none" w:sz="0" w:space="0" w:color="auto"/>
        <w:left w:val="none" w:sz="0" w:space="0" w:color="auto"/>
        <w:bottom w:val="none" w:sz="0" w:space="0" w:color="auto"/>
        <w:right w:val="none" w:sz="0" w:space="0" w:color="auto"/>
      </w:divBdr>
    </w:div>
    <w:div w:id="179205177">
      <w:bodyDiv w:val="1"/>
      <w:marLeft w:val="0"/>
      <w:marRight w:val="0"/>
      <w:marTop w:val="0"/>
      <w:marBottom w:val="0"/>
      <w:divBdr>
        <w:top w:val="none" w:sz="0" w:space="0" w:color="auto"/>
        <w:left w:val="none" w:sz="0" w:space="0" w:color="auto"/>
        <w:bottom w:val="none" w:sz="0" w:space="0" w:color="auto"/>
        <w:right w:val="none" w:sz="0" w:space="0" w:color="auto"/>
      </w:divBdr>
    </w:div>
    <w:div w:id="181171099">
      <w:bodyDiv w:val="1"/>
      <w:marLeft w:val="0"/>
      <w:marRight w:val="0"/>
      <w:marTop w:val="0"/>
      <w:marBottom w:val="0"/>
      <w:divBdr>
        <w:top w:val="none" w:sz="0" w:space="0" w:color="auto"/>
        <w:left w:val="none" w:sz="0" w:space="0" w:color="auto"/>
        <w:bottom w:val="none" w:sz="0" w:space="0" w:color="auto"/>
        <w:right w:val="none" w:sz="0" w:space="0" w:color="auto"/>
      </w:divBdr>
    </w:div>
    <w:div w:id="181676466">
      <w:bodyDiv w:val="1"/>
      <w:marLeft w:val="0"/>
      <w:marRight w:val="0"/>
      <w:marTop w:val="0"/>
      <w:marBottom w:val="0"/>
      <w:divBdr>
        <w:top w:val="none" w:sz="0" w:space="0" w:color="auto"/>
        <w:left w:val="none" w:sz="0" w:space="0" w:color="auto"/>
        <w:bottom w:val="none" w:sz="0" w:space="0" w:color="auto"/>
        <w:right w:val="none" w:sz="0" w:space="0" w:color="auto"/>
      </w:divBdr>
    </w:div>
    <w:div w:id="186914434">
      <w:bodyDiv w:val="1"/>
      <w:marLeft w:val="0"/>
      <w:marRight w:val="0"/>
      <w:marTop w:val="0"/>
      <w:marBottom w:val="0"/>
      <w:divBdr>
        <w:top w:val="none" w:sz="0" w:space="0" w:color="auto"/>
        <w:left w:val="none" w:sz="0" w:space="0" w:color="auto"/>
        <w:bottom w:val="none" w:sz="0" w:space="0" w:color="auto"/>
        <w:right w:val="none" w:sz="0" w:space="0" w:color="auto"/>
      </w:divBdr>
    </w:div>
    <w:div w:id="188565005">
      <w:bodyDiv w:val="1"/>
      <w:marLeft w:val="0"/>
      <w:marRight w:val="0"/>
      <w:marTop w:val="0"/>
      <w:marBottom w:val="0"/>
      <w:divBdr>
        <w:top w:val="none" w:sz="0" w:space="0" w:color="auto"/>
        <w:left w:val="none" w:sz="0" w:space="0" w:color="auto"/>
        <w:bottom w:val="none" w:sz="0" w:space="0" w:color="auto"/>
        <w:right w:val="none" w:sz="0" w:space="0" w:color="auto"/>
      </w:divBdr>
    </w:div>
    <w:div w:id="188958349">
      <w:bodyDiv w:val="1"/>
      <w:marLeft w:val="0"/>
      <w:marRight w:val="0"/>
      <w:marTop w:val="0"/>
      <w:marBottom w:val="0"/>
      <w:divBdr>
        <w:top w:val="none" w:sz="0" w:space="0" w:color="auto"/>
        <w:left w:val="none" w:sz="0" w:space="0" w:color="auto"/>
        <w:bottom w:val="none" w:sz="0" w:space="0" w:color="auto"/>
        <w:right w:val="none" w:sz="0" w:space="0" w:color="auto"/>
      </w:divBdr>
    </w:div>
    <w:div w:id="190382137">
      <w:bodyDiv w:val="1"/>
      <w:marLeft w:val="0"/>
      <w:marRight w:val="0"/>
      <w:marTop w:val="0"/>
      <w:marBottom w:val="0"/>
      <w:divBdr>
        <w:top w:val="none" w:sz="0" w:space="0" w:color="auto"/>
        <w:left w:val="none" w:sz="0" w:space="0" w:color="auto"/>
        <w:bottom w:val="none" w:sz="0" w:space="0" w:color="auto"/>
        <w:right w:val="none" w:sz="0" w:space="0" w:color="auto"/>
      </w:divBdr>
    </w:div>
    <w:div w:id="190384977">
      <w:bodyDiv w:val="1"/>
      <w:marLeft w:val="0"/>
      <w:marRight w:val="0"/>
      <w:marTop w:val="0"/>
      <w:marBottom w:val="0"/>
      <w:divBdr>
        <w:top w:val="none" w:sz="0" w:space="0" w:color="auto"/>
        <w:left w:val="none" w:sz="0" w:space="0" w:color="auto"/>
        <w:bottom w:val="none" w:sz="0" w:space="0" w:color="auto"/>
        <w:right w:val="none" w:sz="0" w:space="0" w:color="auto"/>
      </w:divBdr>
    </w:div>
    <w:div w:id="190730611">
      <w:bodyDiv w:val="1"/>
      <w:marLeft w:val="0"/>
      <w:marRight w:val="0"/>
      <w:marTop w:val="0"/>
      <w:marBottom w:val="0"/>
      <w:divBdr>
        <w:top w:val="none" w:sz="0" w:space="0" w:color="auto"/>
        <w:left w:val="none" w:sz="0" w:space="0" w:color="auto"/>
        <w:bottom w:val="none" w:sz="0" w:space="0" w:color="auto"/>
        <w:right w:val="none" w:sz="0" w:space="0" w:color="auto"/>
      </w:divBdr>
    </w:div>
    <w:div w:id="191461651">
      <w:bodyDiv w:val="1"/>
      <w:marLeft w:val="0"/>
      <w:marRight w:val="0"/>
      <w:marTop w:val="0"/>
      <w:marBottom w:val="0"/>
      <w:divBdr>
        <w:top w:val="none" w:sz="0" w:space="0" w:color="auto"/>
        <w:left w:val="none" w:sz="0" w:space="0" w:color="auto"/>
        <w:bottom w:val="none" w:sz="0" w:space="0" w:color="auto"/>
        <w:right w:val="none" w:sz="0" w:space="0" w:color="auto"/>
      </w:divBdr>
    </w:div>
    <w:div w:id="191576602">
      <w:bodyDiv w:val="1"/>
      <w:marLeft w:val="0"/>
      <w:marRight w:val="0"/>
      <w:marTop w:val="0"/>
      <w:marBottom w:val="0"/>
      <w:divBdr>
        <w:top w:val="none" w:sz="0" w:space="0" w:color="auto"/>
        <w:left w:val="none" w:sz="0" w:space="0" w:color="auto"/>
        <w:bottom w:val="none" w:sz="0" w:space="0" w:color="auto"/>
        <w:right w:val="none" w:sz="0" w:space="0" w:color="auto"/>
      </w:divBdr>
    </w:div>
    <w:div w:id="191694300">
      <w:bodyDiv w:val="1"/>
      <w:marLeft w:val="0"/>
      <w:marRight w:val="0"/>
      <w:marTop w:val="0"/>
      <w:marBottom w:val="0"/>
      <w:divBdr>
        <w:top w:val="none" w:sz="0" w:space="0" w:color="auto"/>
        <w:left w:val="none" w:sz="0" w:space="0" w:color="auto"/>
        <w:bottom w:val="none" w:sz="0" w:space="0" w:color="auto"/>
        <w:right w:val="none" w:sz="0" w:space="0" w:color="auto"/>
      </w:divBdr>
    </w:div>
    <w:div w:id="193419428">
      <w:bodyDiv w:val="1"/>
      <w:marLeft w:val="0"/>
      <w:marRight w:val="0"/>
      <w:marTop w:val="0"/>
      <w:marBottom w:val="0"/>
      <w:divBdr>
        <w:top w:val="none" w:sz="0" w:space="0" w:color="auto"/>
        <w:left w:val="none" w:sz="0" w:space="0" w:color="auto"/>
        <w:bottom w:val="none" w:sz="0" w:space="0" w:color="auto"/>
        <w:right w:val="none" w:sz="0" w:space="0" w:color="auto"/>
      </w:divBdr>
    </w:div>
    <w:div w:id="193856352">
      <w:bodyDiv w:val="1"/>
      <w:marLeft w:val="0"/>
      <w:marRight w:val="0"/>
      <w:marTop w:val="0"/>
      <w:marBottom w:val="0"/>
      <w:divBdr>
        <w:top w:val="none" w:sz="0" w:space="0" w:color="auto"/>
        <w:left w:val="none" w:sz="0" w:space="0" w:color="auto"/>
        <w:bottom w:val="none" w:sz="0" w:space="0" w:color="auto"/>
        <w:right w:val="none" w:sz="0" w:space="0" w:color="auto"/>
      </w:divBdr>
    </w:div>
    <w:div w:id="193930849">
      <w:bodyDiv w:val="1"/>
      <w:marLeft w:val="0"/>
      <w:marRight w:val="0"/>
      <w:marTop w:val="0"/>
      <w:marBottom w:val="0"/>
      <w:divBdr>
        <w:top w:val="none" w:sz="0" w:space="0" w:color="auto"/>
        <w:left w:val="none" w:sz="0" w:space="0" w:color="auto"/>
        <w:bottom w:val="none" w:sz="0" w:space="0" w:color="auto"/>
        <w:right w:val="none" w:sz="0" w:space="0" w:color="auto"/>
      </w:divBdr>
    </w:div>
    <w:div w:id="194468128">
      <w:bodyDiv w:val="1"/>
      <w:marLeft w:val="0"/>
      <w:marRight w:val="0"/>
      <w:marTop w:val="0"/>
      <w:marBottom w:val="0"/>
      <w:divBdr>
        <w:top w:val="none" w:sz="0" w:space="0" w:color="auto"/>
        <w:left w:val="none" w:sz="0" w:space="0" w:color="auto"/>
        <w:bottom w:val="none" w:sz="0" w:space="0" w:color="auto"/>
        <w:right w:val="none" w:sz="0" w:space="0" w:color="auto"/>
      </w:divBdr>
    </w:div>
    <w:div w:id="194659755">
      <w:bodyDiv w:val="1"/>
      <w:marLeft w:val="0"/>
      <w:marRight w:val="0"/>
      <w:marTop w:val="0"/>
      <w:marBottom w:val="0"/>
      <w:divBdr>
        <w:top w:val="none" w:sz="0" w:space="0" w:color="auto"/>
        <w:left w:val="none" w:sz="0" w:space="0" w:color="auto"/>
        <w:bottom w:val="none" w:sz="0" w:space="0" w:color="auto"/>
        <w:right w:val="none" w:sz="0" w:space="0" w:color="auto"/>
      </w:divBdr>
    </w:div>
    <w:div w:id="195849848">
      <w:bodyDiv w:val="1"/>
      <w:marLeft w:val="0"/>
      <w:marRight w:val="0"/>
      <w:marTop w:val="0"/>
      <w:marBottom w:val="0"/>
      <w:divBdr>
        <w:top w:val="none" w:sz="0" w:space="0" w:color="auto"/>
        <w:left w:val="none" w:sz="0" w:space="0" w:color="auto"/>
        <w:bottom w:val="none" w:sz="0" w:space="0" w:color="auto"/>
        <w:right w:val="none" w:sz="0" w:space="0" w:color="auto"/>
      </w:divBdr>
    </w:div>
    <w:div w:id="196889986">
      <w:bodyDiv w:val="1"/>
      <w:marLeft w:val="0"/>
      <w:marRight w:val="0"/>
      <w:marTop w:val="0"/>
      <w:marBottom w:val="0"/>
      <w:divBdr>
        <w:top w:val="none" w:sz="0" w:space="0" w:color="auto"/>
        <w:left w:val="none" w:sz="0" w:space="0" w:color="auto"/>
        <w:bottom w:val="none" w:sz="0" w:space="0" w:color="auto"/>
        <w:right w:val="none" w:sz="0" w:space="0" w:color="auto"/>
      </w:divBdr>
    </w:div>
    <w:div w:id="198668154">
      <w:bodyDiv w:val="1"/>
      <w:marLeft w:val="0"/>
      <w:marRight w:val="0"/>
      <w:marTop w:val="0"/>
      <w:marBottom w:val="0"/>
      <w:divBdr>
        <w:top w:val="none" w:sz="0" w:space="0" w:color="auto"/>
        <w:left w:val="none" w:sz="0" w:space="0" w:color="auto"/>
        <w:bottom w:val="none" w:sz="0" w:space="0" w:color="auto"/>
        <w:right w:val="none" w:sz="0" w:space="0" w:color="auto"/>
      </w:divBdr>
    </w:div>
    <w:div w:id="200555338">
      <w:bodyDiv w:val="1"/>
      <w:marLeft w:val="0"/>
      <w:marRight w:val="0"/>
      <w:marTop w:val="0"/>
      <w:marBottom w:val="0"/>
      <w:divBdr>
        <w:top w:val="none" w:sz="0" w:space="0" w:color="auto"/>
        <w:left w:val="none" w:sz="0" w:space="0" w:color="auto"/>
        <w:bottom w:val="none" w:sz="0" w:space="0" w:color="auto"/>
        <w:right w:val="none" w:sz="0" w:space="0" w:color="auto"/>
      </w:divBdr>
    </w:div>
    <w:div w:id="201135715">
      <w:bodyDiv w:val="1"/>
      <w:marLeft w:val="0"/>
      <w:marRight w:val="0"/>
      <w:marTop w:val="0"/>
      <w:marBottom w:val="0"/>
      <w:divBdr>
        <w:top w:val="none" w:sz="0" w:space="0" w:color="auto"/>
        <w:left w:val="none" w:sz="0" w:space="0" w:color="auto"/>
        <w:bottom w:val="none" w:sz="0" w:space="0" w:color="auto"/>
        <w:right w:val="none" w:sz="0" w:space="0" w:color="auto"/>
      </w:divBdr>
    </w:div>
    <w:div w:id="201721537">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3762324">
      <w:bodyDiv w:val="1"/>
      <w:marLeft w:val="0"/>
      <w:marRight w:val="0"/>
      <w:marTop w:val="0"/>
      <w:marBottom w:val="0"/>
      <w:divBdr>
        <w:top w:val="none" w:sz="0" w:space="0" w:color="auto"/>
        <w:left w:val="none" w:sz="0" w:space="0" w:color="auto"/>
        <w:bottom w:val="none" w:sz="0" w:space="0" w:color="auto"/>
        <w:right w:val="none" w:sz="0" w:space="0" w:color="auto"/>
      </w:divBdr>
    </w:div>
    <w:div w:id="208348722">
      <w:bodyDiv w:val="1"/>
      <w:marLeft w:val="0"/>
      <w:marRight w:val="0"/>
      <w:marTop w:val="0"/>
      <w:marBottom w:val="0"/>
      <w:divBdr>
        <w:top w:val="none" w:sz="0" w:space="0" w:color="auto"/>
        <w:left w:val="none" w:sz="0" w:space="0" w:color="auto"/>
        <w:bottom w:val="none" w:sz="0" w:space="0" w:color="auto"/>
        <w:right w:val="none" w:sz="0" w:space="0" w:color="auto"/>
      </w:divBdr>
    </w:div>
    <w:div w:id="209806263">
      <w:bodyDiv w:val="1"/>
      <w:marLeft w:val="0"/>
      <w:marRight w:val="0"/>
      <w:marTop w:val="0"/>
      <w:marBottom w:val="0"/>
      <w:divBdr>
        <w:top w:val="none" w:sz="0" w:space="0" w:color="auto"/>
        <w:left w:val="none" w:sz="0" w:space="0" w:color="auto"/>
        <w:bottom w:val="none" w:sz="0" w:space="0" w:color="auto"/>
        <w:right w:val="none" w:sz="0" w:space="0" w:color="auto"/>
      </w:divBdr>
    </w:div>
    <w:div w:id="209850508">
      <w:bodyDiv w:val="1"/>
      <w:marLeft w:val="0"/>
      <w:marRight w:val="0"/>
      <w:marTop w:val="0"/>
      <w:marBottom w:val="0"/>
      <w:divBdr>
        <w:top w:val="none" w:sz="0" w:space="0" w:color="auto"/>
        <w:left w:val="none" w:sz="0" w:space="0" w:color="auto"/>
        <w:bottom w:val="none" w:sz="0" w:space="0" w:color="auto"/>
        <w:right w:val="none" w:sz="0" w:space="0" w:color="auto"/>
      </w:divBdr>
    </w:div>
    <w:div w:id="210852754">
      <w:bodyDiv w:val="1"/>
      <w:marLeft w:val="0"/>
      <w:marRight w:val="0"/>
      <w:marTop w:val="0"/>
      <w:marBottom w:val="0"/>
      <w:divBdr>
        <w:top w:val="none" w:sz="0" w:space="0" w:color="auto"/>
        <w:left w:val="none" w:sz="0" w:space="0" w:color="auto"/>
        <w:bottom w:val="none" w:sz="0" w:space="0" w:color="auto"/>
        <w:right w:val="none" w:sz="0" w:space="0" w:color="auto"/>
      </w:divBdr>
    </w:div>
    <w:div w:id="210919024">
      <w:bodyDiv w:val="1"/>
      <w:marLeft w:val="0"/>
      <w:marRight w:val="0"/>
      <w:marTop w:val="0"/>
      <w:marBottom w:val="0"/>
      <w:divBdr>
        <w:top w:val="none" w:sz="0" w:space="0" w:color="auto"/>
        <w:left w:val="none" w:sz="0" w:space="0" w:color="auto"/>
        <w:bottom w:val="none" w:sz="0" w:space="0" w:color="auto"/>
        <w:right w:val="none" w:sz="0" w:space="0" w:color="auto"/>
      </w:divBdr>
    </w:div>
    <w:div w:id="211308395">
      <w:bodyDiv w:val="1"/>
      <w:marLeft w:val="0"/>
      <w:marRight w:val="0"/>
      <w:marTop w:val="0"/>
      <w:marBottom w:val="0"/>
      <w:divBdr>
        <w:top w:val="none" w:sz="0" w:space="0" w:color="auto"/>
        <w:left w:val="none" w:sz="0" w:space="0" w:color="auto"/>
        <w:bottom w:val="none" w:sz="0" w:space="0" w:color="auto"/>
        <w:right w:val="none" w:sz="0" w:space="0" w:color="auto"/>
      </w:divBdr>
    </w:div>
    <w:div w:id="211498834">
      <w:bodyDiv w:val="1"/>
      <w:marLeft w:val="0"/>
      <w:marRight w:val="0"/>
      <w:marTop w:val="0"/>
      <w:marBottom w:val="0"/>
      <w:divBdr>
        <w:top w:val="none" w:sz="0" w:space="0" w:color="auto"/>
        <w:left w:val="none" w:sz="0" w:space="0" w:color="auto"/>
        <w:bottom w:val="none" w:sz="0" w:space="0" w:color="auto"/>
        <w:right w:val="none" w:sz="0" w:space="0" w:color="auto"/>
      </w:divBdr>
    </w:div>
    <w:div w:id="213930169">
      <w:bodyDiv w:val="1"/>
      <w:marLeft w:val="0"/>
      <w:marRight w:val="0"/>
      <w:marTop w:val="0"/>
      <w:marBottom w:val="0"/>
      <w:divBdr>
        <w:top w:val="none" w:sz="0" w:space="0" w:color="auto"/>
        <w:left w:val="none" w:sz="0" w:space="0" w:color="auto"/>
        <w:bottom w:val="none" w:sz="0" w:space="0" w:color="auto"/>
        <w:right w:val="none" w:sz="0" w:space="0" w:color="auto"/>
      </w:divBdr>
    </w:div>
    <w:div w:id="214895739">
      <w:bodyDiv w:val="1"/>
      <w:marLeft w:val="0"/>
      <w:marRight w:val="0"/>
      <w:marTop w:val="0"/>
      <w:marBottom w:val="0"/>
      <w:divBdr>
        <w:top w:val="none" w:sz="0" w:space="0" w:color="auto"/>
        <w:left w:val="none" w:sz="0" w:space="0" w:color="auto"/>
        <w:bottom w:val="none" w:sz="0" w:space="0" w:color="auto"/>
        <w:right w:val="none" w:sz="0" w:space="0" w:color="auto"/>
      </w:divBdr>
    </w:div>
    <w:div w:id="215549077">
      <w:bodyDiv w:val="1"/>
      <w:marLeft w:val="0"/>
      <w:marRight w:val="0"/>
      <w:marTop w:val="0"/>
      <w:marBottom w:val="0"/>
      <w:divBdr>
        <w:top w:val="none" w:sz="0" w:space="0" w:color="auto"/>
        <w:left w:val="none" w:sz="0" w:space="0" w:color="auto"/>
        <w:bottom w:val="none" w:sz="0" w:space="0" w:color="auto"/>
        <w:right w:val="none" w:sz="0" w:space="0" w:color="auto"/>
      </w:divBdr>
    </w:div>
    <w:div w:id="215629251">
      <w:bodyDiv w:val="1"/>
      <w:marLeft w:val="0"/>
      <w:marRight w:val="0"/>
      <w:marTop w:val="0"/>
      <w:marBottom w:val="0"/>
      <w:divBdr>
        <w:top w:val="none" w:sz="0" w:space="0" w:color="auto"/>
        <w:left w:val="none" w:sz="0" w:space="0" w:color="auto"/>
        <w:bottom w:val="none" w:sz="0" w:space="0" w:color="auto"/>
        <w:right w:val="none" w:sz="0" w:space="0" w:color="auto"/>
      </w:divBdr>
    </w:div>
    <w:div w:id="216209335">
      <w:bodyDiv w:val="1"/>
      <w:marLeft w:val="0"/>
      <w:marRight w:val="0"/>
      <w:marTop w:val="0"/>
      <w:marBottom w:val="0"/>
      <w:divBdr>
        <w:top w:val="none" w:sz="0" w:space="0" w:color="auto"/>
        <w:left w:val="none" w:sz="0" w:space="0" w:color="auto"/>
        <w:bottom w:val="none" w:sz="0" w:space="0" w:color="auto"/>
        <w:right w:val="none" w:sz="0" w:space="0" w:color="auto"/>
      </w:divBdr>
    </w:div>
    <w:div w:id="216819695">
      <w:bodyDiv w:val="1"/>
      <w:marLeft w:val="0"/>
      <w:marRight w:val="0"/>
      <w:marTop w:val="0"/>
      <w:marBottom w:val="0"/>
      <w:divBdr>
        <w:top w:val="none" w:sz="0" w:space="0" w:color="auto"/>
        <w:left w:val="none" w:sz="0" w:space="0" w:color="auto"/>
        <w:bottom w:val="none" w:sz="0" w:space="0" w:color="auto"/>
        <w:right w:val="none" w:sz="0" w:space="0" w:color="auto"/>
      </w:divBdr>
    </w:div>
    <w:div w:id="218369428">
      <w:bodyDiv w:val="1"/>
      <w:marLeft w:val="0"/>
      <w:marRight w:val="0"/>
      <w:marTop w:val="0"/>
      <w:marBottom w:val="0"/>
      <w:divBdr>
        <w:top w:val="none" w:sz="0" w:space="0" w:color="auto"/>
        <w:left w:val="none" w:sz="0" w:space="0" w:color="auto"/>
        <w:bottom w:val="none" w:sz="0" w:space="0" w:color="auto"/>
        <w:right w:val="none" w:sz="0" w:space="0" w:color="auto"/>
      </w:divBdr>
    </w:div>
    <w:div w:id="218905411">
      <w:bodyDiv w:val="1"/>
      <w:marLeft w:val="0"/>
      <w:marRight w:val="0"/>
      <w:marTop w:val="0"/>
      <w:marBottom w:val="0"/>
      <w:divBdr>
        <w:top w:val="none" w:sz="0" w:space="0" w:color="auto"/>
        <w:left w:val="none" w:sz="0" w:space="0" w:color="auto"/>
        <w:bottom w:val="none" w:sz="0" w:space="0" w:color="auto"/>
        <w:right w:val="none" w:sz="0" w:space="0" w:color="auto"/>
      </w:divBdr>
    </w:div>
    <w:div w:id="222763970">
      <w:bodyDiv w:val="1"/>
      <w:marLeft w:val="0"/>
      <w:marRight w:val="0"/>
      <w:marTop w:val="0"/>
      <w:marBottom w:val="0"/>
      <w:divBdr>
        <w:top w:val="none" w:sz="0" w:space="0" w:color="auto"/>
        <w:left w:val="none" w:sz="0" w:space="0" w:color="auto"/>
        <w:bottom w:val="none" w:sz="0" w:space="0" w:color="auto"/>
        <w:right w:val="none" w:sz="0" w:space="0" w:color="auto"/>
      </w:divBdr>
    </w:div>
    <w:div w:id="225067120">
      <w:bodyDiv w:val="1"/>
      <w:marLeft w:val="0"/>
      <w:marRight w:val="0"/>
      <w:marTop w:val="0"/>
      <w:marBottom w:val="0"/>
      <w:divBdr>
        <w:top w:val="none" w:sz="0" w:space="0" w:color="auto"/>
        <w:left w:val="none" w:sz="0" w:space="0" w:color="auto"/>
        <w:bottom w:val="none" w:sz="0" w:space="0" w:color="auto"/>
        <w:right w:val="none" w:sz="0" w:space="0" w:color="auto"/>
      </w:divBdr>
    </w:div>
    <w:div w:id="225839799">
      <w:bodyDiv w:val="1"/>
      <w:marLeft w:val="0"/>
      <w:marRight w:val="0"/>
      <w:marTop w:val="0"/>
      <w:marBottom w:val="0"/>
      <w:divBdr>
        <w:top w:val="none" w:sz="0" w:space="0" w:color="auto"/>
        <w:left w:val="none" w:sz="0" w:space="0" w:color="auto"/>
        <w:bottom w:val="none" w:sz="0" w:space="0" w:color="auto"/>
        <w:right w:val="none" w:sz="0" w:space="0" w:color="auto"/>
      </w:divBdr>
    </w:div>
    <w:div w:id="225996924">
      <w:bodyDiv w:val="1"/>
      <w:marLeft w:val="0"/>
      <w:marRight w:val="0"/>
      <w:marTop w:val="0"/>
      <w:marBottom w:val="0"/>
      <w:divBdr>
        <w:top w:val="none" w:sz="0" w:space="0" w:color="auto"/>
        <w:left w:val="none" w:sz="0" w:space="0" w:color="auto"/>
        <w:bottom w:val="none" w:sz="0" w:space="0" w:color="auto"/>
        <w:right w:val="none" w:sz="0" w:space="0" w:color="auto"/>
      </w:divBdr>
    </w:div>
    <w:div w:id="227690897">
      <w:bodyDiv w:val="1"/>
      <w:marLeft w:val="0"/>
      <w:marRight w:val="0"/>
      <w:marTop w:val="0"/>
      <w:marBottom w:val="0"/>
      <w:divBdr>
        <w:top w:val="none" w:sz="0" w:space="0" w:color="auto"/>
        <w:left w:val="none" w:sz="0" w:space="0" w:color="auto"/>
        <w:bottom w:val="none" w:sz="0" w:space="0" w:color="auto"/>
        <w:right w:val="none" w:sz="0" w:space="0" w:color="auto"/>
      </w:divBdr>
    </w:div>
    <w:div w:id="228075334">
      <w:bodyDiv w:val="1"/>
      <w:marLeft w:val="0"/>
      <w:marRight w:val="0"/>
      <w:marTop w:val="0"/>
      <w:marBottom w:val="0"/>
      <w:divBdr>
        <w:top w:val="none" w:sz="0" w:space="0" w:color="auto"/>
        <w:left w:val="none" w:sz="0" w:space="0" w:color="auto"/>
        <w:bottom w:val="none" w:sz="0" w:space="0" w:color="auto"/>
        <w:right w:val="none" w:sz="0" w:space="0" w:color="auto"/>
      </w:divBdr>
    </w:div>
    <w:div w:id="228273657">
      <w:bodyDiv w:val="1"/>
      <w:marLeft w:val="0"/>
      <w:marRight w:val="0"/>
      <w:marTop w:val="0"/>
      <w:marBottom w:val="0"/>
      <w:divBdr>
        <w:top w:val="none" w:sz="0" w:space="0" w:color="auto"/>
        <w:left w:val="none" w:sz="0" w:space="0" w:color="auto"/>
        <w:bottom w:val="none" w:sz="0" w:space="0" w:color="auto"/>
        <w:right w:val="none" w:sz="0" w:space="0" w:color="auto"/>
      </w:divBdr>
    </w:div>
    <w:div w:id="229192554">
      <w:bodyDiv w:val="1"/>
      <w:marLeft w:val="0"/>
      <w:marRight w:val="0"/>
      <w:marTop w:val="0"/>
      <w:marBottom w:val="0"/>
      <w:divBdr>
        <w:top w:val="none" w:sz="0" w:space="0" w:color="auto"/>
        <w:left w:val="none" w:sz="0" w:space="0" w:color="auto"/>
        <w:bottom w:val="none" w:sz="0" w:space="0" w:color="auto"/>
        <w:right w:val="none" w:sz="0" w:space="0" w:color="auto"/>
      </w:divBdr>
    </w:div>
    <w:div w:id="231737664">
      <w:bodyDiv w:val="1"/>
      <w:marLeft w:val="0"/>
      <w:marRight w:val="0"/>
      <w:marTop w:val="0"/>
      <w:marBottom w:val="0"/>
      <w:divBdr>
        <w:top w:val="none" w:sz="0" w:space="0" w:color="auto"/>
        <w:left w:val="none" w:sz="0" w:space="0" w:color="auto"/>
        <w:bottom w:val="none" w:sz="0" w:space="0" w:color="auto"/>
        <w:right w:val="none" w:sz="0" w:space="0" w:color="auto"/>
      </w:divBdr>
    </w:div>
    <w:div w:id="232006825">
      <w:bodyDiv w:val="1"/>
      <w:marLeft w:val="0"/>
      <w:marRight w:val="0"/>
      <w:marTop w:val="0"/>
      <w:marBottom w:val="0"/>
      <w:divBdr>
        <w:top w:val="none" w:sz="0" w:space="0" w:color="auto"/>
        <w:left w:val="none" w:sz="0" w:space="0" w:color="auto"/>
        <w:bottom w:val="none" w:sz="0" w:space="0" w:color="auto"/>
        <w:right w:val="none" w:sz="0" w:space="0" w:color="auto"/>
      </w:divBdr>
    </w:div>
    <w:div w:id="232351257">
      <w:bodyDiv w:val="1"/>
      <w:marLeft w:val="0"/>
      <w:marRight w:val="0"/>
      <w:marTop w:val="0"/>
      <w:marBottom w:val="0"/>
      <w:divBdr>
        <w:top w:val="none" w:sz="0" w:space="0" w:color="auto"/>
        <w:left w:val="none" w:sz="0" w:space="0" w:color="auto"/>
        <w:bottom w:val="none" w:sz="0" w:space="0" w:color="auto"/>
        <w:right w:val="none" w:sz="0" w:space="0" w:color="auto"/>
      </w:divBdr>
    </w:div>
    <w:div w:id="232393376">
      <w:bodyDiv w:val="1"/>
      <w:marLeft w:val="0"/>
      <w:marRight w:val="0"/>
      <w:marTop w:val="0"/>
      <w:marBottom w:val="0"/>
      <w:divBdr>
        <w:top w:val="none" w:sz="0" w:space="0" w:color="auto"/>
        <w:left w:val="none" w:sz="0" w:space="0" w:color="auto"/>
        <w:bottom w:val="none" w:sz="0" w:space="0" w:color="auto"/>
        <w:right w:val="none" w:sz="0" w:space="0" w:color="auto"/>
      </w:divBdr>
    </w:div>
    <w:div w:id="232593542">
      <w:bodyDiv w:val="1"/>
      <w:marLeft w:val="0"/>
      <w:marRight w:val="0"/>
      <w:marTop w:val="0"/>
      <w:marBottom w:val="0"/>
      <w:divBdr>
        <w:top w:val="none" w:sz="0" w:space="0" w:color="auto"/>
        <w:left w:val="none" w:sz="0" w:space="0" w:color="auto"/>
        <w:bottom w:val="none" w:sz="0" w:space="0" w:color="auto"/>
        <w:right w:val="none" w:sz="0" w:space="0" w:color="auto"/>
      </w:divBdr>
    </w:div>
    <w:div w:id="233392174">
      <w:bodyDiv w:val="1"/>
      <w:marLeft w:val="0"/>
      <w:marRight w:val="0"/>
      <w:marTop w:val="0"/>
      <w:marBottom w:val="0"/>
      <w:divBdr>
        <w:top w:val="none" w:sz="0" w:space="0" w:color="auto"/>
        <w:left w:val="none" w:sz="0" w:space="0" w:color="auto"/>
        <w:bottom w:val="none" w:sz="0" w:space="0" w:color="auto"/>
        <w:right w:val="none" w:sz="0" w:space="0" w:color="auto"/>
      </w:divBdr>
    </w:div>
    <w:div w:id="235630472">
      <w:bodyDiv w:val="1"/>
      <w:marLeft w:val="0"/>
      <w:marRight w:val="0"/>
      <w:marTop w:val="0"/>
      <w:marBottom w:val="0"/>
      <w:divBdr>
        <w:top w:val="none" w:sz="0" w:space="0" w:color="auto"/>
        <w:left w:val="none" w:sz="0" w:space="0" w:color="auto"/>
        <w:bottom w:val="none" w:sz="0" w:space="0" w:color="auto"/>
        <w:right w:val="none" w:sz="0" w:space="0" w:color="auto"/>
      </w:divBdr>
    </w:div>
    <w:div w:id="235822814">
      <w:bodyDiv w:val="1"/>
      <w:marLeft w:val="0"/>
      <w:marRight w:val="0"/>
      <w:marTop w:val="0"/>
      <w:marBottom w:val="0"/>
      <w:divBdr>
        <w:top w:val="none" w:sz="0" w:space="0" w:color="auto"/>
        <w:left w:val="none" w:sz="0" w:space="0" w:color="auto"/>
        <w:bottom w:val="none" w:sz="0" w:space="0" w:color="auto"/>
        <w:right w:val="none" w:sz="0" w:space="0" w:color="auto"/>
      </w:divBdr>
    </w:div>
    <w:div w:id="236743214">
      <w:bodyDiv w:val="1"/>
      <w:marLeft w:val="0"/>
      <w:marRight w:val="0"/>
      <w:marTop w:val="0"/>
      <w:marBottom w:val="0"/>
      <w:divBdr>
        <w:top w:val="none" w:sz="0" w:space="0" w:color="auto"/>
        <w:left w:val="none" w:sz="0" w:space="0" w:color="auto"/>
        <w:bottom w:val="none" w:sz="0" w:space="0" w:color="auto"/>
        <w:right w:val="none" w:sz="0" w:space="0" w:color="auto"/>
      </w:divBdr>
    </w:div>
    <w:div w:id="238445965">
      <w:bodyDiv w:val="1"/>
      <w:marLeft w:val="0"/>
      <w:marRight w:val="0"/>
      <w:marTop w:val="0"/>
      <w:marBottom w:val="0"/>
      <w:divBdr>
        <w:top w:val="none" w:sz="0" w:space="0" w:color="auto"/>
        <w:left w:val="none" w:sz="0" w:space="0" w:color="auto"/>
        <w:bottom w:val="none" w:sz="0" w:space="0" w:color="auto"/>
        <w:right w:val="none" w:sz="0" w:space="0" w:color="auto"/>
      </w:divBdr>
    </w:div>
    <w:div w:id="239409199">
      <w:bodyDiv w:val="1"/>
      <w:marLeft w:val="0"/>
      <w:marRight w:val="0"/>
      <w:marTop w:val="0"/>
      <w:marBottom w:val="0"/>
      <w:divBdr>
        <w:top w:val="none" w:sz="0" w:space="0" w:color="auto"/>
        <w:left w:val="none" w:sz="0" w:space="0" w:color="auto"/>
        <w:bottom w:val="none" w:sz="0" w:space="0" w:color="auto"/>
        <w:right w:val="none" w:sz="0" w:space="0" w:color="auto"/>
      </w:divBdr>
    </w:div>
    <w:div w:id="241915682">
      <w:bodyDiv w:val="1"/>
      <w:marLeft w:val="0"/>
      <w:marRight w:val="0"/>
      <w:marTop w:val="0"/>
      <w:marBottom w:val="0"/>
      <w:divBdr>
        <w:top w:val="none" w:sz="0" w:space="0" w:color="auto"/>
        <w:left w:val="none" w:sz="0" w:space="0" w:color="auto"/>
        <w:bottom w:val="none" w:sz="0" w:space="0" w:color="auto"/>
        <w:right w:val="none" w:sz="0" w:space="0" w:color="auto"/>
      </w:divBdr>
    </w:div>
    <w:div w:id="242954668">
      <w:bodyDiv w:val="1"/>
      <w:marLeft w:val="0"/>
      <w:marRight w:val="0"/>
      <w:marTop w:val="0"/>
      <w:marBottom w:val="0"/>
      <w:divBdr>
        <w:top w:val="none" w:sz="0" w:space="0" w:color="auto"/>
        <w:left w:val="none" w:sz="0" w:space="0" w:color="auto"/>
        <w:bottom w:val="none" w:sz="0" w:space="0" w:color="auto"/>
        <w:right w:val="none" w:sz="0" w:space="0" w:color="auto"/>
      </w:divBdr>
    </w:div>
    <w:div w:id="243345483">
      <w:bodyDiv w:val="1"/>
      <w:marLeft w:val="0"/>
      <w:marRight w:val="0"/>
      <w:marTop w:val="0"/>
      <w:marBottom w:val="0"/>
      <w:divBdr>
        <w:top w:val="none" w:sz="0" w:space="0" w:color="auto"/>
        <w:left w:val="none" w:sz="0" w:space="0" w:color="auto"/>
        <w:bottom w:val="none" w:sz="0" w:space="0" w:color="auto"/>
        <w:right w:val="none" w:sz="0" w:space="0" w:color="auto"/>
      </w:divBdr>
    </w:div>
    <w:div w:id="243686592">
      <w:bodyDiv w:val="1"/>
      <w:marLeft w:val="0"/>
      <w:marRight w:val="0"/>
      <w:marTop w:val="0"/>
      <w:marBottom w:val="0"/>
      <w:divBdr>
        <w:top w:val="none" w:sz="0" w:space="0" w:color="auto"/>
        <w:left w:val="none" w:sz="0" w:space="0" w:color="auto"/>
        <w:bottom w:val="none" w:sz="0" w:space="0" w:color="auto"/>
        <w:right w:val="none" w:sz="0" w:space="0" w:color="auto"/>
      </w:divBdr>
    </w:div>
    <w:div w:id="243998223">
      <w:bodyDiv w:val="1"/>
      <w:marLeft w:val="0"/>
      <w:marRight w:val="0"/>
      <w:marTop w:val="0"/>
      <w:marBottom w:val="0"/>
      <w:divBdr>
        <w:top w:val="none" w:sz="0" w:space="0" w:color="auto"/>
        <w:left w:val="none" w:sz="0" w:space="0" w:color="auto"/>
        <w:bottom w:val="none" w:sz="0" w:space="0" w:color="auto"/>
        <w:right w:val="none" w:sz="0" w:space="0" w:color="auto"/>
      </w:divBdr>
    </w:div>
    <w:div w:id="244147326">
      <w:bodyDiv w:val="1"/>
      <w:marLeft w:val="0"/>
      <w:marRight w:val="0"/>
      <w:marTop w:val="0"/>
      <w:marBottom w:val="0"/>
      <w:divBdr>
        <w:top w:val="none" w:sz="0" w:space="0" w:color="auto"/>
        <w:left w:val="none" w:sz="0" w:space="0" w:color="auto"/>
        <w:bottom w:val="none" w:sz="0" w:space="0" w:color="auto"/>
        <w:right w:val="none" w:sz="0" w:space="0" w:color="auto"/>
      </w:divBdr>
    </w:div>
    <w:div w:id="244462673">
      <w:bodyDiv w:val="1"/>
      <w:marLeft w:val="0"/>
      <w:marRight w:val="0"/>
      <w:marTop w:val="0"/>
      <w:marBottom w:val="0"/>
      <w:divBdr>
        <w:top w:val="none" w:sz="0" w:space="0" w:color="auto"/>
        <w:left w:val="none" w:sz="0" w:space="0" w:color="auto"/>
        <w:bottom w:val="none" w:sz="0" w:space="0" w:color="auto"/>
        <w:right w:val="none" w:sz="0" w:space="0" w:color="auto"/>
      </w:divBdr>
    </w:div>
    <w:div w:id="244534912">
      <w:bodyDiv w:val="1"/>
      <w:marLeft w:val="0"/>
      <w:marRight w:val="0"/>
      <w:marTop w:val="0"/>
      <w:marBottom w:val="0"/>
      <w:divBdr>
        <w:top w:val="none" w:sz="0" w:space="0" w:color="auto"/>
        <w:left w:val="none" w:sz="0" w:space="0" w:color="auto"/>
        <w:bottom w:val="none" w:sz="0" w:space="0" w:color="auto"/>
        <w:right w:val="none" w:sz="0" w:space="0" w:color="auto"/>
      </w:divBdr>
    </w:div>
    <w:div w:id="244606740">
      <w:bodyDiv w:val="1"/>
      <w:marLeft w:val="0"/>
      <w:marRight w:val="0"/>
      <w:marTop w:val="0"/>
      <w:marBottom w:val="0"/>
      <w:divBdr>
        <w:top w:val="none" w:sz="0" w:space="0" w:color="auto"/>
        <w:left w:val="none" w:sz="0" w:space="0" w:color="auto"/>
        <w:bottom w:val="none" w:sz="0" w:space="0" w:color="auto"/>
        <w:right w:val="none" w:sz="0" w:space="0" w:color="auto"/>
      </w:divBdr>
    </w:div>
    <w:div w:id="246036703">
      <w:bodyDiv w:val="1"/>
      <w:marLeft w:val="0"/>
      <w:marRight w:val="0"/>
      <w:marTop w:val="0"/>
      <w:marBottom w:val="0"/>
      <w:divBdr>
        <w:top w:val="none" w:sz="0" w:space="0" w:color="auto"/>
        <w:left w:val="none" w:sz="0" w:space="0" w:color="auto"/>
        <w:bottom w:val="none" w:sz="0" w:space="0" w:color="auto"/>
        <w:right w:val="none" w:sz="0" w:space="0" w:color="auto"/>
      </w:divBdr>
    </w:div>
    <w:div w:id="248003140">
      <w:bodyDiv w:val="1"/>
      <w:marLeft w:val="0"/>
      <w:marRight w:val="0"/>
      <w:marTop w:val="0"/>
      <w:marBottom w:val="0"/>
      <w:divBdr>
        <w:top w:val="none" w:sz="0" w:space="0" w:color="auto"/>
        <w:left w:val="none" w:sz="0" w:space="0" w:color="auto"/>
        <w:bottom w:val="none" w:sz="0" w:space="0" w:color="auto"/>
        <w:right w:val="none" w:sz="0" w:space="0" w:color="auto"/>
      </w:divBdr>
    </w:div>
    <w:div w:id="250508083">
      <w:bodyDiv w:val="1"/>
      <w:marLeft w:val="0"/>
      <w:marRight w:val="0"/>
      <w:marTop w:val="0"/>
      <w:marBottom w:val="0"/>
      <w:divBdr>
        <w:top w:val="none" w:sz="0" w:space="0" w:color="auto"/>
        <w:left w:val="none" w:sz="0" w:space="0" w:color="auto"/>
        <w:bottom w:val="none" w:sz="0" w:space="0" w:color="auto"/>
        <w:right w:val="none" w:sz="0" w:space="0" w:color="auto"/>
      </w:divBdr>
    </w:div>
    <w:div w:id="251672492">
      <w:bodyDiv w:val="1"/>
      <w:marLeft w:val="0"/>
      <w:marRight w:val="0"/>
      <w:marTop w:val="0"/>
      <w:marBottom w:val="0"/>
      <w:divBdr>
        <w:top w:val="none" w:sz="0" w:space="0" w:color="auto"/>
        <w:left w:val="none" w:sz="0" w:space="0" w:color="auto"/>
        <w:bottom w:val="none" w:sz="0" w:space="0" w:color="auto"/>
        <w:right w:val="none" w:sz="0" w:space="0" w:color="auto"/>
      </w:divBdr>
    </w:div>
    <w:div w:id="252013387">
      <w:bodyDiv w:val="1"/>
      <w:marLeft w:val="0"/>
      <w:marRight w:val="0"/>
      <w:marTop w:val="0"/>
      <w:marBottom w:val="0"/>
      <w:divBdr>
        <w:top w:val="none" w:sz="0" w:space="0" w:color="auto"/>
        <w:left w:val="none" w:sz="0" w:space="0" w:color="auto"/>
        <w:bottom w:val="none" w:sz="0" w:space="0" w:color="auto"/>
        <w:right w:val="none" w:sz="0" w:space="0" w:color="auto"/>
      </w:divBdr>
    </w:div>
    <w:div w:id="252207349">
      <w:bodyDiv w:val="1"/>
      <w:marLeft w:val="0"/>
      <w:marRight w:val="0"/>
      <w:marTop w:val="0"/>
      <w:marBottom w:val="0"/>
      <w:divBdr>
        <w:top w:val="none" w:sz="0" w:space="0" w:color="auto"/>
        <w:left w:val="none" w:sz="0" w:space="0" w:color="auto"/>
        <w:bottom w:val="none" w:sz="0" w:space="0" w:color="auto"/>
        <w:right w:val="none" w:sz="0" w:space="0" w:color="auto"/>
      </w:divBdr>
    </w:div>
    <w:div w:id="252789731">
      <w:bodyDiv w:val="1"/>
      <w:marLeft w:val="0"/>
      <w:marRight w:val="0"/>
      <w:marTop w:val="0"/>
      <w:marBottom w:val="0"/>
      <w:divBdr>
        <w:top w:val="none" w:sz="0" w:space="0" w:color="auto"/>
        <w:left w:val="none" w:sz="0" w:space="0" w:color="auto"/>
        <w:bottom w:val="none" w:sz="0" w:space="0" w:color="auto"/>
        <w:right w:val="none" w:sz="0" w:space="0" w:color="auto"/>
      </w:divBdr>
    </w:div>
    <w:div w:id="252933712">
      <w:bodyDiv w:val="1"/>
      <w:marLeft w:val="0"/>
      <w:marRight w:val="0"/>
      <w:marTop w:val="0"/>
      <w:marBottom w:val="0"/>
      <w:divBdr>
        <w:top w:val="none" w:sz="0" w:space="0" w:color="auto"/>
        <w:left w:val="none" w:sz="0" w:space="0" w:color="auto"/>
        <w:bottom w:val="none" w:sz="0" w:space="0" w:color="auto"/>
        <w:right w:val="none" w:sz="0" w:space="0" w:color="auto"/>
      </w:divBdr>
    </w:div>
    <w:div w:id="255864296">
      <w:bodyDiv w:val="1"/>
      <w:marLeft w:val="0"/>
      <w:marRight w:val="0"/>
      <w:marTop w:val="0"/>
      <w:marBottom w:val="0"/>
      <w:divBdr>
        <w:top w:val="none" w:sz="0" w:space="0" w:color="auto"/>
        <w:left w:val="none" w:sz="0" w:space="0" w:color="auto"/>
        <w:bottom w:val="none" w:sz="0" w:space="0" w:color="auto"/>
        <w:right w:val="none" w:sz="0" w:space="0" w:color="auto"/>
      </w:divBdr>
    </w:div>
    <w:div w:id="256330109">
      <w:bodyDiv w:val="1"/>
      <w:marLeft w:val="0"/>
      <w:marRight w:val="0"/>
      <w:marTop w:val="0"/>
      <w:marBottom w:val="0"/>
      <w:divBdr>
        <w:top w:val="none" w:sz="0" w:space="0" w:color="auto"/>
        <w:left w:val="none" w:sz="0" w:space="0" w:color="auto"/>
        <w:bottom w:val="none" w:sz="0" w:space="0" w:color="auto"/>
        <w:right w:val="none" w:sz="0" w:space="0" w:color="auto"/>
      </w:divBdr>
    </w:div>
    <w:div w:id="257376434">
      <w:bodyDiv w:val="1"/>
      <w:marLeft w:val="0"/>
      <w:marRight w:val="0"/>
      <w:marTop w:val="0"/>
      <w:marBottom w:val="0"/>
      <w:divBdr>
        <w:top w:val="none" w:sz="0" w:space="0" w:color="auto"/>
        <w:left w:val="none" w:sz="0" w:space="0" w:color="auto"/>
        <w:bottom w:val="none" w:sz="0" w:space="0" w:color="auto"/>
        <w:right w:val="none" w:sz="0" w:space="0" w:color="auto"/>
      </w:divBdr>
    </w:div>
    <w:div w:id="259608473">
      <w:bodyDiv w:val="1"/>
      <w:marLeft w:val="0"/>
      <w:marRight w:val="0"/>
      <w:marTop w:val="0"/>
      <w:marBottom w:val="0"/>
      <w:divBdr>
        <w:top w:val="none" w:sz="0" w:space="0" w:color="auto"/>
        <w:left w:val="none" w:sz="0" w:space="0" w:color="auto"/>
        <w:bottom w:val="none" w:sz="0" w:space="0" w:color="auto"/>
        <w:right w:val="none" w:sz="0" w:space="0" w:color="auto"/>
      </w:divBdr>
    </w:div>
    <w:div w:id="260845760">
      <w:bodyDiv w:val="1"/>
      <w:marLeft w:val="0"/>
      <w:marRight w:val="0"/>
      <w:marTop w:val="0"/>
      <w:marBottom w:val="0"/>
      <w:divBdr>
        <w:top w:val="none" w:sz="0" w:space="0" w:color="auto"/>
        <w:left w:val="none" w:sz="0" w:space="0" w:color="auto"/>
        <w:bottom w:val="none" w:sz="0" w:space="0" w:color="auto"/>
        <w:right w:val="none" w:sz="0" w:space="0" w:color="auto"/>
      </w:divBdr>
    </w:div>
    <w:div w:id="261568566">
      <w:bodyDiv w:val="1"/>
      <w:marLeft w:val="0"/>
      <w:marRight w:val="0"/>
      <w:marTop w:val="0"/>
      <w:marBottom w:val="0"/>
      <w:divBdr>
        <w:top w:val="none" w:sz="0" w:space="0" w:color="auto"/>
        <w:left w:val="none" w:sz="0" w:space="0" w:color="auto"/>
        <w:bottom w:val="none" w:sz="0" w:space="0" w:color="auto"/>
        <w:right w:val="none" w:sz="0" w:space="0" w:color="auto"/>
      </w:divBdr>
    </w:div>
    <w:div w:id="261645076">
      <w:bodyDiv w:val="1"/>
      <w:marLeft w:val="0"/>
      <w:marRight w:val="0"/>
      <w:marTop w:val="0"/>
      <w:marBottom w:val="0"/>
      <w:divBdr>
        <w:top w:val="none" w:sz="0" w:space="0" w:color="auto"/>
        <w:left w:val="none" w:sz="0" w:space="0" w:color="auto"/>
        <w:bottom w:val="none" w:sz="0" w:space="0" w:color="auto"/>
        <w:right w:val="none" w:sz="0" w:space="0" w:color="auto"/>
      </w:divBdr>
    </w:div>
    <w:div w:id="262106403">
      <w:bodyDiv w:val="1"/>
      <w:marLeft w:val="0"/>
      <w:marRight w:val="0"/>
      <w:marTop w:val="0"/>
      <w:marBottom w:val="0"/>
      <w:divBdr>
        <w:top w:val="none" w:sz="0" w:space="0" w:color="auto"/>
        <w:left w:val="none" w:sz="0" w:space="0" w:color="auto"/>
        <w:bottom w:val="none" w:sz="0" w:space="0" w:color="auto"/>
        <w:right w:val="none" w:sz="0" w:space="0" w:color="auto"/>
      </w:divBdr>
    </w:div>
    <w:div w:id="263271565">
      <w:bodyDiv w:val="1"/>
      <w:marLeft w:val="0"/>
      <w:marRight w:val="0"/>
      <w:marTop w:val="0"/>
      <w:marBottom w:val="0"/>
      <w:divBdr>
        <w:top w:val="none" w:sz="0" w:space="0" w:color="auto"/>
        <w:left w:val="none" w:sz="0" w:space="0" w:color="auto"/>
        <w:bottom w:val="none" w:sz="0" w:space="0" w:color="auto"/>
        <w:right w:val="none" w:sz="0" w:space="0" w:color="auto"/>
      </w:divBdr>
    </w:div>
    <w:div w:id="263460752">
      <w:bodyDiv w:val="1"/>
      <w:marLeft w:val="0"/>
      <w:marRight w:val="0"/>
      <w:marTop w:val="0"/>
      <w:marBottom w:val="0"/>
      <w:divBdr>
        <w:top w:val="none" w:sz="0" w:space="0" w:color="auto"/>
        <w:left w:val="none" w:sz="0" w:space="0" w:color="auto"/>
        <w:bottom w:val="none" w:sz="0" w:space="0" w:color="auto"/>
        <w:right w:val="none" w:sz="0" w:space="0" w:color="auto"/>
      </w:divBdr>
    </w:div>
    <w:div w:id="263653242">
      <w:bodyDiv w:val="1"/>
      <w:marLeft w:val="0"/>
      <w:marRight w:val="0"/>
      <w:marTop w:val="0"/>
      <w:marBottom w:val="0"/>
      <w:divBdr>
        <w:top w:val="none" w:sz="0" w:space="0" w:color="auto"/>
        <w:left w:val="none" w:sz="0" w:space="0" w:color="auto"/>
        <w:bottom w:val="none" w:sz="0" w:space="0" w:color="auto"/>
        <w:right w:val="none" w:sz="0" w:space="0" w:color="auto"/>
      </w:divBdr>
    </w:div>
    <w:div w:id="263850848">
      <w:bodyDiv w:val="1"/>
      <w:marLeft w:val="0"/>
      <w:marRight w:val="0"/>
      <w:marTop w:val="0"/>
      <w:marBottom w:val="0"/>
      <w:divBdr>
        <w:top w:val="none" w:sz="0" w:space="0" w:color="auto"/>
        <w:left w:val="none" w:sz="0" w:space="0" w:color="auto"/>
        <w:bottom w:val="none" w:sz="0" w:space="0" w:color="auto"/>
        <w:right w:val="none" w:sz="0" w:space="0" w:color="auto"/>
      </w:divBdr>
    </w:div>
    <w:div w:id="266281936">
      <w:bodyDiv w:val="1"/>
      <w:marLeft w:val="0"/>
      <w:marRight w:val="0"/>
      <w:marTop w:val="0"/>
      <w:marBottom w:val="0"/>
      <w:divBdr>
        <w:top w:val="none" w:sz="0" w:space="0" w:color="auto"/>
        <w:left w:val="none" w:sz="0" w:space="0" w:color="auto"/>
        <w:bottom w:val="none" w:sz="0" w:space="0" w:color="auto"/>
        <w:right w:val="none" w:sz="0" w:space="0" w:color="auto"/>
      </w:divBdr>
    </w:div>
    <w:div w:id="266814040">
      <w:bodyDiv w:val="1"/>
      <w:marLeft w:val="0"/>
      <w:marRight w:val="0"/>
      <w:marTop w:val="0"/>
      <w:marBottom w:val="0"/>
      <w:divBdr>
        <w:top w:val="none" w:sz="0" w:space="0" w:color="auto"/>
        <w:left w:val="none" w:sz="0" w:space="0" w:color="auto"/>
        <w:bottom w:val="none" w:sz="0" w:space="0" w:color="auto"/>
        <w:right w:val="none" w:sz="0" w:space="0" w:color="auto"/>
      </w:divBdr>
    </w:div>
    <w:div w:id="267933651">
      <w:bodyDiv w:val="1"/>
      <w:marLeft w:val="0"/>
      <w:marRight w:val="0"/>
      <w:marTop w:val="0"/>
      <w:marBottom w:val="0"/>
      <w:divBdr>
        <w:top w:val="none" w:sz="0" w:space="0" w:color="auto"/>
        <w:left w:val="none" w:sz="0" w:space="0" w:color="auto"/>
        <w:bottom w:val="none" w:sz="0" w:space="0" w:color="auto"/>
        <w:right w:val="none" w:sz="0" w:space="0" w:color="auto"/>
      </w:divBdr>
    </w:div>
    <w:div w:id="269044938">
      <w:bodyDiv w:val="1"/>
      <w:marLeft w:val="0"/>
      <w:marRight w:val="0"/>
      <w:marTop w:val="0"/>
      <w:marBottom w:val="0"/>
      <w:divBdr>
        <w:top w:val="none" w:sz="0" w:space="0" w:color="auto"/>
        <w:left w:val="none" w:sz="0" w:space="0" w:color="auto"/>
        <w:bottom w:val="none" w:sz="0" w:space="0" w:color="auto"/>
        <w:right w:val="none" w:sz="0" w:space="0" w:color="auto"/>
      </w:divBdr>
    </w:div>
    <w:div w:id="269317437">
      <w:bodyDiv w:val="1"/>
      <w:marLeft w:val="0"/>
      <w:marRight w:val="0"/>
      <w:marTop w:val="0"/>
      <w:marBottom w:val="0"/>
      <w:divBdr>
        <w:top w:val="none" w:sz="0" w:space="0" w:color="auto"/>
        <w:left w:val="none" w:sz="0" w:space="0" w:color="auto"/>
        <w:bottom w:val="none" w:sz="0" w:space="0" w:color="auto"/>
        <w:right w:val="none" w:sz="0" w:space="0" w:color="auto"/>
      </w:divBdr>
    </w:div>
    <w:div w:id="269969351">
      <w:bodyDiv w:val="1"/>
      <w:marLeft w:val="0"/>
      <w:marRight w:val="0"/>
      <w:marTop w:val="0"/>
      <w:marBottom w:val="0"/>
      <w:divBdr>
        <w:top w:val="none" w:sz="0" w:space="0" w:color="auto"/>
        <w:left w:val="none" w:sz="0" w:space="0" w:color="auto"/>
        <w:bottom w:val="none" w:sz="0" w:space="0" w:color="auto"/>
        <w:right w:val="none" w:sz="0" w:space="0" w:color="auto"/>
      </w:divBdr>
    </w:div>
    <w:div w:id="270093740">
      <w:bodyDiv w:val="1"/>
      <w:marLeft w:val="0"/>
      <w:marRight w:val="0"/>
      <w:marTop w:val="0"/>
      <w:marBottom w:val="0"/>
      <w:divBdr>
        <w:top w:val="none" w:sz="0" w:space="0" w:color="auto"/>
        <w:left w:val="none" w:sz="0" w:space="0" w:color="auto"/>
        <w:bottom w:val="none" w:sz="0" w:space="0" w:color="auto"/>
        <w:right w:val="none" w:sz="0" w:space="0" w:color="auto"/>
      </w:divBdr>
    </w:div>
    <w:div w:id="271590790">
      <w:bodyDiv w:val="1"/>
      <w:marLeft w:val="0"/>
      <w:marRight w:val="0"/>
      <w:marTop w:val="0"/>
      <w:marBottom w:val="0"/>
      <w:divBdr>
        <w:top w:val="none" w:sz="0" w:space="0" w:color="auto"/>
        <w:left w:val="none" w:sz="0" w:space="0" w:color="auto"/>
        <w:bottom w:val="none" w:sz="0" w:space="0" w:color="auto"/>
        <w:right w:val="none" w:sz="0" w:space="0" w:color="auto"/>
      </w:divBdr>
    </w:div>
    <w:div w:id="271598837">
      <w:bodyDiv w:val="1"/>
      <w:marLeft w:val="0"/>
      <w:marRight w:val="0"/>
      <w:marTop w:val="0"/>
      <w:marBottom w:val="0"/>
      <w:divBdr>
        <w:top w:val="none" w:sz="0" w:space="0" w:color="auto"/>
        <w:left w:val="none" w:sz="0" w:space="0" w:color="auto"/>
        <w:bottom w:val="none" w:sz="0" w:space="0" w:color="auto"/>
        <w:right w:val="none" w:sz="0" w:space="0" w:color="auto"/>
      </w:divBdr>
    </w:div>
    <w:div w:id="271670823">
      <w:bodyDiv w:val="1"/>
      <w:marLeft w:val="0"/>
      <w:marRight w:val="0"/>
      <w:marTop w:val="0"/>
      <w:marBottom w:val="0"/>
      <w:divBdr>
        <w:top w:val="none" w:sz="0" w:space="0" w:color="auto"/>
        <w:left w:val="none" w:sz="0" w:space="0" w:color="auto"/>
        <w:bottom w:val="none" w:sz="0" w:space="0" w:color="auto"/>
        <w:right w:val="none" w:sz="0" w:space="0" w:color="auto"/>
      </w:divBdr>
    </w:div>
    <w:div w:id="273100791">
      <w:bodyDiv w:val="1"/>
      <w:marLeft w:val="0"/>
      <w:marRight w:val="0"/>
      <w:marTop w:val="0"/>
      <w:marBottom w:val="0"/>
      <w:divBdr>
        <w:top w:val="none" w:sz="0" w:space="0" w:color="auto"/>
        <w:left w:val="none" w:sz="0" w:space="0" w:color="auto"/>
        <w:bottom w:val="none" w:sz="0" w:space="0" w:color="auto"/>
        <w:right w:val="none" w:sz="0" w:space="0" w:color="auto"/>
      </w:divBdr>
    </w:div>
    <w:div w:id="275983881">
      <w:bodyDiv w:val="1"/>
      <w:marLeft w:val="0"/>
      <w:marRight w:val="0"/>
      <w:marTop w:val="0"/>
      <w:marBottom w:val="0"/>
      <w:divBdr>
        <w:top w:val="none" w:sz="0" w:space="0" w:color="auto"/>
        <w:left w:val="none" w:sz="0" w:space="0" w:color="auto"/>
        <w:bottom w:val="none" w:sz="0" w:space="0" w:color="auto"/>
        <w:right w:val="none" w:sz="0" w:space="0" w:color="auto"/>
      </w:divBdr>
    </w:div>
    <w:div w:id="276256208">
      <w:bodyDiv w:val="1"/>
      <w:marLeft w:val="0"/>
      <w:marRight w:val="0"/>
      <w:marTop w:val="0"/>
      <w:marBottom w:val="0"/>
      <w:divBdr>
        <w:top w:val="none" w:sz="0" w:space="0" w:color="auto"/>
        <w:left w:val="none" w:sz="0" w:space="0" w:color="auto"/>
        <w:bottom w:val="none" w:sz="0" w:space="0" w:color="auto"/>
        <w:right w:val="none" w:sz="0" w:space="0" w:color="auto"/>
      </w:divBdr>
    </w:div>
    <w:div w:id="276840725">
      <w:bodyDiv w:val="1"/>
      <w:marLeft w:val="0"/>
      <w:marRight w:val="0"/>
      <w:marTop w:val="0"/>
      <w:marBottom w:val="0"/>
      <w:divBdr>
        <w:top w:val="none" w:sz="0" w:space="0" w:color="auto"/>
        <w:left w:val="none" w:sz="0" w:space="0" w:color="auto"/>
        <w:bottom w:val="none" w:sz="0" w:space="0" w:color="auto"/>
        <w:right w:val="none" w:sz="0" w:space="0" w:color="auto"/>
      </w:divBdr>
    </w:div>
    <w:div w:id="277950456">
      <w:bodyDiv w:val="1"/>
      <w:marLeft w:val="0"/>
      <w:marRight w:val="0"/>
      <w:marTop w:val="0"/>
      <w:marBottom w:val="0"/>
      <w:divBdr>
        <w:top w:val="none" w:sz="0" w:space="0" w:color="auto"/>
        <w:left w:val="none" w:sz="0" w:space="0" w:color="auto"/>
        <w:bottom w:val="none" w:sz="0" w:space="0" w:color="auto"/>
        <w:right w:val="none" w:sz="0" w:space="0" w:color="auto"/>
      </w:divBdr>
    </w:div>
    <w:div w:id="278147591">
      <w:bodyDiv w:val="1"/>
      <w:marLeft w:val="0"/>
      <w:marRight w:val="0"/>
      <w:marTop w:val="0"/>
      <w:marBottom w:val="0"/>
      <w:divBdr>
        <w:top w:val="none" w:sz="0" w:space="0" w:color="auto"/>
        <w:left w:val="none" w:sz="0" w:space="0" w:color="auto"/>
        <w:bottom w:val="none" w:sz="0" w:space="0" w:color="auto"/>
        <w:right w:val="none" w:sz="0" w:space="0" w:color="auto"/>
      </w:divBdr>
    </w:div>
    <w:div w:id="280310202">
      <w:bodyDiv w:val="1"/>
      <w:marLeft w:val="0"/>
      <w:marRight w:val="0"/>
      <w:marTop w:val="0"/>
      <w:marBottom w:val="0"/>
      <w:divBdr>
        <w:top w:val="none" w:sz="0" w:space="0" w:color="auto"/>
        <w:left w:val="none" w:sz="0" w:space="0" w:color="auto"/>
        <w:bottom w:val="none" w:sz="0" w:space="0" w:color="auto"/>
        <w:right w:val="none" w:sz="0" w:space="0" w:color="auto"/>
      </w:divBdr>
    </w:div>
    <w:div w:id="281302561">
      <w:bodyDiv w:val="1"/>
      <w:marLeft w:val="0"/>
      <w:marRight w:val="0"/>
      <w:marTop w:val="0"/>
      <w:marBottom w:val="0"/>
      <w:divBdr>
        <w:top w:val="none" w:sz="0" w:space="0" w:color="auto"/>
        <w:left w:val="none" w:sz="0" w:space="0" w:color="auto"/>
        <w:bottom w:val="none" w:sz="0" w:space="0" w:color="auto"/>
        <w:right w:val="none" w:sz="0" w:space="0" w:color="auto"/>
      </w:divBdr>
    </w:div>
    <w:div w:id="282854521">
      <w:bodyDiv w:val="1"/>
      <w:marLeft w:val="0"/>
      <w:marRight w:val="0"/>
      <w:marTop w:val="0"/>
      <w:marBottom w:val="0"/>
      <w:divBdr>
        <w:top w:val="none" w:sz="0" w:space="0" w:color="auto"/>
        <w:left w:val="none" w:sz="0" w:space="0" w:color="auto"/>
        <w:bottom w:val="none" w:sz="0" w:space="0" w:color="auto"/>
        <w:right w:val="none" w:sz="0" w:space="0" w:color="auto"/>
      </w:divBdr>
    </w:div>
    <w:div w:id="284502263">
      <w:bodyDiv w:val="1"/>
      <w:marLeft w:val="0"/>
      <w:marRight w:val="0"/>
      <w:marTop w:val="0"/>
      <w:marBottom w:val="0"/>
      <w:divBdr>
        <w:top w:val="none" w:sz="0" w:space="0" w:color="auto"/>
        <w:left w:val="none" w:sz="0" w:space="0" w:color="auto"/>
        <w:bottom w:val="none" w:sz="0" w:space="0" w:color="auto"/>
        <w:right w:val="none" w:sz="0" w:space="0" w:color="auto"/>
      </w:divBdr>
    </w:div>
    <w:div w:id="285625266">
      <w:bodyDiv w:val="1"/>
      <w:marLeft w:val="0"/>
      <w:marRight w:val="0"/>
      <w:marTop w:val="0"/>
      <w:marBottom w:val="0"/>
      <w:divBdr>
        <w:top w:val="none" w:sz="0" w:space="0" w:color="auto"/>
        <w:left w:val="none" w:sz="0" w:space="0" w:color="auto"/>
        <w:bottom w:val="none" w:sz="0" w:space="0" w:color="auto"/>
        <w:right w:val="none" w:sz="0" w:space="0" w:color="auto"/>
      </w:divBdr>
    </w:div>
    <w:div w:id="286854996">
      <w:bodyDiv w:val="1"/>
      <w:marLeft w:val="0"/>
      <w:marRight w:val="0"/>
      <w:marTop w:val="0"/>
      <w:marBottom w:val="0"/>
      <w:divBdr>
        <w:top w:val="none" w:sz="0" w:space="0" w:color="auto"/>
        <w:left w:val="none" w:sz="0" w:space="0" w:color="auto"/>
        <w:bottom w:val="none" w:sz="0" w:space="0" w:color="auto"/>
        <w:right w:val="none" w:sz="0" w:space="0" w:color="auto"/>
      </w:divBdr>
    </w:div>
    <w:div w:id="287248759">
      <w:bodyDiv w:val="1"/>
      <w:marLeft w:val="0"/>
      <w:marRight w:val="0"/>
      <w:marTop w:val="0"/>
      <w:marBottom w:val="0"/>
      <w:divBdr>
        <w:top w:val="none" w:sz="0" w:space="0" w:color="auto"/>
        <w:left w:val="none" w:sz="0" w:space="0" w:color="auto"/>
        <w:bottom w:val="none" w:sz="0" w:space="0" w:color="auto"/>
        <w:right w:val="none" w:sz="0" w:space="0" w:color="auto"/>
      </w:divBdr>
    </w:div>
    <w:div w:id="287594491">
      <w:bodyDiv w:val="1"/>
      <w:marLeft w:val="0"/>
      <w:marRight w:val="0"/>
      <w:marTop w:val="0"/>
      <w:marBottom w:val="0"/>
      <w:divBdr>
        <w:top w:val="none" w:sz="0" w:space="0" w:color="auto"/>
        <w:left w:val="none" w:sz="0" w:space="0" w:color="auto"/>
        <w:bottom w:val="none" w:sz="0" w:space="0" w:color="auto"/>
        <w:right w:val="none" w:sz="0" w:space="0" w:color="auto"/>
      </w:divBdr>
    </w:div>
    <w:div w:id="288367257">
      <w:bodyDiv w:val="1"/>
      <w:marLeft w:val="0"/>
      <w:marRight w:val="0"/>
      <w:marTop w:val="0"/>
      <w:marBottom w:val="0"/>
      <w:divBdr>
        <w:top w:val="none" w:sz="0" w:space="0" w:color="auto"/>
        <w:left w:val="none" w:sz="0" w:space="0" w:color="auto"/>
        <w:bottom w:val="none" w:sz="0" w:space="0" w:color="auto"/>
        <w:right w:val="none" w:sz="0" w:space="0" w:color="auto"/>
      </w:divBdr>
    </w:div>
    <w:div w:id="289287490">
      <w:bodyDiv w:val="1"/>
      <w:marLeft w:val="0"/>
      <w:marRight w:val="0"/>
      <w:marTop w:val="0"/>
      <w:marBottom w:val="0"/>
      <w:divBdr>
        <w:top w:val="none" w:sz="0" w:space="0" w:color="auto"/>
        <w:left w:val="none" w:sz="0" w:space="0" w:color="auto"/>
        <w:bottom w:val="none" w:sz="0" w:space="0" w:color="auto"/>
        <w:right w:val="none" w:sz="0" w:space="0" w:color="auto"/>
      </w:divBdr>
    </w:div>
    <w:div w:id="290864629">
      <w:bodyDiv w:val="1"/>
      <w:marLeft w:val="0"/>
      <w:marRight w:val="0"/>
      <w:marTop w:val="0"/>
      <w:marBottom w:val="0"/>
      <w:divBdr>
        <w:top w:val="none" w:sz="0" w:space="0" w:color="auto"/>
        <w:left w:val="none" w:sz="0" w:space="0" w:color="auto"/>
        <w:bottom w:val="none" w:sz="0" w:space="0" w:color="auto"/>
        <w:right w:val="none" w:sz="0" w:space="0" w:color="auto"/>
      </w:divBdr>
    </w:div>
    <w:div w:id="291598661">
      <w:bodyDiv w:val="1"/>
      <w:marLeft w:val="0"/>
      <w:marRight w:val="0"/>
      <w:marTop w:val="0"/>
      <w:marBottom w:val="0"/>
      <w:divBdr>
        <w:top w:val="none" w:sz="0" w:space="0" w:color="auto"/>
        <w:left w:val="none" w:sz="0" w:space="0" w:color="auto"/>
        <w:bottom w:val="none" w:sz="0" w:space="0" w:color="auto"/>
        <w:right w:val="none" w:sz="0" w:space="0" w:color="auto"/>
      </w:divBdr>
    </w:div>
    <w:div w:id="292101552">
      <w:bodyDiv w:val="1"/>
      <w:marLeft w:val="0"/>
      <w:marRight w:val="0"/>
      <w:marTop w:val="0"/>
      <w:marBottom w:val="0"/>
      <w:divBdr>
        <w:top w:val="none" w:sz="0" w:space="0" w:color="auto"/>
        <w:left w:val="none" w:sz="0" w:space="0" w:color="auto"/>
        <w:bottom w:val="none" w:sz="0" w:space="0" w:color="auto"/>
        <w:right w:val="none" w:sz="0" w:space="0" w:color="auto"/>
      </w:divBdr>
    </w:div>
    <w:div w:id="293103126">
      <w:bodyDiv w:val="1"/>
      <w:marLeft w:val="0"/>
      <w:marRight w:val="0"/>
      <w:marTop w:val="0"/>
      <w:marBottom w:val="0"/>
      <w:divBdr>
        <w:top w:val="none" w:sz="0" w:space="0" w:color="auto"/>
        <w:left w:val="none" w:sz="0" w:space="0" w:color="auto"/>
        <w:bottom w:val="none" w:sz="0" w:space="0" w:color="auto"/>
        <w:right w:val="none" w:sz="0" w:space="0" w:color="auto"/>
      </w:divBdr>
    </w:div>
    <w:div w:id="294019604">
      <w:bodyDiv w:val="1"/>
      <w:marLeft w:val="0"/>
      <w:marRight w:val="0"/>
      <w:marTop w:val="0"/>
      <w:marBottom w:val="0"/>
      <w:divBdr>
        <w:top w:val="none" w:sz="0" w:space="0" w:color="auto"/>
        <w:left w:val="none" w:sz="0" w:space="0" w:color="auto"/>
        <w:bottom w:val="none" w:sz="0" w:space="0" w:color="auto"/>
        <w:right w:val="none" w:sz="0" w:space="0" w:color="auto"/>
      </w:divBdr>
    </w:div>
    <w:div w:id="294533554">
      <w:bodyDiv w:val="1"/>
      <w:marLeft w:val="0"/>
      <w:marRight w:val="0"/>
      <w:marTop w:val="0"/>
      <w:marBottom w:val="0"/>
      <w:divBdr>
        <w:top w:val="none" w:sz="0" w:space="0" w:color="auto"/>
        <w:left w:val="none" w:sz="0" w:space="0" w:color="auto"/>
        <w:bottom w:val="none" w:sz="0" w:space="0" w:color="auto"/>
        <w:right w:val="none" w:sz="0" w:space="0" w:color="auto"/>
      </w:divBdr>
    </w:div>
    <w:div w:id="294989851">
      <w:bodyDiv w:val="1"/>
      <w:marLeft w:val="0"/>
      <w:marRight w:val="0"/>
      <w:marTop w:val="0"/>
      <w:marBottom w:val="0"/>
      <w:divBdr>
        <w:top w:val="none" w:sz="0" w:space="0" w:color="auto"/>
        <w:left w:val="none" w:sz="0" w:space="0" w:color="auto"/>
        <w:bottom w:val="none" w:sz="0" w:space="0" w:color="auto"/>
        <w:right w:val="none" w:sz="0" w:space="0" w:color="auto"/>
      </w:divBdr>
    </w:div>
    <w:div w:id="301617470">
      <w:bodyDiv w:val="1"/>
      <w:marLeft w:val="0"/>
      <w:marRight w:val="0"/>
      <w:marTop w:val="0"/>
      <w:marBottom w:val="0"/>
      <w:divBdr>
        <w:top w:val="none" w:sz="0" w:space="0" w:color="auto"/>
        <w:left w:val="none" w:sz="0" w:space="0" w:color="auto"/>
        <w:bottom w:val="none" w:sz="0" w:space="0" w:color="auto"/>
        <w:right w:val="none" w:sz="0" w:space="0" w:color="auto"/>
      </w:divBdr>
    </w:div>
    <w:div w:id="302276787">
      <w:bodyDiv w:val="1"/>
      <w:marLeft w:val="0"/>
      <w:marRight w:val="0"/>
      <w:marTop w:val="0"/>
      <w:marBottom w:val="0"/>
      <w:divBdr>
        <w:top w:val="none" w:sz="0" w:space="0" w:color="auto"/>
        <w:left w:val="none" w:sz="0" w:space="0" w:color="auto"/>
        <w:bottom w:val="none" w:sz="0" w:space="0" w:color="auto"/>
        <w:right w:val="none" w:sz="0" w:space="0" w:color="auto"/>
      </w:divBdr>
    </w:div>
    <w:div w:id="302663769">
      <w:bodyDiv w:val="1"/>
      <w:marLeft w:val="0"/>
      <w:marRight w:val="0"/>
      <w:marTop w:val="0"/>
      <w:marBottom w:val="0"/>
      <w:divBdr>
        <w:top w:val="none" w:sz="0" w:space="0" w:color="auto"/>
        <w:left w:val="none" w:sz="0" w:space="0" w:color="auto"/>
        <w:bottom w:val="none" w:sz="0" w:space="0" w:color="auto"/>
        <w:right w:val="none" w:sz="0" w:space="0" w:color="auto"/>
      </w:divBdr>
    </w:div>
    <w:div w:id="303387123">
      <w:bodyDiv w:val="1"/>
      <w:marLeft w:val="0"/>
      <w:marRight w:val="0"/>
      <w:marTop w:val="0"/>
      <w:marBottom w:val="0"/>
      <w:divBdr>
        <w:top w:val="none" w:sz="0" w:space="0" w:color="auto"/>
        <w:left w:val="none" w:sz="0" w:space="0" w:color="auto"/>
        <w:bottom w:val="none" w:sz="0" w:space="0" w:color="auto"/>
        <w:right w:val="none" w:sz="0" w:space="0" w:color="auto"/>
      </w:divBdr>
    </w:div>
    <w:div w:id="304091330">
      <w:bodyDiv w:val="1"/>
      <w:marLeft w:val="0"/>
      <w:marRight w:val="0"/>
      <w:marTop w:val="0"/>
      <w:marBottom w:val="0"/>
      <w:divBdr>
        <w:top w:val="none" w:sz="0" w:space="0" w:color="auto"/>
        <w:left w:val="none" w:sz="0" w:space="0" w:color="auto"/>
        <w:bottom w:val="none" w:sz="0" w:space="0" w:color="auto"/>
        <w:right w:val="none" w:sz="0" w:space="0" w:color="auto"/>
      </w:divBdr>
    </w:div>
    <w:div w:id="304821721">
      <w:bodyDiv w:val="1"/>
      <w:marLeft w:val="0"/>
      <w:marRight w:val="0"/>
      <w:marTop w:val="0"/>
      <w:marBottom w:val="0"/>
      <w:divBdr>
        <w:top w:val="none" w:sz="0" w:space="0" w:color="auto"/>
        <w:left w:val="none" w:sz="0" w:space="0" w:color="auto"/>
        <w:bottom w:val="none" w:sz="0" w:space="0" w:color="auto"/>
        <w:right w:val="none" w:sz="0" w:space="0" w:color="auto"/>
      </w:divBdr>
    </w:div>
    <w:div w:id="304968359">
      <w:bodyDiv w:val="1"/>
      <w:marLeft w:val="0"/>
      <w:marRight w:val="0"/>
      <w:marTop w:val="0"/>
      <w:marBottom w:val="0"/>
      <w:divBdr>
        <w:top w:val="none" w:sz="0" w:space="0" w:color="auto"/>
        <w:left w:val="none" w:sz="0" w:space="0" w:color="auto"/>
        <w:bottom w:val="none" w:sz="0" w:space="0" w:color="auto"/>
        <w:right w:val="none" w:sz="0" w:space="0" w:color="auto"/>
      </w:divBdr>
    </w:div>
    <w:div w:id="306327813">
      <w:bodyDiv w:val="1"/>
      <w:marLeft w:val="0"/>
      <w:marRight w:val="0"/>
      <w:marTop w:val="0"/>
      <w:marBottom w:val="0"/>
      <w:divBdr>
        <w:top w:val="none" w:sz="0" w:space="0" w:color="auto"/>
        <w:left w:val="none" w:sz="0" w:space="0" w:color="auto"/>
        <w:bottom w:val="none" w:sz="0" w:space="0" w:color="auto"/>
        <w:right w:val="none" w:sz="0" w:space="0" w:color="auto"/>
      </w:divBdr>
    </w:div>
    <w:div w:id="306513827">
      <w:bodyDiv w:val="1"/>
      <w:marLeft w:val="0"/>
      <w:marRight w:val="0"/>
      <w:marTop w:val="0"/>
      <w:marBottom w:val="0"/>
      <w:divBdr>
        <w:top w:val="none" w:sz="0" w:space="0" w:color="auto"/>
        <w:left w:val="none" w:sz="0" w:space="0" w:color="auto"/>
        <w:bottom w:val="none" w:sz="0" w:space="0" w:color="auto"/>
        <w:right w:val="none" w:sz="0" w:space="0" w:color="auto"/>
      </w:divBdr>
    </w:div>
    <w:div w:id="306712960">
      <w:bodyDiv w:val="1"/>
      <w:marLeft w:val="0"/>
      <w:marRight w:val="0"/>
      <w:marTop w:val="0"/>
      <w:marBottom w:val="0"/>
      <w:divBdr>
        <w:top w:val="none" w:sz="0" w:space="0" w:color="auto"/>
        <w:left w:val="none" w:sz="0" w:space="0" w:color="auto"/>
        <w:bottom w:val="none" w:sz="0" w:space="0" w:color="auto"/>
        <w:right w:val="none" w:sz="0" w:space="0" w:color="auto"/>
      </w:divBdr>
    </w:div>
    <w:div w:id="307172173">
      <w:bodyDiv w:val="1"/>
      <w:marLeft w:val="0"/>
      <w:marRight w:val="0"/>
      <w:marTop w:val="0"/>
      <w:marBottom w:val="0"/>
      <w:divBdr>
        <w:top w:val="none" w:sz="0" w:space="0" w:color="auto"/>
        <w:left w:val="none" w:sz="0" w:space="0" w:color="auto"/>
        <w:bottom w:val="none" w:sz="0" w:space="0" w:color="auto"/>
        <w:right w:val="none" w:sz="0" w:space="0" w:color="auto"/>
      </w:divBdr>
    </w:div>
    <w:div w:id="307324696">
      <w:bodyDiv w:val="1"/>
      <w:marLeft w:val="0"/>
      <w:marRight w:val="0"/>
      <w:marTop w:val="0"/>
      <w:marBottom w:val="0"/>
      <w:divBdr>
        <w:top w:val="none" w:sz="0" w:space="0" w:color="auto"/>
        <w:left w:val="none" w:sz="0" w:space="0" w:color="auto"/>
        <w:bottom w:val="none" w:sz="0" w:space="0" w:color="auto"/>
        <w:right w:val="none" w:sz="0" w:space="0" w:color="auto"/>
      </w:divBdr>
    </w:div>
    <w:div w:id="307516756">
      <w:bodyDiv w:val="1"/>
      <w:marLeft w:val="0"/>
      <w:marRight w:val="0"/>
      <w:marTop w:val="0"/>
      <w:marBottom w:val="0"/>
      <w:divBdr>
        <w:top w:val="none" w:sz="0" w:space="0" w:color="auto"/>
        <w:left w:val="none" w:sz="0" w:space="0" w:color="auto"/>
        <w:bottom w:val="none" w:sz="0" w:space="0" w:color="auto"/>
        <w:right w:val="none" w:sz="0" w:space="0" w:color="auto"/>
      </w:divBdr>
    </w:div>
    <w:div w:id="307633640">
      <w:bodyDiv w:val="1"/>
      <w:marLeft w:val="0"/>
      <w:marRight w:val="0"/>
      <w:marTop w:val="0"/>
      <w:marBottom w:val="0"/>
      <w:divBdr>
        <w:top w:val="none" w:sz="0" w:space="0" w:color="auto"/>
        <w:left w:val="none" w:sz="0" w:space="0" w:color="auto"/>
        <w:bottom w:val="none" w:sz="0" w:space="0" w:color="auto"/>
        <w:right w:val="none" w:sz="0" w:space="0" w:color="auto"/>
      </w:divBdr>
    </w:div>
    <w:div w:id="311065330">
      <w:bodyDiv w:val="1"/>
      <w:marLeft w:val="0"/>
      <w:marRight w:val="0"/>
      <w:marTop w:val="0"/>
      <w:marBottom w:val="0"/>
      <w:divBdr>
        <w:top w:val="none" w:sz="0" w:space="0" w:color="auto"/>
        <w:left w:val="none" w:sz="0" w:space="0" w:color="auto"/>
        <w:bottom w:val="none" w:sz="0" w:space="0" w:color="auto"/>
        <w:right w:val="none" w:sz="0" w:space="0" w:color="auto"/>
      </w:divBdr>
    </w:div>
    <w:div w:id="311450416">
      <w:bodyDiv w:val="1"/>
      <w:marLeft w:val="0"/>
      <w:marRight w:val="0"/>
      <w:marTop w:val="0"/>
      <w:marBottom w:val="0"/>
      <w:divBdr>
        <w:top w:val="none" w:sz="0" w:space="0" w:color="auto"/>
        <w:left w:val="none" w:sz="0" w:space="0" w:color="auto"/>
        <w:bottom w:val="none" w:sz="0" w:space="0" w:color="auto"/>
        <w:right w:val="none" w:sz="0" w:space="0" w:color="auto"/>
      </w:divBdr>
    </w:div>
    <w:div w:id="312100479">
      <w:bodyDiv w:val="1"/>
      <w:marLeft w:val="0"/>
      <w:marRight w:val="0"/>
      <w:marTop w:val="0"/>
      <w:marBottom w:val="0"/>
      <w:divBdr>
        <w:top w:val="none" w:sz="0" w:space="0" w:color="auto"/>
        <w:left w:val="none" w:sz="0" w:space="0" w:color="auto"/>
        <w:bottom w:val="none" w:sz="0" w:space="0" w:color="auto"/>
        <w:right w:val="none" w:sz="0" w:space="0" w:color="auto"/>
      </w:divBdr>
    </w:div>
    <w:div w:id="312637933">
      <w:bodyDiv w:val="1"/>
      <w:marLeft w:val="0"/>
      <w:marRight w:val="0"/>
      <w:marTop w:val="0"/>
      <w:marBottom w:val="0"/>
      <w:divBdr>
        <w:top w:val="none" w:sz="0" w:space="0" w:color="auto"/>
        <w:left w:val="none" w:sz="0" w:space="0" w:color="auto"/>
        <w:bottom w:val="none" w:sz="0" w:space="0" w:color="auto"/>
        <w:right w:val="none" w:sz="0" w:space="0" w:color="auto"/>
      </w:divBdr>
    </w:div>
    <w:div w:id="313529056">
      <w:bodyDiv w:val="1"/>
      <w:marLeft w:val="0"/>
      <w:marRight w:val="0"/>
      <w:marTop w:val="0"/>
      <w:marBottom w:val="0"/>
      <w:divBdr>
        <w:top w:val="none" w:sz="0" w:space="0" w:color="auto"/>
        <w:left w:val="none" w:sz="0" w:space="0" w:color="auto"/>
        <w:bottom w:val="none" w:sz="0" w:space="0" w:color="auto"/>
        <w:right w:val="none" w:sz="0" w:space="0" w:color="auto"/>
      </w:divBdr>
    </w:div>
    <w:div w:id="313609798">
      <w:bodyDiv w:val="1"/>
      <w:marLeft w:val="0"/>
      <w:marRight w:val="0"/>
      <w:marTop w:val="0"/>
      <w:marBottom w:val="0"/>
      <w:divBdr>
        <w:top w:val="none" w:sz="0" w:space="0" w:color="auto"/>
        <w:left w:val="none" w:sz="0" w:space="0" w:color="auto"/>
        <w:bottom w:val="none" w:sz="0" w:space="0" w:color="auto"/>
        <w:right w:val="none" w:sz="0" w:space="0" w:color="auto"/>
      </w:divBdr>
    </w:div>
    <w:div w:id="313729803">
      <w:bodyDiv w:val="1"/>
      <w:marLeft w:val="0"/>
      <w:marRight w:val="0"/>
      <w:marTop w:val="0"/>
      <w:marBottom w:val="0"/>
      <w:divBdr>
        <w:top w:val="none" w:sz="0" w:space="0" w:color="auto"/>
        <w:left w:val="none" w:sz="0" w:space="0" w:color="auto"/>
        <w:bottom w:val="none" w:sz="0" w:space="0" w:color="auto"/>
        <w:right w:val="none" w:sz="0" w:space="0" w:color="auto"/>
      </w:divBdr>
    </w:div>
    <w:div w:id="314913153">
      <w:bodyDiv w:val="1"/>
      <w:marLeft w:val="0"/>
      <w:marRight w:val="0"/>
      <w:marTop w:val="0"/>
      <w:marBottom w:val="0"/>
      <w:divBdr>
        <w:top w:val="none" w:sz="0" w:space="0" w:color="auto"/>
        <w:left w:val="none" w:sz="0" w:space="0" w:color="auto"/>
        <w:bottom w:val="none" w:sz="0" w:space="0" w:color="auto"/>
        <w:right w:val="none" w:sz="0" w:space="0" w:color="auto"/>
      </w:divBdr>
    </w:div>
    <w:div w:id="316617243">
      <w:bodyDiv w:val="1"/>
      <w:marLeft w:val="0"/>
      <w:marRight w:val="0"/>
      <w:marTop w:val="0"/>
      <w:marBottom w:val="0"/>
      <w:divBdr>
        <w:top w:val="none" w:sz="0" w:space="0" w:color="auto"/>
        <w:left w:val="none" w:sz="0" w:space="0" w:color="auto"/>
        <w:bottom w:val="none" w:sz="0" w:space="0" w:color="auto"/>
        <w:right w:val="none" w:sz="0" w:space="0" w:color="auto"/>
      </w:divBdr>
    </w:div>
    <w:div w:id="318656393">
      <w:bodyDiv w:val="1"/>
      <w:marLeft w:val="0"/>
      <w:marRight w:val="0"/>
      <w:marTop w:val="0"/>
      <w:marBottom w:val="0"/>
      <w:divBdr>
        <w:top w:val="none" w:sz="0" w:space="0" w:color="auto"/>
        <w:left w:val="none" w:sz="0" w:space="0" w:color="auto"/>
        <w:bottom w:val="none" w:sz="0" w:space="0" w:color="auto"/>
        <w:right w:val="none" w:sz="0" w:space="0" w:color="auto"/>
      </w:divBdr>
    </w:div>
    <w:div w:id="319891354">
      <w:bodyDiv w:val="1"/>
      <w:marLeft w:val="0"/>
      <w:marRight w:val="0"/>
      <w:marTop w:val="0"/>
      <w:marBottom w:val="0"/>
      <w:divBdr>
        <w:top w:val="none" w:sz="0" w:space="0" w:color="auto"/>
        <w:left w:val="none" w:sz="0" w:space="0" w:color="auto"/>
        <w:bottom w:val="none" w:sz="0" w:space="0" w:color="auto"/>
        <w:right w:val="none" w:sz="0" w:space="0" w:color="auto"/>
      </w:divBdr>
    </w:div>
    <w:div w:id="321198533">
      <w:bodyDiv w:val="1"/>
      <w:marLeft w:val="0"/>
      <w:marRight w:val="0"/>
      <w:marTop w:val="0"/>
      <w:marBottom w:val="0"/>
      <w:divBdr>
        <w:top w:val="none" w:sz="0" w:space="0" w:color="auto"/>
        <w:left w:val="none" w:sz="0" w:space="0" w:color="auto"/>
        <w:bottom w:val="none" w:sz="0" w:space="0" w:color="auto"/>
        <w:right w:val="none" w:sz="0" w:space="0" w:color="auto"/>
      </w:divBdr>
    </w:div>
    <w:div w:id="321396362">
      <w:bodyDiv w:val="1"/>
      <w:marLeft w:val="0"/>
      <w:marRight w:val="0"/>
      <w:marTop w:val="0"/>
      <w:marBottom w:val="0"/>
      <w:divBdr>
        <w:top w:val="none" w:sz="0" w:space="0" w:color="auto"/>
        <w:left w:val="none" w:sz="0" w:space="0" w:color="auto"/>
        <w:bottom w:val="none" w:sz="0" w:space="0" w:color="auto"/>
        <w:right w:val="none" w:sz="0" w:space="0" w:color="auto"/>
      </w:divBdr>
    </w:div>
    <w:div w:id="321660453">
      <w:bodyDiv w:val="1"/>
      <w:marLeft w:val="0"/>
      <w:marRight w:val="0"/>
      <w:marTop w:val="0"/>
      <w:marBottom w:val="0"/>
      <w:divBdr>
        <w:top w:val="none" w:sz="0" w:space="0" w:color="auto"/>
        <w:left w:val="none" w:sz="0" w:space="0" w:color="auto"/>
        <w:bottom w:val="none" w:sz="0" w:space="0" w:color="auto"/>
        <w:right w:val="none" w:sz="0" w:space="0" w:color="auto"/>
      </w:divBdr>
    </w:div>
    <w:div w:id="322006422">
      <w:bodyDiv w:val="1"/>
      <w:marLeft w:val="0"/>
      <w:marRight w:val="0"/>
      <w:marTop w:val="0"/>
      <w:marBottom w:val="0"/>
      <w:divBdr>
        <w:top w:val="none" w:sz="0" w:space="0" w:color="auto"/>
        <w:left w:val="none" w:sz="0" w:space="0" w:color="auto"/>
        <w:bottom w:val="none" w:sz="0" w:space="0" w:color="auto"/>
        <w:right w:val="none" w:sz="0" w:space="0" w:color="auto"/>
      </w:divBdr>
    </w:div>
    <w:div w:id="322591053">
      <w:bodyDiv w:val="1"/>
      <w:marLeft w:val="0"/>
      <w:marRight w:val="0"/>
      <w:marTop w:val="0"/>
      <w:marBottom w:val="0"/>
      <w:divBdr>
        <w:top w:val="none" w:sz="0" w:space="0" w:color="auto"/>
        <w:left w:val="none" w:sz="0" w:space="0" w:color="auto"/>
        <w:bottom w:val="none" w:sz="0" w:space="0" w:color="auto"/>
        <w:right w:val="none" w:sz="0" w:space="0" w:color="auto"/>
      </w:divBdr>
    </w:div>
    <w:div w:id="324088133">
      <w:bodyDiv w:val="1"/>
      <w:marLeft w:val="0"/>
      <w:marRight w:val="0"/>
      <w:marTop w:val="0"/>
      <w:marBottom w:val="0"/>
      <w:divBdr>
        <w:top w:val="none" w:sz="0" w:space="0" w:color="auto"/>
        <w:left w:val="none" w:sz="0" w:space="0" w:color="auto"/>
        <w:bottom w:val="none" w:sz="0" w:space="0" w:color="auto"/>
        <w:right w:val="none" w:sz="0" w:space="0" w:color="auto"/>
      </w:divBdr>
    </w:div>
    <w:div w:id="325060643">
      <w:bodyDiv w:val="1"/>
      <w:marLeft w:val="0"/>
      <w:marRight w:val="0"/>
      <w:marTop w:val="0"/>
      <w:marBottom w:val="0"/>
      <w:divBdr>
        <w:top w:val="none" w:sz="0" w:space="0" w:color="auto"/>
        <w:left w:val="none" w:sz="0" w:space="0" w:color="auto"/>
        <w:bottom w:val="none" w:sz="0" w:space="0" w:color="auto"/>
        <w:right w:val="none" w:sz="0" w:space="0" w:color="auto"/>
      </w:divBdr>
    </w:div>
    <w:div w:id="325599262">
      <w:bodyDiv w:val="1"/>
      <w:marLeft w:val="0"/>
      <w:marRight w:val="0"/>
      <w:marTop w:val="0"/>
      <w:marBottom w:val="0"/>
      <w:divBdr>
        <w:top w:val="none" w:sz="0" w:space="0" w:color="auto"/>
        <w:left w:val="none" w:sz="0" w:space="0" w:color="auto"/>
        <w:bottom w:val="none" w:sz="0" w:space="0" w:color="auto"/>
        <w:right w:val="none" w:sz="0" w:space="0" w:color="auto"/>
      </w:divBdr>
    </w:div>
    <w:div w:id="325790430">
      <w:bodyDiv w:val="1"/>
      <w:marLeft w:val="0"/>
      <w:marRight w:val="0"/>
      <w:marTop w:val="0"/>
      <w:marBottom w:val="0"/>
      <w:divBdr>
        <w:top w:val="none" w:sz="0" w:space="0" w:color="auto"/>
        <w:left w:val="none" w:sz="0" w:space="0" w:color="auto"/>
        <w:bottom w:val="none" w:sz="0" w:space="0" w:color="auto"/>
        <w:right w:val="none" w:sz="0" w:space="0" w:color="auto"/>
      </w:divBdr>
    </w:div>
    <w:div w:id="325862640">
      <w:bodyDiv w:val="1"/>
      <w:marLeft w:val="0"/>
      <w:marRight w:val="0"/>
      <w:marTop w:val="0"/>
      <w:marBottom w:val="0"/>
      <w:divBdr>
        <w:top w:val="none" w:sz="0" w:space="0" w:color="auto"/>
        <w:left w:val="none" w:sz="0" w:space="0" w:color="auto"/>
        <w:bottom w:val="none" w:sz="0" w:space="0" w:color="auto"/>
        <w:right w:val="none" w:sz="0" w:space="0" w:color="auto"/>
      </w:divBdr>
    </w:div>
    <w:div w:id="327294855">
      <w:bodyDiv w:val="1"/>
      <w:marLeft w:val="0"/>
      <w:marRight w:val="0"/>
      <w:marTop w:val="0"/>
      <w:marBottom w:val="0"/>
      <w:divBdr>
        <w:top w:val="none" w:sz="0" w:space="0" w:color="auto"/>
        <w:left w:val="none" w:sz="0" w:space="0" w:color="auto"/>
        <w:bottom w:val="none" w:sz="0" w:space="0" w:color="auto"/>
        <w:right w:val="none" w:sz="0" w:space="0" w:color="auto"/>
      </w:divBdr>
    </w:div>
    <w:div w:id="327634172">
      <w:bodyDiv w:val="1"/>
      <w:marLeft w:val="0"/>
      <w:marRight w:val="0"/>
      <w:marTop w:val="0"/>
      <w:marBottom w:val="0"/>
      <w:divBdr>
        <w:top w:val="none" w:sz="0" w:space="0" w:color="auto"/>
        <w:left w:val="none" w:sz="0" w:space="0" w:color="auto"/>
        <w:bottom w:val="none" w:sz="0" w:space="0" w:color="auto"/>
        <w:right w:val="none" w:sz="0" w:space="0" w:color="auto"/>
      </w:divBdr>
    </w:div>
    <w:div w:id="327681377">
      <w:bodyDiv w:val="1"/>
      <w:marLeft w:val="0"/>
      <w:marRight w:val="0"/>
      <w:marTop w:val="0"/>
      <w:marBottom w:val="0"/>
      <w:divBdr>
        <w:top w:val="none" w:sz="0" w:space="0" w:color="auto"/>
        <w:left w:val="none" w:sz="0" w:space="0" w:color="auto"/>
        <w:bottom w:val="none" w:sz="0" w:space="0" w:color="auto"/>
        <w:right w:val="none" w:sz="0" w:space="0" w:color="auto"/>
      </w:divBdr>
    </w:div>
    <w:div w:id="327712144">
      <w:bodyDiv w:val="1"/>
      <w:marLeft w:val="0"/>
      <w:marRight w:val="0"/>
      <w:marTop w:val="0"/>
      <w:marBottom w:val="0"/>
      <w:divBdr>
        <w:top w:val="none" w:sz="0" w:space="0" w:color="auto"/>
        <w:left w:val="none" w:sz="0" w:space="0" w:color="auto"/>
        <w:bottom w:val="none" w:sz="0" w:space="0" w:color="auto"/>
        <w:right w:val="none" w:sz="0" w:space="0" w:color="auto"/>
      </w:divBdr>
    </w:div>
    <w:div w:id="328145623">
      <w:bodyDiv w:val="1"/>
      <w:marLeft w:val="0"/>
      <w:marRight w:val="0"/>
      <w:marTop w:val="0"/>
      <w:marBottom w:val="0"/>
      <w:divBdr>
        <w:top w:val="none" w:sz="0" w:space="0" w:color="auto"/>
        <w:left w:val="none" w:sz="0" w:space="0" w:color="auto"/>
        <w:bottom w:val="none" w:sz="0" w:space="0" w:color="auto"/>
        <w:right w:val="none" w:sz="0" w:space="0" w:color="auto"/>
      </w:divBdr>
    </w:div>
    <w:div w:id="328826686">
      <w:bodyDiv w:val="1"/>
      <w:marLeft w:val="0"/>
      <w:marRight w:val="0"/>
      <w:marTop w:val="0"/>
      <w:marBottom w:val="0"/>
      <w:divBdr>
        <w:top w:val="none" w:sz="0" w:space="0" w:color="auto"/>
        <w:left w:val="none" w:sz="0" w:space="0" w:color="auto"/>
        <w:bottom w:val="none" w:sz="0" w:space="0" w:color="auto"/>
        <w:right w:val="none" w:sz="0" w:space="0" w:color="auto"/>
      </w:divBdr>
    </w:div>
    <w:div w:id="329019830">
      <w:bodyDiv w:val="1"/>
      <w:marLeft w:val="0"/>
      <w:marRight w:val="0"/>
      <w:marTop w:val="0"/>
      <w:marBottom w:val="0"/>
      <w:divBdr>
        <w:top w:val="none" w:sz="0" w:space="0" w:color="auto"/>
        <w:left w:val="none" w:sz="0" w:space="0" w:color="auto"/>
        <w:bottom w:val="none" w:sz="0" w:space="0" w:color="auto"/>
        <w:right w:val="none" w:sz="0" w:space="0" w:color="auto"/>
      </w:divBdr>
    </w:div>
    <w:div w:id="330137111">
      <w:bodyDiv w:val="1"/>
      <w:marLeft w:val="0"/>
      <w:marRight w:val="0"/>
      <w:marTop w:val="0"/>
      <w:marBottom w:val="0"/>
      <w:divBdr>
        <w:top w:val="none" w:sz="0" w:space="0" w:color="auto"/>
        <w:left w:val="none" w:sz="0" w:space="0" w:color="auto"/>
        <w:bottom w:val="none" w:sz="0" w:space="0" w:color="auto"/>
        <w:right w:val="none" w:sz="0" w:space="0" w:color="auto"/>
      </w:divBdr>
    </w:div>
    <w:div w:id="331563705">
      <w:bodyDiv w:val="1"/>
      <w:marLeft w:val="0"/>
      <w:marRight w:val="0"/>
      <w:marTop w:val="0"/>
      <w:marBottom w:val="0"/>
      <w:divBdr>
        <w:top w:val="none" w:sz="0" w:space="0" w:color="auto"/>
        <w:left w:val="none" w:sz="0" w:space="0" w:color="auto"/>
        <w:bottom w:val="none" w:sz="0" w:space="0" w:color="auto"/>
        <w:right w:val="none" w:sz="0" w:space="0" w:color="auto"/>
      </w:divBdr>
    </w:div>
    <w:div w:id="333651258">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6156032">
      <w:bodyDiv w:val="1"/>
      <w:marLeft w:val="0"/>
      <w:marRight w:val="0"/>
      <w:marTop w:val="0"/>
      <w:marBottom w:val="0"/>
      <w:divBdr>
        <w:top w:val="none" w:sz="0" w:space="0" w:color="auto"/>
        <w:left w:val="none" w:sz="0" w:space="0" w:color="auto"/>
        <w:bottom w:val="none" w:sz="0" w:space="0" w:color="auto"/>
        <w:right w:val="none" w:sz="0" w:space="0" w:color="auto"/>
      </w:divBdr>
    </w:div>
    <w:div w:id="337462019">
      <w:bodyDiv w:val="1"/>
      <w:marLeft w:val="0"/>
      <w:marRight w:val="0"/>
      <w:marTop w:val="0"/>
      <w:marBottom w:val="0"/>
      <w:divBdr>
        <w:top w:val="none" w:sz="0" w:space="0" w:color="auto"/>
        <w:left w:val="none" w:sz="0" w:space="0" w:color="auto"/>
        <w:bottom w:val="none" w:sz="0" w:space="0" w:color="auto"/>
        <w:right w:val="none" w:sz="0" w:space="0" w:color="auto"/>
      </w:divBdr>
    </w:div>
    <w:div w:id="337929863">
      <w:bodyDiv w:val="1"/>
      <w:marLeft w:val="0"/>
      <w:marRight w:val="0"/>
      <w:marTop w:val="0"/>
      <w:marBottom w:val="0"/>
      <w:divBdr>
        <w:top w:val="none" w:sz="0" w:space="0" w:color="auto"/>
        <w:left w:val="none" w:sz="0" w:space="0" w:color="auto"/>
        <w:bottom w:val="none" w:sz="0" w:space="0" w:color="auto"/>
        <w:right w:val="none" w:sz="0" w:space="0" w:color="auto"/>
      </w:divBdr>
    </w:div>
    <w:div w:id="339238028">
      <w:bodyDiv w:val="1"/>
      <w:marLeft w:val="0"/>
      <w:marRight w:val="0"/>
      <w:marTop w:val="0"/>
      <w:marBottom w:val="0"/>
      <w:divBdr>
        <w:top w:val="none" w:sz="0" w:space="0" w:color="auto"/>
        <w:left w:val="none" w:sz="0" w:space="0" w:color="auto"/>
        <w:bottom w:val="none" w:sz="0" w:space="0" w:color="auto"/>
        <w:right w:val="none" w:sz="0" w:space="0" w:color="auto"/>
      </w:divBdr>
    </w:div>
    <w:div w:id="340662600">
      <w:bodyDiv w:val="1"/>
      <w:marLeft w:val="0"/>
      <w:marRight w:val="0"/>
      <w:marTop w:val="0"/>
      <w:marBottom w:val="0"/>
      <w:divBdr>
        <w:top w:val="none" w:sz="0" w:space="0" w:color="auto"/>
        <w:left w:val="none" w:sz="0" w:space="0" w:color="auto"/>
        <w:bottom w:val="none" w:sz="0" w:space="0" w:color="auto"/>
        <w:right w:val="none" w:sz="0" w:space="0" w:color="auto"/>
      </w:divBdr>
    </w:div>
    <w:div w:id="340817509">
      <w:bodyDiv w:val="1"/>
      <w:marLeft w:val="0"/>
      <w:marRight w:val="0"/>
      <w:marTop w:val="0"/>
      <w:marBottom w:val="0"/>
      <w:divBdr>
        <w:top w:val="none" w:sz="0" w:space="0" w:color="auto"/>
        <w:left w:val="none" w:sz="0" w:space="0" w:color="auto"/>
        <w:bottom w:val="none" w:sz="0" w:space="0" w:color="auto"/>
        <w:right w:val="none" w:sz="0" w:space="0" w:color="auto"/>
      </w:divBdr>
    </w:div>
    <w:div w:id="341127245">
      <w:bodyDiv w:val="1"/>
      <w:marLeft w:val="0"/>
      <w:marRight w:val="0"/>
      <w:marTop w:val="0"/>
      <w:marBottom w:val="0"/>
      <w:divBdr>
        <w:top w:val="none" w:sz="0" w:space="0" w:color="auto"/>
        <w:left w:val="none" w:sz="0" w:space="0" w:color="auto"/>
        <w:bottom w:val="none" w:sz="0" w:space="0" w:color="auto"/>
        <w:right w:val="none" w:sz="0" w:space="0" w:color="auto"/>
      </w:divBdr>
    </w:div>
    <w:div w:id="341856708">
      <w:bodyDiv w:val="1"/>
      <w:marLeft w:val="0"/>
      <w:marRight w:val="0"/>
      <w:marTop w:val="0"/>
      <w:marBottom w:val="0"/>
      <w:divBdr>
        <w:top w:val="none" w:sz="0" w:space="0" w:color="auto"/>
        <w:left w:val="none" w:sz="0" w:space="0" w:color="auto"/>
        <w:bottom w:val="none" w:sz="0" w:space="0" w:color="auto"/>
        <w:right w:val="none" w:sz="0" w:space="0" w:color="auto"/>
      </w:divBdr>
    </w:div>
    <w:div w:id="342781714">
      <w:bodyDiv w:val="1"/>
      <w:marLeft w:val="0"/>
      <w:marRight w:val="0"/>
      <w:marTop w:val="0"/>
      <w:marBottom w:val="0"/>
      <w:divBdr>
        <w:top w:val="none" w:sz="0" w:space="0" w:color="auto"/>
        <w:left w:val="none" w:sz="0" w:space="0" w:color="auto"/>
        <w:bottom w:val="none" w:sz="0" w:space="0" w:color="auto"/>
        <w:right w:val="none" w:sz="0" w:space="0" w:color="auto"/>
      </w:divBdr>
    </w:div>
    <w:div w:id="343672973">
      <w:bodyDiv w:val="1"/>
      <w:marLeft w:val="0"/>
      <w:marRight w:val="0"/>
      <w:marTop w:val="0"/>
      <w:marBottom w:val="0"/>
      <w:divBdr>
        <w:top w:val="none" w:sz="0" w:space="0" w:color="auto"/>
        <w:left w:val="none" w:sz="0" w:space="0" w:color="auto"/>
        <w:bottom w:val="none" w:sz="0" w:space="0" w:color="auto"/>
        <w:right w:val="none" w:sz="0" w:space="0" w:color="auto"/>
      </w:divBdr>
    </w:div>
    <w:div w:id="343748601">
      <w:bodyDiv w:val="1"/>
      <w:marLeft w:val="0"/>
      <w:marRight w:val="0"/>
      <w:marTop w:val="0"/>
      <w:marBottom w:val="0"/>
      <w:divBdr>
        <w:top w:val="none" w:sz="0" w:space="0" w:color="auto"/>
        <w:left w:val="none" w:sz="0" w:space="0" w:color="auto"/>
        <w:bottom w:val="none" w:sz="0" w:space="0" w:color="auto"/>
        <w:right w:val="none" w:sz="0" w:space="0" w:color="auto"/>
      </w:divBdr>
    </w:div>
    <w:div w:id="344022084">
      <w:bodyDiv w:val="1"/>
      <w:marLeft w:val="0"/>
      <w:marRight w:val="0"/>
      <w:marTop w:val="0"/>
      <w:marBottom w:val="0"/>
      <w:divBdr>
        <w:top w:val="none" w:sz="0" w:space="0" w:color="auto"/>
        <w:left w:val="none" w:sz="0" w:space="0" w:color="auto"/>
        <w:bottom w:val="none" w:sz="0" w:space="0" w:color="auto"/>
        <w:right w:val="none" w:sz="0" w:space="0" w:color="auto"/>
      </w:divBdr>
    </w:div>
    <w:div w:id="346955401">
      <w:bodyDiv w:val="1"/>
      <w:marLeft w:val="0"/>
      <w:marRight w:val="0"/>
      <w:marTop w:val="0"/>
      <w:marBottom w:val="0"/>
      <w:divBdr>
        <w:top w:val="none" w:sz="0" w:space="0" w:color="auto"/>
        <w:left w:val="none" w:sz="0" w:space="0" w:color="auto"/>
        <w:bottom w:val="none" w:sz="0" w:space="0" w:color="auto"/>
        <w:right w:val="none" w:sz="0" w:space="0" w:color="auto"/>
      </w:divBdr>
    </w:div>
    <w:div w:id="347217804">
      <w:bodyDiv w:val="1"/>
      <w:marLeft w:val="0"/>
      <w:marRight w:val="0"/>
      <w:marTop w:val="0"/>
      <w:marBottom w:val="0"/>
      <w:divBdr>
        <w:top w:val="none" w:sz="0" w:space="0" w:color="auto"/>
        <w:left w:val="none" w:sz="0" w:space="0" w:color="auto"/>
        <w:bottom w:val="none" w:sz="0" w:space="0" w:color="auto"/>
        <w:right w:val="none" w:sz="0" w:space="0" w:color="auto"/>
      </w:divBdr>
    </w:div>
    <w:div w:id="347219748">
      <w:bodyDiv w:val="1"/>
      <w:marLeft w:val="0"/>
      <w:marRight w:val="0"/>
      <w:marTop w:val="0"/>
      <w:marBottom w:val="0"/>
      <w:divBdr>
        <w:top w:val="none" w:sz="0" w:space="0" w:color="auto"/>
        <w:left w:val="none" w:sz="0" w:space="0" w:color="auto"/>
        <w:bottom w:val="none" w:sz="0" w:space="0" w:color="auto"/>
        <w:right w:val="none" w:sz="0" w:space="0" w:color="auto"/>
      </w:divBdr>
    </w:div>
    <w:div w:id="348020332">
      <w:bodyDiv w:val="1"/>
      <w:marLeft w:val="0"/>
      <w:marRight w:val="0"/>
      <w:marTop w:val="0"/>
      <w:marBottom w:val="0"/>
      <w:divBdr>
        <w:top w:val="none" w:sz="0" w:space="0" w:color="auto"/>
        <w:left w:val="none" w:sz="0" w:space="0" w:color="auto"/>
        <w:bottom w:val="none" w:sz="0" w:space="0" w:color="auto"/>
        <w:right w:val="none" w:sz="0" w:space="0" w:color="auto"/>
      </w:divBdr>
    </w:div>
    <w:div w:id="352345067">
      <w:bodyDiv w:val="1"/>
      <w:marLeft w:val="0"/>
      <w:marRight w:val="0"/>
      <w:marTop w:val="0"/>
      <w:marBottom w:val="0"/>
      <w:divBdr>
        <w:top w:val="none" w:sz="0" w:space="0" w:color="auto"/>
        <w:left w:val="none" w:sz="0" w:space="0" w:color="auto"/>
        <w:bottom w:val="none" w:sz="0" w:space="0" w:color="auto"/>
        <w:right w:val="none" w:sz="0" w:space="0" w:color="auto"/>
      </w:divBdr>
    </w:div>
    <w:div w:id="354157861">
      <w:bodyDiv w:val="1"/>
      <w:marLeft w:val="0"/>
      <w:marRight w:val="0"/>
      <w:marTop w:val="0"/>
      <w:marBottom w:val="0"/>
      <w:divBdr>
        <w:top w:val="none" w:sz="0" w:space="0" w:color="auto"/>
        <w:left w:val="none" w:sz="0" w:space="0" w:color="auto"/>
        <w:bottom w:val="none" w:sz="0" w:space="0" w:color="auto"/>
        <w:right w:val="none" w:sz="0" w:space="0" w:color="auto"/>
      </w:divBdr>
    </w:div>
    <w:div w:id="354577039">
      <w:bodyDiv w:val="1"/>
      <w:marLeft w:val="0"/>
      <w:marRight w:val="0"/>
      <w:marTop w:val="0"/>
      <w:marBottom w:val="0"/>
      <w:divBdr>
        <w:top w:val="none" w:sz="0" w:space="0" w:color="auto"/>
        <w:left w:val="none" w:sz="0" w:space="0" w:color="auto"/>
        <w:bottom w:val="none" w:sz="0" w:space="0" w:color="auto"/>
        <w:right w:val="none" w:sz="0" w:space="0" w:color="auto"/>
      </w:divBdr>
    </w:div>
    <w:div w:id="354578448">
      <w:bodyDiv w:val="1"/>
      <w:marLeft w:val="0"/>
      <w:marRight w:val="0"/>
      <w:marTop w:val="0"/>
      <w:marBottom w:val="0"/>
      <w:divBdr>
        <w:top w:val="none" w:sz="0" w:space="0" w:color="auto"/>
        <w:left w:val="none" w:sz="0" w:space="0" w:color="auto"/>
        <w:bottom w:val="none" w:sz="0" w:space="0" w:color="auto"/>
        <w:right w:val="none" w:sz="0" w:space="0" w:color="auto"/>
      </w:divBdr>
    </w:div>
    <w:div w:id="355078434">
      <w:bodyDiv w:val="1"/>
      <w:marLeft w:val="0"/>
      <w:marRight w:val="0"/>
      <w:marTop w:val="0"/>
      <w:marBottom w:val="0"/>
      <w:divBdr>
        <w:top w:val="none" w:sz="0" w:space="0" w:color="auto"/>
        <w:left w:val="none" w:sz="0" w:space="0" w:color="auto"/>
        <w:bottom w:val="none" w:sz="0" w:space="0" w:color="auto"/>
        <w:right w:val="none" w:sz="0" w:space="0" w:color="auto"/>
      </w:divBdr>
    </w:div>
    <w:div w:id="355548923">
      <w:bodyDiv w:val="1"/>
      <w:marLeft w:val="0"/>
      <w:marRight w:val="0"/>
      <w:marTop w:val="0"/>
      <w:marBottom w:val="0"/>
      <w:divBdr>
        <w:top w:val="none" w:sz="0" w:space="0" w:color="auto"/>
        <w:left w:val="none" w:sz="0" w:space="0" w:color="auto"/>
        <w:bottom w:val="none" w:sz="0" w:space="0" w:color="auto"/>
        <w:right w:val="none" w:sz="0" w:space="0" w:color="auto"/>
      </w:divBdr>
    </w:div>
    <w:div w:id="355665118">
      <w:bodyDiv w:val="1"/>
      <w:marLeft w:val="0"/>
      <w:marRight w:val="0"/>
      <w:marTop w:val="0"/>
      <w:marBottom w:val="0"/>
      <w:divBdr>
        <w:top w:val="none" w:sz="0" w:space="0" w:color="auto"/>
        <w:left w:val="none" w:sz="0" w:space="0" w:color="auto"/>
        <w:bottom w:val="none" w:sz="0" w:space="0" w:color="auto"/>
        <w:right w:val="none" w:sz="0" w:space="0" w:color="auto"/>
      </w:divBdr>
    </w:div>
    <w:div w:id="356271050">
      <w:bodyDiv w:val="1"/>
      <w:marLeft w:val="0"/>
      <w:marRight w:val="0"/>
      <w:marTop w:val="0"/>
      <w:marBottom w:val="0"/>
      <w:divBdr>
        <w:top w:val="none" w:sz="0" w:space="0" w:color="auto"/>
        <w:left w:val="none" w:sz="0" w:space="0" w:color="auto"/>
        <w:bottom w:val="none" w:sz="0" w:space="0" w:color="auto"/>
        <w:right w:val="none" w:sz="0" w:space="0" w:color="auto"/>
      </w:divBdr>
    </w:div>
    <w:div w:id="356591120">
      <w:bodyDiv w:val="1"/>
      <w:marLeft w:val="0"/>
      <w:marRight w:val="0"/>
      <w:marTop w:val="0"/>
      <w:marBottom w:val="0"/>
      <w:divBdr>
        <w:top w:val="none" w:sz="0" w:space="0" w:color="auto"/>
        <w:left w:val="none" w:sz="0" w:space="0" w:color="auto"/>
        <w:bottom w:val="none" w:sz="0" w:space="0" w:color="auto"/>
        <w:right w:val="none" w:sz="0" w:space="0" w:color="auto"/>
      </w:divBdr>
    </w:div>
    <w:div w:id="359748910">
      <w:bodyDiv w:val="1"/>
      <w:marLeft w:val="0"/>
      <w:marRight w:val="0"/>
      <w:marTop w:val="0"/>
      <w:marBottom w:val="0"/>
      <w:divBdr>
        <w:top w:val="none" w:sz="0" w:space="0" w:color="auto"/>
        <w:left w:val="none" w:sz="0" w:space="0" w:color="auto"/>
        <w:bottom w:val="none" w:sz="0" w:space="0" w:color="auto"/>
        <w:right w:val="none" w:sz="0" w:space="0" w:color="auto"/>
      </w:divBdr>
    </w:div>
    <w:div w:id="360597337">
      <w:bodyDiv w:val="1"/>
      <w:marLeft w:val="0"/>
      <w:marRight w:val="0"/>
      <w:marTop w:val="0"/>
      <w:marBottom w:val="0"/>
      <w:divBdr>
        <w:top w:val="none" w:sz="0" w:space="0" w:color="auto"/>
        <w:left w:val="none" w:sz="0" w:space="0" w:color="auto"/>
        <w:bottom w:val="none" w:sz="0" w:space="0" w:color="auto"/>
        <w:right w:val="none" w:sz="0" w:space="0" w:color="auto"/>
      </w:divBdr>
    </w:div>
    <w:div w:id="361636998">
      <w:bodyDiv w:val="1"/>
      <w:marLeft w:val="0"/>
      <w:marRight w:val="0"/>
      <w:marTop w:val="0"/>
      <w:marBottom w:val="0"/>
      <w:divBdr>
        <w:top w:val="none" w:sz="0" w:space="0" w:color="auto"/>
        <w:left w:val="none" w:sz="0" w:space="0" w:color="auto"/>
        <w:bottom w:val="none" w:sz="0" w:space="0" w:color="auto"/>
        <w:right w:val="none" w:sz="0" w:space="0" w:color="auto"/>
      </w:divBdr>
    </w:div>
    <w:div w:id="362023129">
      <w:bodyDiv w:val="1"/>
      <w:marLeft w:val="0"/>
      <w:marRight w:val="0"/>
      <w:marTop w:val="0"/>
      <w:marBottom w:val="0"/>
      <w:divBdr>
        <w:top w:val="none" w:sz="0" w:space="0" w:color="auto"/>
        <w:left w:val="none" w:sz="0" w:space="0" w:color="auto"/>
        <w:bottom w:val="none" w:sz="0" w:space="0" w:color="auto"/>
        <w:right w:val="none" w:sz="0" w:space="0" w:color="auto"/>
      </w:divBdr>
    </w:div>
    <w:div w:id="362828987">
      <w:bodyDiv w:val="1"/>
      <w:marLeft w:val="0"/>
      <w:marRight w:val="0"/>
      <w:marTop w:val="0"/>
      <w:marBottom w:val="0"/>
      <w:divBdr>
        <w:top w:val="none" w:sz="0" w:space="0" w:color="auto"/>
        <w:left w:val="none" w:sz="0" w:space="0" w:color="auto"/>
        <w:bottom w:val="none" w:sz="0" w:space="0" w:color="auto"/>
        <w:right w:val="none" w:sz="0" w:space="0" w:color="auto"/>
      </w:divBdr>
    </w:div>
    <w:div w:id="364714527">
      <w:bodyDiv w:val="1"/>
      <w:marLeft w:val="0"/>
      <w:marRight w:val="0"/>
      <w:marTop w:val="0"/>
      <w:marBottom w:val="0"/>
      <w:divBdr>
        <w:top w:val="none" w:sz="0" w:space="0" w:color="auto"/>
        <w:left w:val="none" w:sz="0" w:space="0" w:color="auto"/>
        <w:bottom w:val="none" w:sz="0" w:space="0" w:color="auto"/>
        <w:right w:val="none" w:sz="0" w:space="0" w:color="auto"/>
      </w:divBdr>
    </w:div>
    <w:div w:id="367529855">
      <w:bodyDiv w:val="1"/>
      <w:marLeft w:val="0"/>
      <w:marRight w:val="0"/>
      <w:marTop w:val="0"/>
      <w:marBottom w:val="0"/>
      <w:divBdr>
        <w:top w:val="none" w:sz="0" w:space="0" w:color="auto"/>
        <w:left w:val="none" w:sz="0" w:space="0" w:color="auto"/>
        <w:bottom w:val="none" w:sz="0" w:space="0" w:color="auto"/>
        <w:right w:val="none" w:sz="0" w:space="0" w:color="auto"/>
      </w:divBdr>
    </w:div>
    <w:div w:id="369574813">
      <w:bodyDiv w:val="1"/>
      <w:marLeft w:val="0"/>
      <w:marRight w:val="0"/>
      <w:marTop w:val="0"/>
      <w:marBottom w:val="0"/>
      <w:divBdr>
        <w:top w:val="none" w:sz="0" w:space="0" w:color="auto"/>
        <w:left w:val="none" w:sz="0" w:space="0" w:color="auto"/>
        <w:bottom w:val="none" w:sz="0" w:space="0" w:color="auto"/>
        <w:right w:val="none" w:sz="0" w:space="0" w:color="auto"/>
      </w:divBdr>
    </w:div>
    <w:div w:id="370308993">
      <w:bodyDiv w:val="1"/>
      <w:marLeft w:val="0"/>
      <w:marRight w:val="0"/>
      <w:marTop w:val="0"/>
      <w:marBottom w:val="0"/>
      <w:divBdr>
        <w:top w:val="none" w:sz="0" w:space="0" w:color="auto"/>
        <w:left w:val="none" w:sz="0" w:space="0" w:color="auto"/>
        <w:bottom w:val="none" w:sz="0" w:space="0" w:color="auto"/>
        <w:right w:val="none" w:sz="0" w:space="0" w:color="auto"/>
      </w:divBdr>
    </w:div>
    <w:div w:id="371006469">
      <w:bodyDiv w:val="1"/>
      <w:marLeft w:val="0"/>
      <w:marRight w:val="0"/>
      <w:marTop w:val="0"/>
      <w:marBottom w:val="0"/>
      <w:divBdr>
        <w:top w:val="none" w:sz="0" w:space="0" w:color="auto"/>
        <w:left w:val="none" w:sz="0" w:space="0" w:color="auto"/>
        <w:bottom w:val="none" w:sz="0" w:space="0" w:color="auto"/>
        <w:right w:val="none" w:sz="0" w:space="0" w:color="auto"/>
      </w:divBdr>
    </w:div>
    <w:div w:id="371272141">
      <w:bodyDiv w:val="1"/>
      <w:marLeft w:val="0"/>
      <w:marRight w:val="0"/>
      <w:marTop w:val="0"/>
      <w:marBottom w:val="0"/>
      <w:divBdr>
        <w:top w:val="none" w:sz="0" w:space="0" w:color="auto"/>
        <w:left w:val="none" w:sz="0" w:space="0" w:color="auto"/>
        <w:bottom w:val="none" w:sz="0" w:space="0" w:color="auto"/>
        <w:right w:val="none" w:sz="0" w:space="0" w:color="auto"/>
      </w:divBdr>
    </w:div>
    <w:div w:id="371345102">
      <w:bodyDiv w:val="1"/>
      <w:marLeft w:val="0"/>
      <w:marRight w:val="0"/>
      <w:marTop w:val="0"/>
      <w:marBottom w:val="0"/>
      <w:divBdr>
        <w:top w:val="none" w:sz="0" w:space="0" w:color="auto"/>
        <w:left w:val="none" w:sz="0" w:space="0" w:color="auto"/>
        <w:bottom w:val="none" w:sz="0" w:space="0" w:color="auto"/>
        <w:right w:val="none" w:sz="0" w:space="0" w:color="auto"/>
      </w:divBdr>
    </w:div>
    <w:div w:id="371539479">
      <w:bodyDiv w:val="1"/>
      <w:marLeft w:val="0"/>
      <w:marRight w:val="0"/>
      <w:marTop w:val="0"/>
      <w:marBottom w:val="0"/>
      <w:divBdr>
        <w:top w:val="none" w:sz="0" w:space="0" w:color="auto"/>
        <w:left w:val="none" w:sz="0" w:space="0" w:color="auto"/>
        <w:bottom w:val="none" w:sz="0" w:space="0" w:color="auto"/>
        <w:right w:val="none" w:sz="0" w:space="0" w:color="auto"/>
      </w:divBdr>
    </w:div>
    <w:div w:id="372268669">
      <w:bodyDiv w:val="1"/>
      <w:marLeft w:val="0"/>
      <w:marRight w:val="0"/>
      <w:marTop w:val="0"/>
      <w:marBottom w:val="0"/>
      <w:divBdr>
        <w:top w:val="none" w:sz="0" w:space="0" w:color="auto"/>
        <w:left w:val="none" w:sz="0" w:space="0" w:color="auto"/>
        <w:bottom w:val="none" w:sz="0" w:space="0" w:color="auto"/>
        <w:right w:val="none" w:sz="0" w:space="0" w:color="auto"/>
      </w:divBdr>
    </w:div>
    <w:div w:id="372924712">
      <w:bodyDiv w:val="1"/>
      <w:marLeft w:val="0"/>
      <w:marRight w:val="0"/>
      <w:marTop w:val="0"/>
      <w:marBottom w:val="0"/>
      <w:divBdr>
        <w:top w:val="none" w:sz="0" w:space="0" w:color="auto"/>
        <w:left w:val="none" w:sz="0" w:space="0" w:color="auto"/>
        <w:bottom w:val="none" w:sz="0" w:space="0" w:color="auto"/>
        <w:right w:val="none" w:sz="0" w:space="0" w:color="auto"/>
      </w:divBdr>
    </w:div>
    <w:div w:id="373239712">
      <w:bodyDiv w:val="1"/>
      <w:marLeft w:val="0"/>
      <w:marRight w:val="0"/>
      <w:marTop w:val="0"/>
      <w:marBottom w:val="0"/>
      <w:divBdr>
        <w:top w:val="none" w:sz="0" w:space="0" w:color="auto"/>
        <w:left w:val="none" w:sz="0" w:space="0" w:color="auto"/>
        <w:bottom w:val="none" w:sz="0" w:space="0" w:color="auto"/>
        <w:right w:val="none" w:sz="0" w:space="0" w:color="auto"/>
      </w:divBdr>
    </w:div>
    <w:div w:id="375084940">
      <w:bodyDiv w:val="1"/>
      <w:marLeft w:val="0"/>
      <w:marRight w:val="0"/>
      <w:marTop w:val="0"/>
      <w:marBottom w:val="0"/>
      <w:divBdr>
        <w:top w:val="none" w:sz="0" w:space="0" w:color="auto"/>
        <w:left w:val="none" w:sz="0" w:space="0" w:color="auto"/>
        <w:bottom w:val="none" w:sz="0" w:space="0" w:color="auto"/>
        <w:right w:val="none" w:sz="0" w:space="0" w:color="auto"/>
      </w:divBdr>
    </w:div>
    <w:div w:id="376316295">
      <w:bodyDiv w:val="1"/>
      <w:marLeft w:val="0"/>
      <w:marRight w:val="0"/>
      <w:marTop w:val="0"/>
      <w:marBottom w:val="0"/>
      <w:divBdr>
        <w:top w:val="none" w:sz="0" w:space="0" w:color="auto"/>
        <w:left w:val="none" w:sz="0" w:space="0" w:color="auto"/>
        <w:bottom w:val="none" w:sz="0" w:space="0" w:color="auto"/>
        <w:right w:val="none" w:sz="0" w:space="0" w:color="auto"/>
      </w:divBdr>
    </w:div>
    <w:div w:id="377976946">
      <w:bodyDiv w:val="1"/>
      <w:marLeft w:val="0"/>
      <w:marRight w:val="0"/>
      <w:marTop w:val="0"/>
      <w:marBottom w:val="0"/>
      <w:divBdr>
        <w:top w:val="none" w:sz="0" w:space="0" w:color="auto"/>
        <w:left w:val="none" w:sz="0" w:space="0" w:color="auto"/>
        <w:bottom w:val="none" w:sz="0" w:space="0" w:color="auto"/>
        <w:right w:val="none" w:sz="0" w:space="0" w:color="auto"/>
      </w:divBdr>
    </w:div>
    <w:div w:id="379088679">
      <w:bodyDiv w:val="1"/>
      <w:marLeft w:val="0"/>
      <w:marRight w:val="0"/>
      <w:marTop w:val="0"/>
      <w:marBottom w:val="0"/>
      <w:divBdr>
        <w:top w:val="none" w:sz="0" w:space="0" w:color="auto"/>
        <w:left w:val="none" w:sz="0" w:space="0" w:color="auto"/>
        <w:bottom w:val="none" w:sz="0" w:space="0" w:color="auto"/>
        <w:right w:val="none" w:sz="0" w:space="0" w:color="auto"/>
      </w:divBdr>
    </w:div>
    <w:div w:id="379289449">
      <w:bodyDiv w:val="1"/>
      <w:marLeft w:val="0"/>
      <w:marRight w:val="0"/>
      <w:marTop w:val="0"/>
      <w:marBottom w:val="0"/>
      <w:divBdr>
        <w:top w:val="none" w:sz="0" w:space="0" w:color="auto"/>
        <w:left w:val="none" w:sz="0" w:space="0" w:color="auto"/>
        <w:bottom w:val="none" w:sz="0" w:space="0" w:color="auto"/>
        <w:right w:val="none" w:sz="0" w:space="0" w:color="auto"/>
      </w:divBdr>
    </w:div>
    <w:div w:id="380597780">
      <w:bodyDiv w:val="1"/>
      <w:marLeft w:val="0"/>
      <w:marRight w:val="0"/>
      <w:marTop w:val="0"/>
      <w:marBottom w:val="0"/>
      <w:divBdr>
        <w:top w:val="none" w:sz="0" w:space="0" w:color="auto"/>
        <w:left w:val="none" w:sz="0" w:space="0" w:color="auto"/>
        <w:bottom w:val="none" w:sz="0" w:space="0" w:color="auto"/>
        <w:right w:val="none" w:sz="0" w:space="0" w:color="auto"/>
      </w:divBdr>
    </w:div>
    <w:div w:id="380905783">
      <w:bodyDiv w:val="1"/>
      <w:marLeft w:val="0"/>
      <w:marRight w:val="0"/>
      <w:marTop w:val="0"/>
      <w:marBottom w:val="0"/>
      <w:divBdr>
        <w:top w:val="none" w:sz="0" w:space="0" w:color="auto"/>
        <w:left w:val="none" w:sz="0" w:space="0" w:color="auto"/>
        <w:bottom w:val="none" w:sz="0" w:space="0" w:color="auto"/>
        <w:right w:val="none" w:sz="0" w:space="0" w:color="auto"/>
      </w:divBdr>
    </w:div>
    <w:div w:id="382605215">
      <w:bodyDiv w:val="1"/>
      <w:marLeft w:val="0"/>
      <w:marRight w:val="0"/>
      <w:marTop w:val="0"/>
      <w:marBottom w:val="0"/>
      <w:divBdr>
        <w:top w:val="none" w:sz="0" w:space="0" w:color="auto"/>
        <w:left w:val="none" w:sz="0" w:space="0" w:color="auto"/>
        <w:bottom w:val="none" w:sz="0" w:space="0" w:color="auto"/>
        <w:right w:val="none" w:sz="0" w:space="0" w:color="auto"/>
      </w:divBdr>
    </w:div>
    <w:div w:id="382948536">
      <w:bodyDiv w:val="1"/>
      <w:marLeft w:val="0"/>
      <w:marRight w:val="0"/>
      <w:marTop w:val="0"/>
      <w:marBottom w:val="0"/>
      <w:divBdr>
        <w:top w:val="none" w:sz="0" w:space="0" w:color="auto"/>
        <w:left w:val="none" w:sz="0" w:space="0" w:color="auto"/>
        <w:bottom w:val="none" w:sz="0" w:space="0" w:color="auto"/>
        <w:right w:val="none" w:sz="0" w:space="0" w:color="auto"/>
      </w:divBdr>
    </w:div>
    <w:div w:id="383405789">
      <w:bodyDiv w:val="1"/>
      <w:marLeft w:val="0"/>
      <w:marRight w:val="0"/>
      <w:marTop w:val="0"/>
      <w:marBottom w:val="0"/>
      <w:divBdr>
        <w:top w:val="none" w:sz="0" w:space="0" w:color="auto"/>
        <w:left w:val="none" w:sz="0" w:space="0" w:color="auto"/>
        <w:bottom w:val="none" w:sz="0" w:space="0" w:color="auto"/>
        <w:right w:val="none" w:sz="0" w:space="0" w:color="auto"/>
      </w:divBdr>
    </w:div>
    <w:div w:id="383648545">
      <w:bodyDiv w:val="1"/>
      <w:marLeft w:val="0"/>
      <w:marRight w:val="0"/>
      <w:marTop w:val="0"/>
      <w:marBottom w:val="0"/>
      <w:divBdr>
        <w:top w:val="none" w:sz="0" w:space="0" w:color="auto"/>
        <w:left w:val="none" w:sz="0" w:space="0" w:color="auto"/>
        <w:bottom w:val="none" w:sz="0" w:space="0" w:color="auto"/>
        <w:right w:val="none" w:sz="0" w:space="0" w:color="auto"/>
      </w:divBdr>
    </w:div>
    <w:div w:id="388769762">
      <w:bodyDiv w:val="1"/>
      <w:marLeft w:val="0"/>
      <w:marRight w:val="0"/>
      <w:marTop w:val="0"/>
      <w:marBottom w:val="0"/>
      <w:divBdr>
        <w:top w:val="none" w:sz="0" w:space="0" w:color="auto"/>
        <w:left w:val="none" w:sz="0" w:space="0" w:color="auto"/>
        <w:bottom w:val="none" w:sz="0" w:space="0" w:color="auto"/>
        <w:right w:val="none" w:sz="0" w:space="0" w:color="auto"/>
      </w:divBdr>
    </w:div>
    <w:div w:id="388847122">
      <w:bodyDiv w:val="1"/>
      <w:marLeft w:val="0"/>
      <w:marRight w:val="0"/>
      <w:marTop w:val="0"/>
      <w:marBottom w:val="0"/>
      <w:divBdr>
        <w:top w:val="none" w:sz="0" w:space="0" w:color="auto"/>
        <w:left w:val="none" w:sz="0" w:space="0" w:color="auto"/>
        <w:bottom w:val="none" w:sz="0" w:space="0" w:color="auto"/>
        <w:right w:val="none" w:sz="0" w:space="0" w:color="auto"/>
      </w:divBdr>
    </w:div>
    <w:div w:id="389116443">
      <w:bodyDiv w:val="1"/>
      <w:marLeft w:val="0"/>
      <w:marRight w:val="0"/>
      <w:marTop w:val="0"/>
      <w:marBottom w:val="0"/>
      <w:divBdr>
        <w:top w:val="none" w:sz="0" w:space="0" w:color="auto"/>
        <w:left w:val="none" w:sz="0" w:space="0" w:color="auto"/>
        <w:bottom w:val="none" w:sz="0" w:space="0" w:color="auto"/>
        <w:right w:val="none" w:sz="0" w:space="0" w:color="auto"/>
      </w:divBdr>
    </w:div>
    <w:div w:id="389185164">
      <w:bodyDiv w:val="1"/>
      <w:marLeft w:val="0"/>
      <w:marRight w:val="0"/>
      <w:marTop w:val="0"/>
      <w:marBottom w:val="0"/>
      <w:divBdr>
        <w:top w:val="none" w:sz="0" w:space="0" w:color="auto"/>
        <w:left w:val="none" w:sz="0" w:space="0" w:color="auto"/>
        <w:bottom w:val="none" w:sz="0" w:space="0" w:color="auto"/>
        <w:right w:val="none" w:sz="0" w:space="0" w:color="auto"/>
      </w:divBdr>
    </w:div>
    <w:div w:id="390078880">
      <w:bodyDiv w:val="1"/>
      <w:marLeft w:val="0"/>
      <w:marRight w:val="0"/>
      <w:marTop w:val="0"/>
      <w:marBottom w:val="0"/>
      <w:divBdr>
        <w:top w:val="none" w:sz="0" w:space="0" w:color="auto"/>
        <w:left w:val="none" w:sz="0" w:space="0" w:color="auto"/>
        <w:bottom w:val="none" w:sz="0" w:space="0" w:color="auto"/>
        <w:right w:val="none" w:sz="0" w:space="0" w:color="auto"/>
      </w:divBdr>
    </w:div>
    <w:div w:id="390228971">
      <w:bodyDiv w:val="1"/>
      <w:marLeft w:val="0"/>
      <w:marRight w:val="0"/>
      <w:marTop w:val="0"/>
      <w:marBottom w:val="0"/>
      <w:divBdr>
        <w:top w:val="none" w:sz="0" w:space="0" w:color="auto"/>
        <w:left w:val="none" w:sz="0" w:space="0" w:color="auto"/>
        <w:bottom w:val="none" w:sz="0" w:space="0" w:color="auto"/>
        <w:right w:val="none" w:sz="0" w:space="0" w:color="auto"/>
      </w:divBdr>
    </w:div>
    <w:div w:id="390349579">
      <w:bodyDiv w:val="1"/>
      <w:marLeft w:val="0"/>
      <w:marRight w:val="0"/>
      <w:marTop w:val="0"/>
      <w:marBottom w:val="0"/>
      <w:divBdr>
        <w:top w:val="none" w:sz="0" w:space="0" w:color="auto"/>
        <w:left w:val="none" w:sz="0" w:space="0" w:color="auto"/>
        <w:bottom w:val="none" w:sz="0" w:space="0" w:color="auto"/>
        <w:right w:val="none" w:sz="0" w:space="0" w:color="auto"/>
      </w:divBdr>
    </w:div>
    <w:div w:id="390736016">
      <w:bodyDiv w:val="1"/>
      <w:marLeft w:val="0"/>
      <w:marRight w:val="0"/>
      <w:marTop w:val="0"/>
      <w:marBottom w:val="0"/>
      <w:divBdr>
        <w:top w:val="none" w:sz="0" w:space="0" w:color="auto"/>
        <w:left w:val="none" w:sz="0" w:space="0" w:color="auto"/>
        <w:bottom w:val="none" w:sz="0" w:space="0" w:color="auto"/>
        <w:right w:val="none" w:sz="0" w:space="0" w:color="auto"/>
      </w:divBdr>
    </w:div>
    <w:div w:id="391463441">
      <w:bodyDiv w:val="1"/>
      <w:marLeft w:val="0"/>
      <w:marRight w:val="0"/>
      <w:marTop w:val="0"/>
      <w:marBottom w:val="0"/>
      <w:divBdr>
        <w:top w:val="none" w:sz="0" w:space="0" w:color="auto"/>
        <w:left w:val="none" w:sz="0" w:space="0" w:color="auto"/>
        <w:bottom w:val="none" w:sz="0" w:space="0" w:color="auto"/>
        <w:right w:val="none" w:sz="0" w:space="0" w:color="auto"/>
      </w:divBdr>
    </w:div>
    <w:div w:id="391659255">
      <w:bodyDiv w:val="1"/>
      <w:marLeft w:val="0"/>
      <w:marRight w:val="0"/>
      <w:marTop w:val="0"/>
      <w:marBottom w:val="0"/>
      <w:divBdr>
        <w:top w:val="none" w:sz="0" w:space="0" w:color="auto"/>
        <w:left w:val="none" w:sz="0" w:space="0" w:color="auto"/>
        <w:bottom w:val="none" w:sz="0" w:space="0" w:color="auto"/>
        <w:right w:val="none" w:sz="0" w:space="0" w:color="auto"/>
      </w:divBdr>
    </w:div>
    <w:div w:id="392630761">
      <w:bodyDiv w:val="1"/>
      <w:marLeft w:val="0"/>
      <w:marRight w:val="0"/>
      <w:marTop w:val="0"/>
      <w:marBottom w:val="0"/>
      <w:divBdr>
        <w:top w:val="none" w:sz="0" w:space="0" w:color="auto"/>
        <w:left w:val="none" w:sz="0" w:space="0" w:color="auto"/>
        <w:bottom w:val="none" w:sz="0" w:space="0" w:color="auto"/>
        <w:right w:val="none" w:sz="0" w:space="0" w:color="auto"/>
      </w:divBdr>
    </w:div>
    <w:div w:id="393358472">
      <w:bodyDiv w:val="1"/>
      <w:marLeft w:val="0"/>
      <w:marRight w:val="0"/>
      <w:marTop w:val="0"/>
      <w:marBottom w:val="0"/>
      <w:divBdr>
        <w:top w:val="none" w:sz="0" w:space="0" w:color="auto"/>
        <w:left w:val="none" w:sz="0" w:space="0" w:color="auto"/>
        <w:bottom w:val="none" w:sz="0" w:space="0" w:color="auto"/>
        <w:right w:val="none" w:sz="0" w:space="0" w:color="auto"/>
      </w:divBdr>
    </w:div>
    <w:div w:id="394856103">
      <w:bodyDiv w:val="1"/>
      <w:marLeft w:val="0"/>
      <w:marRight w:val="0"/>
      <w:marTop w:val="0"/>
      <w:marBottom w:val="0"/>
      <w:divBdr>
        <w:top w:val="none" w:sz="0" w:space="0" w:color="auto"/>
        <w:left w:val="none" w:sz="0" w:space="0" w:color="auto"/>
        <w:bottom w:val="none" w:sz="0" w:space="0" w:color="auto"/>
        <w:right w:val="none" w:sz="0" w:space="0" w:color="auto"/>
      </w:divBdr>
    </w:div>
    <w:div w:id="395670340">
      <w:bodyDiv w:val="1"/>
      <w:marLeft w:val="0"/>
      <w:marRight w:val="0"/>
      <w:marTop w:val="0"/>
      <w:marBottom w:val="0"/>
      <w:divBdr>
        <w:top w:val="none" w:sz="0" w:space="0" w:color="auto"/>
        <w:left w:val="none" w:sz="0" w:space="0" w:color="auto"/>
        <w:bottom w:val="none" w:sz="0" w:space="0" w:color="auto"/>
        <w:right w:val="none" w:sz="0" w:space="0" w:color="auto"/>
      </w:divBdr>
    </w:div>
    <w:div w:id="396131616">
      <w:bodyDiv w:val="1"/>
      <w:marLeft w:val="0"/>
      <w:marRight w:val="0"/>
      <w:marTop w:val="0"/>
      <w:marBottom w:val="0"/>
      <w:divBdr>
        <w:top w:val="none" w:sz="0" w:space="0" w:color="auto"/>
        <w:left w:val="none" w:sz="0" w:space="0" w:color="auto"/>
        <w:bottom w:val="none" w:sz="0" w:space="0" w:color="auto"/>
        <w:right w:val="none" w:sz="0" w:space="0" w:color="auto"/>
      </w:divBdr>
    </w:div>
    <w:div w:id="397678772">
      <w:bodyDiv w:val="1"/>
      <w:marLeft w:val="0"/>
      <w:marRight w:val="0"/>
      <w:marTop w:val="0"/>
      <w:marBottom w:val="0"/>
      <w:divBdr>
        <w:top w:val="none" w:sz="0" w:space="0" w:color="auto"/>
        <w:left w:val="none" w:sz="0" w:space="0" w:color="auto"/>
        <w:bottom w:val="none" w:sz="0" w:space="0" w:color="auto"/>
        <w:right w:val="none" w:sz="0" w:space="0" w:color="auto"/>
      </w:divBdr>
    </w:div>
    <w:div w:id="398332078">
      <w:bodyDiv w:val="1"/>
      <w:marLeft w:val="0"/>
      <w:marRight w:val="0"/>
      <w:marTop w:val="0"/>
      <w:marBottom w:val="0"/>
      <w:divBdr>
        <w:top w:val="none" w:sz="0" w:space="0" w:color="auto"/>
        <w:left w:val="none" w:sz="0" w:space="0" w:color="auto"/>
        <w:bottom w:val="none" w:sz="0" w:space="0" w:color="auto"/>
        <w:right w:val="none" w:sz="0" w:space="0" w:color="auto"/>
      </w:divBdr>
    </w:div>
    <w:div w:id="398746210">
      <w:bodyDiv w:val="1"/>
      <w:marLeft w:val="0"/>
      <w:marRight w:val="0"/>
      <w:marTop w:val="0"/>
      <w:marBottom w:val="0"/>
      <w:divBdr>
        <w:top w:val="none" w:sz="0" w:space="0" w:color="auto"/>
        <w:left w:val="none" w:sz="0" w:space="0" w:color="auto"/>
        <w:bottom w:val="none" w:sz="0" w:space="0" w:color="auto"/>
        <w:right w:val="none" w:sz="0" w:space="0" w:color="auto"/>
      </w:divBdr>
    </w:div>
    <w:div w:id="399207619">
      <w:bodyDiv w:val="1"/>
      <w:marLeft w:val="0"/>
      <w:marRight w:val="0"/>
      <w:marTop w:val="0"/>
      <w:marBottom w:val="0"/>
      <w:divBdr>
        <w:top w:val="none" w:sz="0" w:space="0" w:color="auto"/>
        <w:left w:val="none" w:sz="0" w:space="0" w:color="auto"/>
        <w:bottom w:val="none" w:sz="0" w:space="0" w:color="auto"/>
        <w:right w:val="none" w:sz="0" w:space="0" w:color="auto"/>
      </w:divBdr>
    </w:div>
    <w:div w:id="399520654">
      <w:bodyDiv w:val="1"/>
      <w:marLeft w:val="0"/>
      <w:marRight w:val="0"/>
      <w:marTop w:val="0"/>
      <w:marBottom w:val="0"/>
      <w:divBdr>
        <w:top w:val="none" w:sz="0" w:space="0" w:color="auto"/>
        <w:left w:val="none" w:sz="0" w:space="0" w:color="auto"/>
        <w:bottom w:val="none" w:sz="0" w:space="0" w:color="auto"/>
        <w:right w:val="none" w:sz="0" w:space="0" w:color="auto"/>
      </w:divBdr>
    </w:div>
    <w:div w:id="399862708">
      <w:bodyDiv w:val="1"/>
      <w:marLeft w:val="0"/>
      <w:marRight w:val="0"/>
      <w:marTop w:val="0"/>
      <w:marBottom w:val="0"/>
      <w:divBdr>
        <w:top w:val="none" w:sz="0" w:space="0" w:color="auto"/>
        <w:left w:val="none" w:sz="0" w:space="0" w:color="auto"/>
        <w:bottom w:val="none" w:sz="0" w:space="0" w:color="auto"/>
        <w:right w:val="none" w:sz="0" w:space="0" w:color="auto"/>
      </w:divBdr>
    </w:div>
    <w:div w:id="400298086">
      <w:bodyDiv w:val="1"/>
      <w:marLeft w:val="0"/>
      <w:marRight w:val="0"/>
      <w:marTop w:val="0"/>
      <w:marBottom w:val="0"/>
      <w:divBdr>
        <w:top w:val="none" w:sz="0" w:space="0" w:color="auto"/>
        <w:left w:val="none" w:sz="0" w:space="0" w:color="auto"/>
        <w:bottom w:val="none" w:sz="0" w:space="0" w:color="auto"/>
        <w:right w:val="none" w:sz="0" w:space="0" w:color="auto"/>
      </w:divBdr>
    </w:div>
    <w:div w:id="400718139">
      <w:bodyDiv w:val="1"/>
      <w:marLeft w:val="0"/>
      <w:marRight w:val="0"/>
      <w:marTop w:val="0"/>
      <w:marBottom w:val="0"/>
      <w:divBdr>
        <w:top w:val="none" w:sz="0" w:space="0" w:color="auto"/>
        <w:left w:val="none" w:sz="0" w:space="0" w:color="auto"/>
        <w:bottom w:val="none" w:sz="0" w:space="0" w:color="auto"/>
        <w:right w:val="none" w:sz="0" w:space="0" w:color="auto"/>
      </w:divBdr>
    </w:div>
    <w:div w:id="400758255">
      <w:bodyDiv w:val="1"/>
      <w:marLeft w:val="0"/>
      <w:marRight w:val="0"/>
      <w:marTop w:val="0"/>
      <w:marBottom w:val="0"/>
      <w:divBdr>
        <w:top w:val="none" w:sz="0" w:space="0" w:color="auto"/>
        <w:left w:val="none" w:sz="0" w:space="0" w:color="auto"/>
        <w:bottom w:val="none" w:sz="0" w:space="0" w:color="auto"/>
        <w:right w:val="none" w:sz="0" w:space="0" w:color="auto"/>
      </w:divBdr>
    </w:div>
    <w:div w:id="402417309">
      <w:bodyDiv w:val="1"/>
      <w:marLeft w:val="0"/>
      <w:marRight w:val="0"/>
      <w:marTop w:val="0"/>
      <w:marBottom w:val="0"/>
      <w:divBdr>
        <w:top w:val="none" w:sz="0" w:space="0" w:color="auto"/>
        <w:left w:val="none" w:sz="0" w:space="0" w:color="auto"/>
        <w:bottom w:val="none" w:sz="0" w:space="0" w:color="auto"/>
        <w:right w:val="none" w:sz="0" w:space="0" w:color="auto"/>
      </w:divBdr>
    </w:div>
    <w:div w:id="404038314">
      <w:bodyDiv w:val="1"/>
      <w:marLeft w:val="0"/>
      <w:marRight w:val="0"/>
      <w:marTop w:val="0"/>
      <w:marBottom w:val="0"/>
      <w:divBdr>
        <w:top w:val="none" w:sz="0" w:space="0" w:color="auto"/>
        <w:left w:val="none" w:sz="0" w:space="0" w:color="auto"/>
        <w:bottom w:val="none" w:sz="0" w:space="0" w:color="auto"/>
        <w:right w:val="none" w:sz="0" w:space="0" w:color="auto"/>
      </w:divBdr>
    </w:div>
    <w:div w:id="404183118">
      <w:bodyDiv w:val="1"/>
      <w:marLeft w:val="0"/>
      <w:marRight w:val="0"/>
      <w:marTop w:val="0"/>
      <w:marBottom w:val="0"/>
      <w:divBdr>
        <w:top w:val="none" w:sz="0" w:space="0" w:color="auto"/>
        <w:left w:val="none" w:sz="0" w:space="0" w:color="auto"/>
        <w:bottom w:val="none" w:sz="0" w:space="0" w:color="auto"/>
        <w:right w:val="none" w:sz="0" w:space="0" w:color="auto"/>
      </w:divBdr>
    </w:div>
    <w:div w:id="407045446">
      <w:bodyDiv w:val="1"/>
      <w:marLeft w:val="0"/>
      <w:marRight w:val="0"/>
      <w:marTop w:val="0"/>
      <w:marBottom w:val="0"/>
      <w:divBdr>
        <w:top w:val="none" w:sz="0" w:space="0" w:color="auto"/>
        <w:left w:val="none" w:sz="0" w:space="0" w:color="auto"/>
        <w:bottom w:val="none" w:sz="0" w:space="0" w:color="auto"/>
        <w:right w:val="none" w:sz="0" w:space="0" w:color="auto"/>
      </w:divBdr>
    </w:div>
    <w:div w:id="407308209">
      <w:bodyDiv w:val="1"/>
      <w:marLeft w:val="0"/>
      <w:marRight w:val="0"/>
      <w:marTop w:val="0"/>
      <w:marBottom w:val="0"/>
      <w:divBdr>
        <w:top w:val="none" w:sz="0" w:space="0" w:color="auto"/>
        <w:left w:val="none" w:sz="0" w:space="0" w:color="auto"/>
        <w:bottom w:val="none" w:sz="0" w:space="0" w:color="auto"/>
        <w:right w:val="none" w:sz="0" w:space="0" w:color="auto"/>
      </w:divBdr>
    </w:div>
    <w:div w:id="408234159">
      <w:bodyDiv w:val="1"/>
      <w:marLeft w:val="0"/>
      <w:marRight w:val="0"/>
      <w:marTop w:val="0"/>
      <w:marBottom w:val="0"/>
      <w:divBdr>
        <w:top w:val="none" w:sz="0" w:space="0" w:color="auto"/>
        <w:left w:val="none" w:sz="0" w:space="0" w:color="auto"/>
        <w:bottom w:val="none" w:sz="0" w:space="0" w:color="auto"/>
        <w:right w:val="none" w:sz="0" w:space="0" w:color="auto"/>
      </w:divBdr>
    </w:div>
    <w:div w:id="410198072">
      <w:bodyDiv w:val="1"/>
      <w:marLeft w:val="0"/>
      <w:marRight w:val="0"/>
      <w:marTop w:val="0"/>
      <w:marBottom w:val="0"/>
      <w:divBdr>
        <w:top w:val="none" w:sz="0" w:space="0" w:color="auto"/>
        <w:left w:val="none" w:sz="0" w:space="0" w:color="auto"/>
        <w:bottom w:val="none" w:sz="0" w:space="0" w:color="auto"/>
        <w:right w:val="none" w:sz="0" w:space="0" w:color="auto"/>
      </w:divBdr>
    </w:div>
    <w:div w:id="412749126">
      <w:bodyDiv w:val="1"/>
      <w:marLeft w:val="0"/>
      <w:marRight w:val="0"/>
      <w:marTop w:val="0"/>
      <w:marBottom w:val="0"/>
      <w:divBdr>
        <w:top w:val="none" w:sz="0" w:space="0" w:color="auto"/>
        <w:left w:val="none" w:sz="0" w:space="0" w:color="auto"/>
        <w:bottom w:val="none" w:sz="0" w:space="0" w:color="auto"/>
        <w:right w:val="none" w:sz="0" w:space="0" w:color="auto"/>
      </w:divBdr>
    </w:div>
    <w:div w:id="414018817">
      <w:bodyDiv w:val="1"/>
      <w:marLeft w:val="0"/>
      <w:marRight w:val="0"/>
      <w:marTop w:val="0"/>
      <w:marBottom w:val="0"/>
      <w:divBdr>
        <w:top w:val="none" w:sz="0" w:space="0" w:color="auto"/>
        <w:left w:val="none" w:sz="0" w:space="0" w:color="auto"/>
        <w:bottom w:val="none" w:sz="0" w:space="0" w:color="auto"/>
        <w:right w:val="none" w:sz="0" w:space="0" w:color="auto"/>
      </w:divBdr>
    </w:div>
    <w:div w:id="414129725">
      <w:bodyDiv w:val="1"/>
      <w:marLeft w:val="0"/>
      <w:marRight w:val="0"/>
      <w:marTop w:val="0"/>
      <w:marBottom w:val="0"/>
      <w:divBdr>
        <w:top w:val="none" w:sz="0" w:space="0" w:color="auto"/>
        <w:left w:val="none" w:sz="0" w:space="0" w:color="auto"/>
        <w:bottom w:val="none" w:sz="0" w:space="0" w:color="auto"/>
        <w:right w:val="none" w:sz="0" w:space="0" w:color="auto"/>
      </w:divBdr>
    </w:div>
    <w:div w:id="414396975">
      <w:bodyDiv w:val="1"/>
      <w:marLeft w:val="0"/>
      <w:marRight w:val="0"/>
      <w:marTop w:val="0"/>
      <w:marBottom w:val="0"/>
      <w:divBdr>
        <w:top w:val="none" w:sz="0" w:space="0" w:color="auto"/>
        <w:left w:val="none" w:sz="0" w:space="0" w:color="auto"/>
        <w:bottom w:val="none" w:sz="0" w:space="0" w:color="auto"/>
        <w:right w:val="none" w:sz="0" w:space="0" w:color="auto"/>
      </w:divBdr>
    </w:div>
    <w:div w:id="414517917">
      <w:bodyDiv w:val="1"/>
      <w:marLeft w:val="0"/>
      <w:marRight w:val="0"/>
      <w:marTop w:val="0"/>
      <w:marBottom w:val="0"/>
      <w:divBdr>
        <w:top w:val="none" w:sz="0" w:space="0" w:color="auto"/>
        <w:left w:val="none" w:sz="0" w:space="0" w:color="auto"/>
        <w:bottom w:val="none" w:sz="0" w:space="0" w:color="auto"/>
        <w:right w:val="none" w:sz="0" w:space="0" w:color="auto"/>
      </w:divBdr>
    </w:div>
    <w:div w:id="414976956">
      <w:bodyDiv w:val="1"/>
      <w:marLeft w:val="0"/>
      <w:marRight w:val="0"/>
      <w:marTop w:val="0"/>
      <w:marBottom w:val="0"/>
      <w:divBdr>
        <w:top w:val="none" w:sz="0" w:space="0" w:color="auto"/>
        <w:left w:val="none" w:sz="0" w:space="0" w:color="auto"/>
        <w:bottom w:val="none" w:sz="0" w:space="0" w:color="auto"/>
        <w:right w:val="none" w:sz="0" w:space="0" w:color="auto"/>
      </w:divBdr>
    </w:div>
    <w:div w:id="415635833">
      <w:bodyDiv w:val="1"/>
      <w:marLeft w:val="0"/>
      <w:marRight w:val="0"/>
      <w:marTop w:val="0"/>
      <w:marBottom w:val="0"/>
      <w:divBdr>
        <w:top w:val="none" w:sz="0" w:space="0" w:color="auto"/>
        <w:left w:val="none" w:sz="0" w:space="0" w:color="auto"/>
        <w:bottom w:val="none" w:sz="0" w:space="0" w:color="auto"/>
        <w:right w:val="none" w:sz="0" w:space="0" w:color="auto"/>
      </w:divBdr>
    </w:div>
    <w:div w:id="416102426">
      <w:bodyDiv w:val="1"/>
      <w:marLeft w:val="0"/>
      <w:marRight w:val="0"/>
      <w:marTop w:val="0"/>
      <w:marBottom w:val="0"/>
      <w:divBdr>
        <w:top w:val="none" w:sz="0" w:space="0" w:color="auto"/>
        <w:left w:val="none" w:sz="0" w:space="0" w:color="auto"/>
        <w:bottom w:val="none" w:sz="0" w:space="0" w:color="auto"/>
        <w:right w:val="none" w:sz="0" w:space="0" w:color="auto"/>
      </w:divBdr>
    </w:div>
    <w:div w:id="416901828">
      <w:bodyDiv w:val="1"/>
      <w:marLeft w:val="0"/>
      <w:marRight w:val="0"/>
      <w:marTop w:val="0"/>
      <w:marBottom w:val="0"/>
      <w:divBdr>
        <w:top w:val="none" w:sz="0" w:space="0" w:color="auto"/>
        <w:left w:val="none" w:sz="0" w:space="0" w:color="auto"/>
        <w:bottom w:val="none" w:sz="0" w:space="0" w:color="auto"/>
        <w:right w:val="none" w:sz="0" w:space="0" w:color="auto"/>
      </w:divBdr>
    </w:div>
    <w:div w:id="417598087">
      <w:bodyDiv w:val="1"/>
      <w:marLeft w:val="0"/>
      <w:marRight w:val="0"/>
      <w:marTop w:val="0"/>
      <w:marBottom w:val="0"/>
      <w:divBdr>
        <w:top w:val="none" w:sz="0" w:space="0" w:color="auto"/>
        <w:left w:val="none" w:sz="0" w:space="0" w:color="auto"/>
        <w:bottom w:val="none" w:sz="0" w:space="0" w:color="auto"/>
        <w:right w:val="none" w:sz="0" w:space="0" w:color="auto"/>
      </w:divBdr>
    </w:div>
    <w:div w:id="422992777">
      <w:bodyDiv w:val="1"/>
      <w:marLeft w:val="0"/>
      <w:marRight w:val="0"/>
      <w:marTop w:val="0"/>
      <w:marBottom w:val="0"/>
      <w:divBdr>
        <w:top w:val="none" w:sz="0" w:space="0" w:color="auto"/>
        <w:left w:val="none" w:sz="0" w:space="0" w:color="auto"/>
        <w:bottom w:val="none" w:sz="0" w:space="0" w:color="auto"/>
        <w:right w:val="none" w:sz="0" w:space="0" w:color="auto"/>
      </w:divBdr>
    </w:div>
    <w:div w:id="426081299">
      <w:bodyDiv w:val="1"/>
      <w:marLeft w:val="0"/>
      <w:marRight w:val="0"/>
      <w:marTop w:val="0"/>
      <w:marBottom w:val="0"/>
      <w:divBdr>
        <w:top w:val="none" w:sz="0" w:space="0" w:color="auto"/>
        <w:left w:val="none" w:sz="0" w:space="0" w:color="auto"/>
        <w:bottom w:val="none" w:sz="0" w:space="0" w:color="auto"/>
        <w:right w:val="none" w:sz="0" w:space="0" w:color="auto"/>
      </w:divBdr>
    </w:div>
    <w:div w:id="429938648">
      <w:bodyDiv w:val="1"/>
      <w:marLeft w:val="0"/>
      <w:marRight w:val="0"/>
      <w:marTop w:val="0"/>
      <w:marBottom w:val="0"/>
      <w:divBdr>
        <w:top w:val="none" w:sz="0" w:space="0" w:color="auto"/>
        <w:left w:val="none" w:sz="0" w:space="0" w:color="auto"/>
        <w:bottom w:val="none" w:sz="0" w:space="0" w:color="auto"/>
        <w:right w:val="none" w:sz="0" w:space="0" w:color="auto"/>
      </w:divBdr>
    </w:div>
    <w:div w:id="433592556">
      <w:bodyDiv w:val="1"/>
      <w:marLeft w:val="0"/>
      <w:marRight w:val="0"/>
      <w:marTop w:val="0"/>
      <w:marBottom w:val="0"/>
      <w:divBdr>
        <w:top w:val="none" w:sz="0" w:space="0" w:color="auto"/>
        <w:left w:val="none" w:sz="0" w:space="0" w:color="auto"/>
        <w:bottom w:val="none" w:sz="0" w:space="0" w:color="auto"/>
        <w:right w:val="none" w:sz="0" w:space="0" w:color="auto"/>
      </w:divBdr>
    </w:div>
    <w:div w:id="434054372">
      <w:bodyDiv w:val="1"/>
      <w:marLeft w:val="0"/>
      <w:marRight w:val="0"/>
      <w:marTop w:val="0"/>
      <w:marBottom w:val="0"/>
      <w:divBdr>
        <w:top w:val="none" w:sz="0" w:space="0" w:color="auto"/>
        <w:left w:val="none" w:sz="0" w:space="0" w:color="auto"/>
        <w:bottom w:val="none" w:sz="0" w:space="0" w:color="auto"/>
        <w:right w:val="none" w:sz="0" w:space="0" w:color="auto"/>
      </w:divBdr>
    </w:div>
    <w:div w:id="434635874">
      <w:bodyDiv w:val="1"/>
      <w:marLeft w:val="0"/>
      <w:marRight w:val="0"/>
      <w:marTop w:val="0"/>
      <w:marBottom w:val="0"/>
      <w:divBdr>
        <w:top w:val="none" w:sz="0" w:space="0" w:color="auto"/>
        <w:left w:val="none" w:sz="0" w:space="0" w:color="auto"/>
        <w:bottom w:val="none" w:sz="0" w:space="0" w:color="auto"/>
        <w:right w:val="none" w:sz="0" w:space="0" w:color="auto"/>
      </w:divBdr>
    </w:div>
    <w:div w:id="436021179">
      <w:bodyDiv w:val="1"/>
      <w:marLeft w:val="0"/>
      <w:marRight w:val="0"/>
      <w:marTop w:val="0"/>
      <w:marBottom w:val="0"/>
      <w:divBdr>
        <w:top w:val="none" w:sz="0" w:space="0" w:color="auto"/>
        <w:left w:val="none" w:sz="0" w:space="0" w:color="auto"/>
        <w:bottom w:val="none" w:sz="0" w:space="0" w:color="auto"/>
        <w:right w:val="none" w:sz="0" w:space="0" w:color="auto"/>
      </w:divBdr>
    </w:div>
    <w:div w:id="436482841">
      <w:bodyDiv w:val="1"/>
      <w:marLeft w:val="0"/>
      <w:marRight w:val="0"/>
      <w:marTop w:val="0"/>
      <w:marBottom w:val="0"/>
      <w:divBdr>
        <w:top w:val="none" w:sz="0" w:space="0" w:color="auto"/>
        <w:left w:val="none" w:sz="0" w:space="0" w:color="auto"/>
        <w:bottom w:val="none" w:sz="0" w:space="0" w:color="auto"/>
        <w:right w:val="none" w:sz="0" w:space="0" w:color="auto"/>
      </w:divBdr>
    </w:div>
    <w:div w:id="437288886">
      <w:bodyDiv w:val="1"/>
      <w:marLeft w:val="0"/>
      <w:marRight w:val="0"/>
      <w:marTop w:val="0"/>
      <w:marBottom w:val="0"/>
      <w:divBdr>
        <w:top w:val="none" w:sz="0" w:space="0" w:color="auto"/>
        <w:left w:val="none" w:sz="0" w:space="0" w:color="auto"/>
        <w:bottom w:val="none" w:sz="0" w:space="0" w:color="auto"/>
        <w:right w:val="none" w:sz="0" w:space="0" w:color="auto"/>
      </w:divBdr>
    </w:div>
    <w:div w:id="437994895">
      <w:bodyDiv w:val="1"/>
      <w:marLeft w:val="0"/>
      <w:marRight w:val="0"/>
      <w:marTop w:val="0"/>
      <w:marBottom w:val="0"/>
      <w:divBdr>
        <w:top w:val="none" w:sz="0" w:space="0" w:color="auto"/>
        <w:left w:val="none" w:sz="0" w:space="0" w:color="auto"/>
        <w:bottom w:val="none" w:sz="0" w:space="0" w:color="auto"/>
        <w:right w:val="none" w:sz="0" w:space="0" w:color="auto"/>
      </w:divBdr>
    </w:div>
    <w:div w:id="438717687">
      <w:bodyDiv w:val="1"/>
      <w:marLeft w:val="0"/>
      <w:marRight w:val="0"/>
      <w:marTop w:val="0"/>
      <w:marBottom w:val="0"/>
      <w:divBdr>
        <w:top w:val="none" w:sz="0" w:space="0" w:color="auto"/>
        <w:left w:val="none" w:sz="0" w:space="0" w:color="auto"/>
        <w:bottom w:val="none" w:sz="0" w:space="0" w:color="auto"/>
        <w:right w:val="none" w:sz="0" w:space="0" w:color="auto"/>
      </w:divBdr>
    </w:div>
    <w:div w:id="439566885">
      <w:bodyDiv w:val="1"/>
      <w:marLeft w:val="0"/>
      <w:marRight w:val="0"/>
      <w:marTop w:val="0"/>
      <w:marBottom w:val="0"/>
      <w:divBdr>
        <w:top w:val="none" w:sz="0" w:space="0" w:color="auto"/>
        <w:left w:val="none" w:sz="0" w:space="0" w:color="auto"/>
        <w:bottom w:val="none" w:sz="0" w:space="0" w:color="auto"/>
        <w:right w:val="none" w:sz="0" w:space="0" w:color="auto"/>
      </w:divBdr>
    </w:div>
    <w:div w:id="441070592">
      <w:bodyDiv w:val="1"/>
      <w:marLeft w:val="0"/>
      <w:marRight w:val="0"/>
      <w:marTop w:val="0"/>
      <w:marBottom w:val="0"/>
      <w:divBdr>
        <w:top w:val="none" w:sz="0" w:space="0" w:color="auto"/>
        <w:left w:val="none" w:sz="0" w:space="0" w:color="auto"/>
        <w:bottom w:val="none" w:sz="0" w:space="0" w:color="auto"/>
        <w:right w:val="none" w:sz="0" w:space="0" w:color="auto"/>
      </w:divBdr>
    </w:div>
    <w:div w:id="441417064">
      <w:bodyDiv w:val="1"/>
      <w:marLeft w:val="0"/>
      <w:marRight w:val="0"/>
      <w:marTop w:val="0"/>
      <w:marBottom w:val="0"/>
      <w:divBdr>
        <w:top w:val="none" w:sz="0" w:space="0" w:color="auto"/>
        <w:left w:val="none" w:sz="0" w:space="0" w:color="auto"/>
        <w:bottom w:val="none" w:sz="0" w:space="0" w:color="auto"/>
        <w:right w:val="none" w:sz="0" w:space="0" w:color="auto"/>
      </w:divBdr>
    </w:div>
    <w:div w:id="441606542">
      <w:bodyDiv w:val="1"/>
      <w:marLeft w:val="0"/>
      <w:marRight w:val="0"/>
      <w:marTop w:val="0"/>
      <w:marBottom w:val="0"/>
      <w:divBdr>
        <w:top w:val="none" w:sz="0" w:space="0" w:color="auto"/>
        <w:left w:val="none" w:sz="0" w:space="0" w:color="auto"/>
        <w:bottom w:val="none" w:sz="0" w:space="0" w:color="auto"/>
        <w:right w:val="none" w:sz="0" w:space="0" w:color="auto"/>
      </w:divBdr>
    </w:div>
    <w:div w:id="442578275">
      <w:bodyDiv w:val="1"/>
      <w:marLeft w:val="0"/>
      <w:marRight w:val="0"/>
      <w:marTop w:val="0"/>
      <w:marBottom w:val="0"/>
      <w:divBdr>
        <w:top w:val="none" w:sz="0" w:space="0" w:color="auto"/>
        <w:left w:val="none" w:sz="0" w:space="0" w:color="auto"/>
        <w:bottom w:val="none" w:sz="0" w:space="0" w:color="auto"/>
        <w:right w:val="none" w:sz="0" w:space="0" w:color="auto"/>
      </w:divBdr>
    </w:div>
    <w:div w:id="443577312">
      <w:bodyDiv w:val="1"/>
      <w:marLeft w:val="0"/>
      <w:marRight w:val="0"/>
      <w:marTop w:val="0"/>
      <w:marBottom w:val="0"/>
      <w:divBdr>
        <w:top w:val="none" w:sz="0" w:space="0" w:color="auto"/>
        <w:left w:val="none" w:sz="0" w:space="0" w:color="auto"/>
        <w:bottom w:val="none" w:sz="0" w:space="0" w:color="auto"/>
        <w:right w:val="none" w:sz="0" w:space="0" w:color="auto"/>
      </w:divBdr>
    </w:div>
    <w:div w:id="444275877">
      <w:bodyDiv w:val="1"/>
      <w:marLeft w:val="0"/>
      <w:marRight w:val="0"/>
      <w:marTop w:val="0"/>
      <w:marBottom w:val="0"/>
      <w:divBdr>
        <w:top w:val="none" w:sz="0" w:space="0" w:color="auto"/>
        <w:left w:val="none" w:sz="0" w:space="0" w:color="auto"/>
        <w:bottom w:val="none" w:sz="0" w:space="0" w:color="auto"/>
        <w:right w:val="none" w:sz="0" w:space="0" w:color="auto"/>
      </w:divBdr>
    </w:div>
    <w:div w:id="444349757">
      <w:bodyDiv w:val="1"/>
      <w:marLeft w:val="0"/>
      <w:marRight w:val="0"/>
      <w:marTop w:val="0"/>
      <w:marBottom w:val="0"/>
      <w:divBdr>
        <w:top w:val="none" w:sz="0" w:space="0" w:color="auto"/>
        <w:left w:val="none" w:sz="0" w:space="0" w:color="auto"/>
        <w:bottom w:val="none" w:sz="0" w:space="0" w:color="auto"/>
        <w:right w:val="none" w:sz="0" w:space="0" w:color="auto"/>
      </w:divBdr>
    </w:div>
    <w:div w:id="444737920">
      <w:bodyDiv w:val="1"/>
      <w:marLeft w:val="0"/>
      <w:marRight w:val="0"/>
      <w:marTop w:val="0"/>
      <w:marBottom w:val="0"/>
      <w:divBdr>
        <w:top w:val="none" w:sz="0" w:space="0" w:color="auto"/>
        <w:left w:val="none" w:sz="0" w:space="0" w:color="auto"/>
        <w:bottom w:val="none" w:sz="0" w:space="0" w:color="auto"/>
        <w:right w:val="none" w:sz="0" w:space="0" w:color="auto"/>
      </w:divBdr>
    </w:div>
    <w:div w:id="445082555">
      <w:bodyDiv w:val="1"/>
      <w:marLeft w:val="0"/>
      <w:marRight w:val="0"/>
      <w:marTop w:val="0"/>
      <w:marBottom w:val="0"/>
      <w:divBdr>
        <w:top w:val="none" w:sz="0" w:space="0" w:color="auto"/>
        <w:left w:val="none" w:sz="0" w:space="0" w:color="auto"/>
        <w:bottom w:val="none" w:sz="0" w:space="0" w:color="auto"/>
        <w:right w:val="none" w:sz="0" w:space="0" w:color="auto"/>
      </w:divBdr>
    </w:div>
    <w:div w:id="448278056">
      <w:bodyDiv w:val="1"/>
      <w:marLeft w:val="0"/>
      <w:marRight w:val="0"/>
      <w:marTop w:val="0"/>
      <w:marBottom w:val="0"/>
      <w:divBdr>
        <w:top w:val="none" w:sz="0" w:space="0" w:color="auto"/>
        <w:left w:val="none" w:sz="0" w:space="0" w:color="auto"/>
        <w:bottom w:val="none" w:sz="0" w:space="0" w:color="auto"/>
        <w:right w:val="none" w:sz="0" w:space="0" w:color="auto"/>
      </w:divBdr>
    </w:div>
    <w:div w:id="449663244">
      <w:bodyDiv w:val="1"/>
      <w:marLeft w:val="0"/>
      <w:marRight w:val="0"/>
      <w:marTop w:val="0"/>
      <w:marBottom w:val="0"/>
      <w:divBdr>
        <w:top w:val="none" w:sz="0" w:space="0" w:color="auto"/>
        <w:left w:val="none" w:sz="0" w:space="0" w:color="auto"/>
        <w:bottom w:val="none" w:sz="0" w:space="0" w:color="auto"/>
        <w:right w:val="none" w:sz="0" w:space="0" w:color="auto"/>
      </w:divBdr>
    </w:div>
    <w:div w:id="450242674">
      <w:bodyDiv w:val="1"/>
      <w:marLeft w:val="0"/>
      <w:marRight w:val="0"/>
      <w:marTop w:val="0"/>
      <w:marBottom w:val="0"/>
      <w:divBdr>
        <w:top w:val="none" w:sz="0" w:space="0" w:color="auto"/>
        <w:left w:val="none" w:sz="0" w:space="0" w:color="auto"/>
        <w:bottom w:val="none" w:sz="0" w:space="0" w:color="auto"/>
        <w:right w:val="none" w:sz="0" w:space="0" w:color="auto"/>
      </w:divBdr>
    </w:div>
    <w:div w:id="450973767">
      <w:bodyDiv w:val="1"/>
      <w:marLeft w:val="0"/>
      <w:marRight w:val="0"/>
      <w:marTop w:val="0"/>
      <w:marBottom w:val="0"/>
      <w:divBdr>
        <w:top w:val="none" w:sz="0" w:space="0" w:color="auto"/>
        <w:left w:val="none" w:sz="0" w:space="0" w:color="auto"/>
        <w:bottom w:val="none" w:sz="0" w:space="0" w:color="auto"/>
        <w:right w:val="none" w:sz="0" w:space="0" w:color="auto"/>
      </w:divBdr>
    </w:div>
    <w:div w:id="452022357">
      <w:bodyDiv w:val="1"/>
      <w:marLeft w:val="0"/>
      <w:marRight w:val="0"/>
      <w:marTop w:val="0"/>
      <w:marBottom w:val="0"/>
      <w:divBdr>
        <w:top w:val="none" w:sz="0" w:space="0" w:color="auto"/>
        <w:left w:val="none" w:sz="0" w:space="0" w:color="auto"/>
        <w:bottom w:val="none" w:sz="0" w:space="0" w:color="auto"/>
        <w:right w:val="none" w:sz="0" w:space="0" w:color="auto"/>
      </w:divBdr>
    </w:div>
    <w:div w:id="452941580">
      <w:bodyDiv w:val="1"/>
      <w:marLeft w:val="0"/>
      <w:marRight w:val="0"/>
      <w:marTop w:val="0"/>
      <w:marBottom w:val="0"/>
      <w:divBdr>
        <w:top w:val="none" w:sz="0" w:space="0" w:color="auto"/>
        <w:left w:val="none" w:sz="0" w:space="0" w:color="auto"/>
        <w:bottom w:val="none" w:sz="0" w:space="0" w:color="auto"/>
        <w:right w:val="none" w:sz="0" w:space="0" w:color="auto"/>
      </w:divBdr>
    </w:div>
    <w:div w:id="453401599">
      <w:bodyDiv w:val="1"/>
      <w:marLeft w:val="0"/>
      <w:marRight w:val="0"/>
      <w:marTop w:val="0"/>
      <w:marBottom w:val="0"/>
      <w:divBdr>
        <w:top w:val="none" w:sz="0" w:space="0" w:color="auto"/>
        <w:left w:val="none" w:sz="0" w:space="0" w:color="auto"/>
        <w:bottom w:val="none" w:sz="0" w:space="0" w:color="auto"/>
        <w:right w:val="none" w:sz="0" w:space="0" w:color="auto"/>
      </w:divBdr>
    </w:div>
    <w:div w:id="453520930">
      <w:bodyDiv w:val="1"/>
      <w:marLeft w:val="0"/>
      <w:marRight w:val="0"/>
      <w:marTop w:val="0"/>
      <w:marBottom w:val="0"/>
      <w:divBdr>
        <w:top w:val="none" w:sz="0" w:space="0" w:color="auto"/>
        <w:left w:val="none" w:sz="0" w:space="0" w:color="auto"/>
        <w:bottom w:val="none" w:sz="0" w:space="0" w:color="auto"/>
        <w:right w:val="none" w:sz="0" w:space="0" w:color="auto"/>
      </w:divBdr>
    </w:div>
    <w:div w:id="455491081">
      <w:bodyDiv w:val="1"/>
      <w:marLeft w:val="0"/>
      <w:marRight w:val="0"/>
      <w:marTop w:val="0"/>
      <w:marBottom w:val="0"/>
      <w:divBdr>
        <w:top w:val="none" w:sz="0" w:space="0" w:color="auto"/>
        <w:left w:val="none" w:sz="0" w:space="0" w:color="auto"/>
        <w:bottom w:val="none" w:sz="0" w:space="0" w:color="auto"/>
        <w:right w:val="none" w:sz="0" w:space="0" w:color="auto"/>
      </w:divBdr>
    </w:div>
    <w:div w:id="455492727">
      <w:bodyDiv w:val="1"/>
      <w:marLeft w:val="0"/>
      <w:marRight w:val="0"/>
      <w:marTop w:val="0"/>
      <w:marBottom w:val="0"/>
      <w:divBdr>
        <w:top w:val="none" w:sz="0" w:space="0" w:color="auto"/>
        <w:left w:val="none" w:sz="0" w:space="0" w:color="auto"/>
        <w:bottom w:val="none" w:sz="0" w:space="0" w:color="auto"/>
        <w:right w:val="none" w:sz="0" w:space="0" w:color="auto"/>
      </w:divBdr>
    </w:div>
    <w:div w:id="456531359">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57260664">
      <w:bodyDiv w:val="1"/>
      <w:marLeft w:val="0"/>
      <w:marRight w:val="0"/>
      <w:marTop w:val="0"/>
      <w:marBottom w:val="0"/>
      <w:divBdr>
        <w:top w:val="none" w:sz="0" w:space="0" w:color="auto"/>
        <w:left w:val="none" w:sz="0" w:space="0" w:color="auto"/>
        <w:bottom w:val="none" w:sz="0" w:space="0" w:color="auto"/>
        <w:right w:val="none" w:sz="0" w:space="0" w:color="auto"/>
      </w:divBdr>
    </w:div>
    <w:div w:id="458033859">
      <w:bodyDiv w:val="1"/>
      <w:marLeft w:val="0"/>
      <w:marRight w:val="0"/>
      <w:marTop w:val="0"/>
      <w:marBottom w:val="0"/>
      <w:divBdr>
        <w:top w:val="none" w:sz="0" w:space="0" w:color="auto"/>
        <w:left w:val="none" w:sz="0" w:space="0" w:color="auto"/>
        <w:bottom w:val="none" w:sz="0" w:space="0" w:color="auto"/>
        <w:right w:val="none" w:sz="0" w:space="0" w:color="auto"/>
      </w:divBdr>
    </w:div>
    <w:div w:id="458424562">
      <w:bodyDiv w:val="1"/>
      <w:marLeft w:val="0"/>
      <w:marRight w:val="0"/>
      <w:marTop w:val="0"/>
      <w:marBottom w:val="0"/>
      <w:divBdr>
        <w:top w:val="none" w:sz="0" w:space="0" w:color="auto"/>
        <w:left w:val="none" w:sz="0" w:space="0" w:color="auto"/>
        <w:bottom w:val="none" w:sz="0" w:space="0" w:color="auto"/>
        <w:right w:val="none" w:sz="0" w:space="0" w:color="auto"/>
      </w:divBdr>
    </w:div>
    <w:div w:id="458451730">
      <w:bodyDiv w:val="1"/>
      <w:marLeft w:val="0"/>
      <w:marRight w:val="0"/>
      <w:marTop w:val="0"/>
      <w:marBottom w:val="0"/>
      <w:divBdr>
        <w:top w:val="none" w:sz="0" w:space="0" w:color="auto"/>
        <w:left w:val="none" w:sz="0" w:space="0" w:color="auto"/>
        <w:bottom w:val="none" w:sz="0" w:space="0" w:color="auto"/>
        <w:right w:val="none" w:sz="0" w:space="0" w:color="auto"/>
      </w:divBdr>
    </w:div>
    <w:div w:id="458836180">
      <w:bodyDiv w:val="1"/>
      <w:marLeft w:val="0"/>
      <w:marRight w:val="0"/>
      <w:marTop w:val="0"/>
      <w:marBottom w:val="0"/>
      <w:divBdr>
        <w:top w:val="none" w:sz="0" w:space="0" w:color="auto"/>
        <w:left w:val="none" w:sz="0" w:space="0" w:color="auto"/>
        <w:bottom w:val="none" w:sz="0" w:space="0" w:color="auto"/>
        <w:right w:val="none" w:sz="0" w:space="0" w:color="auto"/>
      </w:divBdr>
    </w:div>
    <w:div w:id="459037470">
      <w:bodyDiv w:val="1"/>
      <w:marLeft w:val="0"/>
      <w:marRight w:val="0"/>
      <w:marTop w:val="0"/>
      <w:marBottom w:val="0"/>
      <w:divBdr>
        <w:top w:val="none" w:sz="0" w:space="0" w:color="auto"/>
        <w:left w:val="none" w:sz="0" w:space="0" w:color="auto"/>
        <w:bottom w:val="none" w:sz="0" w:space="0" w:color="auto"/>
        <w:right w:val="none" w:sz="0" w:space="0" w:color="auto"/>
      </w:divBdr>
    </w:div>
    <w:div w:id="459543296">
      <w:bodyDiv w:val="1"/>
      <w:marLeft w:val="0"/>
      <w:marRight w:val="0"/>
      <w:marTop w:val="0"/>
      <w:marBottom w:val="0"/>
      <w:divBdr>
        <w:top w:val="none" w:sz="0" w:space="0" w:color="auto"/>
        <w:left w:val="none" w:sz="0" w:space="0" w:color="auto"/>
        <w:bottom w:val="none" w:sz="0" w:space="0" w:color="auto"/>
        <w:right w:val="none" w:sz="0" w:space="0" w:color="auto"/>
      </w:divBdr>
    </w:div>
    <w:div w:id="459619118">
      <w:bodyDiv w:val="1"/>
      <w:marLeft w:val="0"/>
      <w:marRight w:val="0"/>
      <w:marTop w:val="0"/>
      <w:marBottom w:val="0"/>
      <w:divBdr>
        <w:top w:val="none" w:sz="0" w:space="0" w:color="auto"/>
        <w:left w:val="none" w:sz="0" w:space="0" w:color="auto"/>
        <w:bottom w:val="none" w:sz="0" w:space="0" w:color="auto"/>
        <w:right w:val="none" w:sz="0" w:space="0" w:color="auto"/>
      </w:divBdr>
    </w:div>
    <w:div w:id="460274083">
      <w:bodyDiv w:val="1"/>
      <w:marLeft w:val="0"/>
      <w:marRight w:val="0"/>
      <w:marTop w:val="0"/>
      <w:marBottom w:val="0"/>
      <w:divBdr>
        <w:top w:val="none" w:sz="0" w:space="0" w:color="auto"/>
        <w:left w:val="none" w:sz="0" w:space="0" w:color="auto"/>
        <w:bottom w:val="none" w:sz="0" w:space="0" w:color="auto"/>
        <w:right w:val="none" w:sz="0" w:space="0" w:color="auto"/>
      </w:divBdr>
    </w:div>
    <w:div w:id="460654268">
      <w:bodyDiv w:val="1"/>
      <w:marLeft w:val="0"/>
      <w:marRight w:val="0"/>
      <w:marTop w:val="0"/>
      <w:marBottom w:val="0"/>
      <w:divBdr>
        <w:top w:val="none" w:sz="0" w:space="0" w:color="auto"/>
        <w:left w:val="none" w:sz="0" w:space="0" w:color="auto"/>
        <w:bottom w:val="none" w:sz="0" w:space="0" w:color="auto"/>
        <w:right w:val="none" w:sz="0" w:space="0" w:color="auto"/>
      </w:divBdr>
    </w:div>
    <w:div w:id="461114766">
      <w:bodyDiv w:val="1"/>
      <w:marLeft w:val="0"/>
      <w:marRight w:val="0"/>
      <w:marTop w:val="0"/>
      <w:marBottom w:val="0"/>
      <w:divBdr>
        <w:top w:val="none" w:sz="0" w:space="0" w:color="auto"/>
        <w:left w:val="none" w:sz="0" w:space="0" w:color="auto"/>
        <w:bottom w:val="none" w:sz="0" w:space="0" w:color="auto"/>
        <w:right w:val="none" w:sz="0" w:space="0" w:color="auto"/>
      </w:divBdr>
    </w:div>
    <w:div w:id="461308264">
      <w:bodyDiv w:val="1"/>
      <w:marLeft w:val="0"/>
      <w:marRight w:val="0"/>
      <w:marTop w:val="0"/>
      <w:marBottom w:val="0"/>
      <w:divBdr>
        <w:top w:val="none" w:sz="0" w:space="0" w:color="auto"/>
        <w:left w:val="none" w:sz="0" w:space="0" w:color="auto"/>
        <w:bottom w:val="none" w:sz="0" w:space="0" w:color="auto"/>
        <w:right w:val="none" w:sz="0" w:space="0" w:color="auto"/>
      </w:divBdr>
    </w:div>
    <w:div w:id="462499812">
      <w:bodyDiv w:val="1"/>
      <w:marLeft w:val="0"/>
      <w:marRight w:val="0"/>
      <w:marTop w:val="0"/>
      <w:marBottom w:val="0"/>
      <w:divBdr>
        <w:top w:val="none" w:sz="0" w:space="0" w:color="auto"/>
        <w:left w:val="none" w:sz="0" w:space="0" w:color="auto"/>
        <w:bottom w:val="none" w:sz="0" w:space="0" w:color="auto"/>
        <w:right w:val="none" w:sz="0" w:space="0" w:color="auto"/>
      </w:divBdr>
    </w:div>
    <w:div w:id="462504087">
      <w:bodyDiv w:val="1"/>
      <w:marLeft w:val="0"/>
      <w:marRight w:val="0"/>
      <w:marTop w:val="0"/>
      <w:marBottom w:val="0"/>
      <w:divBdr>
        <w:top w:val="none" w:sz="0" w:space="0" w:color="auto"/>
        <w:left w:val="none" w:sz="0" w:space="0" w:color="auto"/>
        <w:bottom w:val="none" w:sz="0" w:space="0" w:color="auto"/>
        <w:right w:val="none" w:sz="0" w:space="0" w:color="auto"/>
      </w:divBdr>
    </w:div>
    <w:div w:id="463542978">
      <w:bodyDiv w:val="1"/>
      <w:marLeft w:val="0"/>
      <w:marRight w:val="0"/>
      <w:marTop w:val="0"/>
      <w:marBottom w:val="0"/>
      <w:divBdr>
        <w:top w:val="none" w:sz="0" w:space="0" w:color="auto"/>
        <w:left w:val="none" w:sz="0" w:space="0" w:color="auto"/>
        <w:bottom w:val="none" w:sz="0" w:space="0" w:color="auto"/>
        <w:right w:val="none" w:sz="0" w:space="0" w:color="auto"/>
      </w:divBdr>
    </w:div>
    <w:div w:id="464006092">
      <w:bodyDiv w:val="1"/>
      <w:marLeft w:val="0"/>
      <w:marRight w:val="0"/>
      <w:marTop w:val="0"/>
      <w:marBottom w:val="0"/>
      <w:divBdr>
        <w:top w:val="none" w:sz="0" w:space="0" w:color="auto"/>
        <w:left w:val="none" w:sz="0" w:space="0" w:color="auto"/>
        <w:bottom w:val="none" w:sz="0" w:space="0" w:color="auto"/>
        <w:right w:val="none" w:sz="0" w:space="0" w:color="auto"/>
      </w:divBdr>
    </w:div>
    <w:div w:id="464590784">
      <w:bodyDiv w:val="1"/>
      <w:marLeft w:val="0"/>
      <w:marRight w:val="0"/>
      <w:marTop w:val="0"/>
      <w:marBottom w:val="0"/>
      <w:divBdr>
        <w:top w:val="none" w:sz="0" w:space="0" w:color="auto"/>
        <w:left w:val="none" w:sz="0" w:space="0" w:color="auto"/>
        <w:bottom w:val="none" w:sz="0" w:space="0" w:color="auto"/>
        <w:right w:val="none" w:sz="0" w:space="0" w:color="auto"/>
      </w:divBdr>
    </w:div>
    <w:div w:id="465197823">
      <w:bodyDiv w:val="1"/>
      <w:marLeft w:val="0"/>
      <w:marRight w:val="0"/>
      <w:marTop w:val="0"/>
      <w:marBottom w:val="0"/>
      <w:divBdr>
        <w:top w:val="none" w:sz="0" w:space="0" w:color="auto"/>
        <w:left w:val="none" w:sz="0" w:space="0" w:color="auto"/>
        <w:bottom w:val="none" w:sz="0" w:space="0" w:color="auto"/>
        <w:right w:val="none" w:sz="0" w:space="0" w:color="auto"/>
      </w:divBdr>
    </w:div>
    <w:div w:id="465318867">
      <w:bodyDiv w:val="1"/>
      <w:marLeft w:val="0"/>
      <w:marRight w:val="0"/>
      <w:marTop w:val="0"/>
      <w:marBottom w:val="0"/>
      <w:divBdr>
        <w:top w:val="none" w:sz="0" w:space="0" w:color="auto"/>
        <w:left w:val="none" w:sz="0" w:space="0" w:color="auto"/>
        <w:bottom w:val="none" w:sz="0" w:space="0" w:color="auto"/>
        <w:right w:val="none" w:sz="0" w:space="0" w:color="auto"/>
      </w:divBdr>
    </w:div>
    <w:div w:id="465661739">
      <w:bodyDiv w:val="1"/>
      <w:marLeft w:val="0"/>
      <w:marRight w:val="0"/>
      <w:marTop w:val="0"/>
      <w:marBottom w:val="0"/>
      <w:divBdr>
        <w:top w:val="none" w:sz="0" w:space="0" w:color="auto"/>
        <w:left w:val="none" w:sz="0" w:space="0" w:color="auto"/>
        <w:bottom w:val="none" w:sz="0" w:space="0" w:color="auto"/>
        <w:right w:val="none" w:sz="0" w:space="0" w:color="auto"/>
      </w:divBdr>
    </w:div>
    <w:div w:id="465701753">
      <w:bodyDiv w:val="1"/>
      <w:marLeft w:val="0"/>
      <w:marRight w:val="0"/>
      <w:marTop w:val="0"/>
      <w:marBottom w:val="0"/>
      <w:divBdr>
        <w:top w:val="none" w:sz="0" w:space="0" w:color="auto"/>
        <w:left w:val="none" w:sz="0" w:space="0" w:color="auto"/>
        <w:bottom w:val="none" w:sz="0" w:space="0" w:color="auto"/>
        <w:right w:val="none" w:sz="0" w:space="0" w:color="auto"/>
      </w:divBdr>
    </w:div>
    <w:div w:id="465854108">
      <w:bodyDiv w:val="1"/>
      <w:marLeft w:val="0"/>
      <w:marRight w:val="0"/>
      <w:marTop w:val="0"/>
      <w:marBottom w:val="0"/>
      <w:divBdr>
        <w:top w:val="none" w:sz="0" w:space="0" w:color="auto"/>
        <w:left w:val="none" w:sz="0" w:space="0" w:color="auto"/>
        <w:bottom w:val="none" w:sz="0" w:space="0" w:color="auto"/>
        <w:right w:val="none" w:sz="0" w:space="0" w:color="auto"/>
      </w:divBdr>
    </w:div>
    <w:div w:id="468910483">
      <w:bodyDiv w:val="1"/>
      <w:marLeft w:val="0"/>
      <w:marRight w:val="0"/>
      <w:marTop w:val="0"/>
      <w:marBottom w:val="0"/>
      <w:divBdr>
        <w:top w:val="none" w:sz="0" w:space="0" w:color="auto"/>
        <w:left w:val="none" w:sz="0" w:space="0" w:color="auto"/>
        <w:bottom w:val="none" w:sz="0" w:space="0" w:color="auto"/>
        <w:right w:val="none" w:sz="0" w:space="0" w:color="auto"/>
      </w:divBdr>
    </w:div>
    <w:div w:id="469902498">
      <w:bodyDiv w:val="1"/>
      <w:marLeft w:val="0"/>
      <w:marRight w:val="0"/>
      <w:marTop w:val="0"/>
      <w:marBottom w:val="0"/>
      <w:divBdr>
        <w:top w:val="none" w:sz="0" w:space="0" w:color="auto"/>
        <w:left w:val="none" w:sz="0" w:space="0" w:color="auto"/>
        <w:bottom w:val="none" w:sz="0" w:space="0" w:color="auto"/>
        <w:right w:val="none" w:sz="0" w:space="0" w:color="auto"/>
      </w:divBdr>
    </w:div>
    <w:div w:id="472605598">
      <w:bodyDiv w:val="1"/>
      <w:marLeft w:val="0"/>
      <w:marRight w:val="0"/>
      <w:marTop w:val="0"/>
      <w:marBottom w:val="0"/>
      <w:divBdr>
        <w:top w:val="none" w:sz="0" w:space="0" w:color="auto"/>
        <w:left w:val="none" w:sz="0" w:space="0" w:color="auto"/>
        <w:bottom w:val="none" w:sz="0" w:space="0" w:color="auto"/>
        <w:right w:val="none" w:sz="0" w:space="0" w:color="auto"/>
      </w:divBdr>
    </w:div>
    <w:div w:id="472647669">
      <w:bodyDiv w:val="1"/>
      <w:marLeft w:val="0"/>
      <w:marRight w:val="0"/>
      <w:marTop w:val="0"/>
      <w:marBottom w:val="0"/>
      <w:divBdr>
        <w:top w:val="none" w:sz="0" w:space="0" w:color="auto"/>
        <w:left w:val="none" w:sz="0" w:space="0" w:color="auto"/>
        <w:bottom w:val="none" w:sz="0" w:space="0" w:color="auto"/>
        <w:right w:val="none" w:sz="0" w:space="0" w:color="auto"/>
      </w:divBdr>
    </w:div>
    <w:div w:id="472910060">
      <w:bodyDiv w:val="1"/>
      <w:marLeft w:val="0"/>
      <w:marRight w:val="0"/>
      <w:marTop w:val="0"/>
      <w:marBottom w:val="0"/>
      <w:divBdr>
        <w:top w:val="none" w:sz="0" w:space="0" w:color="auto"/>
        <w:left w:val="none" w:sz="0" w:space="0" w:color="auto"/>
        <w:bottom w:val="none" w:sz="0" w:space="0" w:color="auto"/>
        <w:right w:val="none" w:sz="0" w:space="0" w:color="auto"/>
      </w:divBdr>
    </w:div>
    <w:div w:id="472912296">
      <w:bodyDiv w:val="1"/>
      <w:marLeft w:val="0"/>
      <w:marRight w:val="0"/>
      <w:marTop w:val="0"/>
      <w:marBottom w:val="0"/>
      <w:divBdr>
        <w:top w:val="none" w:sz="0" w:space="0" w:color="auto"/>
        <w:left w:val="none" w:sz="0" w:space="0" w:color="auto"/>
        <w:bottom w:val="none" w:sz="0" w:space="0" w:color="auto"/>
        <w:right w:val="none" w:sz="0" w:space="0" w:color="auto"/>
      </w:divBdr>
    </w:div>
    <w:div w:id="473452422">
      <w:bodyDiv w:val="1"/>
      <w:marLeft w:val="0"/>
      <w:marRight w:val="0"/>
      <w:marTop w:val="0"/>
      <w:marBottom w:val="0"/>
      <w:divBdr>
        <w:top w:val="none" w:sz="0" w:space="0" w:color="auto"/>
        <w:left w:val="none" w:sz="0" w:space="0" w:color="auto"/>
        <w:bottom w:val="none" w:sz="0" w:space="0" w:color="auto"/>
        <w:right w:val="none" w:sz="0" w:space="0" w:color="auto"/>
      </w:divBdr>
    </w:div>
    <w:div w:id="473907566">
      <w:bodyDiv w:val="1"/>
      <w:marLeft w:val="0"/>
      <w:marRight w:val="0"/>
      <w:marTop w:val="0"/>
      <w:marBottom w:val="0"/>
      <w:divBdr>
        <w:top w:val="none" w:sz="0" w:space="0" w:color="auto"/>
        <w:left w:val="none" w:sz="0" w:space="0" w:color="auto"/>
        <w:bottom w:val="none" w:sz="0" w:space="0" w:color="auto"/>
        <w:right w:val="none" w:sz="0" w:space="0" w:color="auto"/>
      </w:divBdr>
    </w:div>
    <w:div w:id="474295225">
      <w:bodyDiv w:val="1"/>
      <w:marLeft w:val="0"/>
      <w:marRight w:val="0"/>
      <w:marTop w:val="0"/>
      <w:marBottom w:val="0"/>
      <w:divBdr>
        <w:top w:val="none" w:sz="0" w:space="0" w:color="auto"/>
        <w:left w:val="none" w:sz="0" w:space="0" w:color="auto"/>
        <w:bottom w:val="none" w:sz="0" w:space="0" w:color="auto"/>
        <w:right w:val="none" w:sz="0" w:space="0" w:color="auto"/>
      </w:divBdr>
    </w:div>
    <w:div w:id="476652773">
      <w:bodyDiv w:val="1"/>
      <w:marLeft w:val="0"/>
      <w:marRight w:val="0"/>
      <w:marTop w:val="0"/>
      <w:marBottom w:val="0"/>
      <w:divBdr>
        <w:top w:val="none" w:sz="0" w:space="0" w:color="auto"/>
        <w:left w:val="none" w:sz="0" w:space="0" w:color="auto"/>
        <w:bottom w:val="none" w:sz="0" w:space="0" w:color="auto"/>
        <w:right w:val="none" w:sz="0" w:space="0" w:color="auto"/>
      </w:divBdr>
    </w:div>
    <w:div w:id="479007229">
      <w:bodyDiv w:val="1"/>
      <w:marLeft w:val="0"/>
      <w:marRight w:val="0"/>
      <w:marTop w:val="0"/>
      <w:marBottom w:val="0"/>
      <w:divBdr>
        <w:top w:val="none" w:sz="0" w:space="0" w:color="auto"/>
        <w:left w:val="none" w:sz="0" w:space="0" w:color="auto"/>
        <w:bottom w:val="none" w:sz="0" w:space="0" w:color="auto"/>
        <w:right w:val="none" w:sz="0" w:space="0" w:color="auto"/>
      </w:divBdr>
    </w:div>
    <w:div w:id="479418430">
      <w:bodyDiv w:val="1"/>
      <w:marLeft w:val="0"/>
      <w:marRight w:val="0"/>
      <w:marTop w:val="0"/>
      <w:marBottom w:val="0"/>
      <w:divBdr>
        <w:top w:val="none" w:sz="0" w:space="0" w:color="auto"/>
        <w:left w:val="none" w:sz="0" w:space="0" w:color="auto"/>
        <w:bottom w:val="none" w:sz="0" w:space="0" w:color="auto"/>
        <w:right w:val="none" w:sz="0" w:space="0" w:color="auto"/>
      </w:divBdr>
    </w:div>
    <w:div w:id="479469473">
      <w:bodyDiv w:val="1"/>
      <w:marLeft w:val="0"/>
      <w:marRight w:val="0"/>
      <w:marTop w:val="0"/>
      <w:marBottom w:val="0"/>
      <w:divBdr>
        <w:top w:val="none" w:sz="0" w:space="0" w:color="auto"/>
        <w:left w:val="none" w:sz="0" w:space="0" w:color="auto"/>
        <w:bottom w:val="none" w:sz="0" w:space="0" w:color="auto"/>
        <w:right w:val="none" w:sz="0" w:space="0" w:color="auto"/>
      </w:divBdr>
    </w:div>
    <w:div w:id="480004503">
      <w:bodyDiv w:val="1"/>
      <w:marLeft w:val="0"/>
      <w:marRight w:val="0"/>
      <w:marTop w:val="0"/>
      <w:marBottom w:val="0"/>
      <w:divBdr>
        <w:top w:val="none" w:sz="0" w:space="0" w:color="auto"/>
        <w:left w:val="none" w:sz="0" w:space="0" w:color="auto"/>
        <w:bottom w:val="none" w:sz="0" w:space="0" w:color="auto"/>
        <w:right w:val="none" w:sz="0" w:space="0" w:color="auto"/>
      </w:divBdr>
    </w:div>
    <w:div w:id="481892619">
      <w:bodyDiv w:val="1"/>
      <w:marLeft w:val="0"/>
      <w:marRight w:val="0"/>
      <w:marTop w:val="0"/>
      <w:marBottom w:val="0"/>
      <w:divBdr>
        <w:top w:val="none" w:sz="0" w:space="0" w:color="auto"/>
        <w:left w:val="none" w:sz="0" w:space="0" w:color="auto"/>
        <w:bottom w:val="none" w:sz="0" w:space="0" w:color="auto"/>
        <w:right w:val="none" w:sz="0" w:space="0" w:color="auto"/>
      </w:divBdr>
    </w:div>
    <w:div w:id="482235840">
      <w:bodyDiv w:val="1"/>
      <w:marLeft w:val="0"/>
      <w:marRight w:val="0"/>
      <w:marTop w:val="0"/>
      <w:marBottom w:val="0"/>
      <w:divBdr>
        <w:top w:val="none" w:sz="0" w:space="0" w:color="auto"/>
        <w:left w:val="none" w:sz="0" w:space="0" w:color="auto"/>
        <w:bottom w:val="none" w:sz="0" w:space="0" w:color="auto"/>
        <w:right w:val="none" w:sz="0" w:space="0" w:color="auto"/>
      </w:divBdr>
    </w:div>
    <w:div w:id="483206138">
      <w:bodyDiv w:val="1"/>
      <w:marLeft w:val="0"/>
      <w:marRight w:val="0"/>
      <w:marTop w:val="0"/>
      <w:marBottom w:val="0"/>
      <w:divBdr>
        <w:top w:val="none" w:sz="0" w:space="0" w:color="auto"/>
        <w:left w:val="none" w:sz="0" w:space="0" w:color="auto"/>
        <w:bottom w:val="none" w:sz="0" w:space="0" w:color="auto"/>
        <w:right w:val="none" w:sz="0" w:space="0" w:color="auto"/>
      </w:divBdr>
    </w:div>
    <w:div w:id="483594805">
      <w:bodyDiv w:val="1"/>
      <w:marLeft w:val="0"/>
      <w:marRight w:val="0"/>
      <w:marTop w:val="0"/>
      <w:marBottom w:val="0"/>
      <w:divBdr>
        <w:top w:val="none" w:sz="0" w:space="0" w:color="auto"/>
        <w:left w:val="none" w:sz="0" w:space="0" w:color="auto"/>
        <w:bottom w:val="none" w:sz="0" w:space="0" w:color="auto"/>
        <w:right w:val="none" w:sz="0" w:space="0" w:color="auto"/>
      </w:divBdr>
    </w:div>
    <w:div w:id="484930864">
      <w:bodyDiv w:val="1"/>
      <w:marLeft w:val="0"/>
      <w:marRight w:val="0"/>
      <w:marTop w:val="0"/>
      <w:marBottom w:val="0"/>
      <w:divBdr>
        <w:top w:val="none" w:sz="0" w:space="0" w:color="auto"/>
        <w:left w:val="none" w:sz="0" w:space="0" w:color="auto"/>
        <w:bottom w:val="none" w:sz="0" w:space="0" w:color="auto"/>
        <w:right w:val="none" w:sz="0" w:space="0" w:color="auto"/>
      </w:divBdr>
    </w:div>
    <w:div w:id="485321671">
      <w:bodyDiv w:val="1"/>
      <w:marLeft w:val="0"/>
      <w:marRight w:val="0"/>
      <w:marTop w:val="0"/>
      <w:marBottom w:val="0"/>
      <w:divBdr>
        <w:top w:val="none" w:sz="0" w:space="0" w:color="auto"/>
        <w:left w:val="none" w:sz="0" w:space="0" w:color="auto"/>
        <w:bottom w:val="none" w:sz="0" w:space="0" w:color="auto"/>
        <w:right w:val="none" w:sz="0" w:space="0" w:color="auto"/>
      </w:divBdr>
    </w:div>
    <w:div w:id="485586430">
      <w:bodyDiv w:val="1"/>
      <w:marLeft w:val="0"/>
      <w:marRight w:val="0"/>
      <w:marTop w:val="0"/>
      <w:marBottom w:val="0"/>
      <w:divBdr>
        <w:top w:val="none" w:sz="0" w:space="0" w:color="auto"/>
        <w:left w:val="none" w:sz="0" w:space="0" w:color="auto"/>
        <w:bottom w:val="none" w:sz="0" w:space="0" w:color="auto"/>
        <w:right w:val="none" w:sz="0" w:space="0" w:color="auto"/>
      </w:divBdr>
    </w:div>
    <w:div w:id="485785266">
      <w:bodyDiv w:val="1"/>
      <w:marLeft w:val="0"/>
      <w:marRight w:val="0"/>
      <w:marTop w:val="0"/>
      <w:marBottom w:val="0"/>
      <w:divBdr>
        <w:top w:val="none" w:sz="0" w:space="0" w:color="auto"/>
        <w:left w:val="none" w:sz="0" w:space="0" w:color="auto"/>
        <w:bottom w:val="none" w:sz="0" w:space="0" w:color="auto"/>
        <w:right w:val="none" w:sz="0" w:space="0" w:color="auto"/>
      </w:divBdr>
    </w:div>
    <w:div w:id="487481011">
      <w:bodyDiv w:val="1"/>
      <w:marLeft w:val="0"/>
      <w:marRight w:val="0"/>
      <w:marTop w:val="0"/>
      <w:marBottom w:val="0"/>
      <w:divBdr>
        <w:top w:val="none" w:sz="0" w:space="0" w:color="auto"/>
        <w:left w:val="none" w:sz="0" w:space="0" w:color="auto"/>
        <w:bottom w:val="none" w:sz="0" w:space="0" w:color="auto"/>
        <w:right w:val="none" w:sz="0" w:space="0" w:color="auto"/>
      </w:divBdr>
    </w:div>
    <w:div w:id="488713251">
      <w:bodyDiv w:val="1"/>
      <w:marLeft w:val="0"/>
      <w:marRight w:val="0"/>
      <w:marTop w:val="0"/>
      <w:marBottom w:val="0"/>
      <w:divBdr>
        <w:top w:val="none" w:sz="0" w:space="0" w:color="auto"/>
        <w:left w:val="none" w:sz="0" w:space="0" w:color="auto"/>
        <w:bottom w:val="none" w:sz="0" w:space="0" w:color="auto"/>
        <w:right w:val="none" w:sz="0" w:space="0" w:color="auto"/>
      </w:divBdr>
    </w:div>
    <w:div w:id="488836405">
      <w:bodyDiv w:val="1"/>
      <w:marLeft w:val="0"/>
      <w:marRight w:val="0"/>
      <w:marTop w:val="0"/>
      <w:marBottom w:val="0"/>
      <w:divBdr>
        <w:top w:val="none" w:sz="0" w:space="0" w:color="auto"/>
        <w:left w:val="none" w:sz="0" w:space="0" w:color="auto"/>
        <w:bottom w:val="none" w:sz="0" w:space="0" w:color="auto"/>
        <w:right w:val="none" w:sz="0" w:space="0" w:color="auto"/>
      </w:divBdr>
    </w:div>
    <w:div w:id="489173244">
      <w:bodyDiv w:val="1"/>
      <w:marLeft w:val="0"/>
      <w:marRight w:val="0"/>
      <w:marTop w:val="0"/>
      <w:marBottom w:val="0"/>
      <w:divBdr>
        <w:top w:val="none" w:sz="0" w:space="0" w:color="auto"/>
        <w:left w:val="none" w:sz="0" w:space="0" w:color="auto"/>
        <w:bottom w:val="none" w:sz="0" w:space="0" w:color="auto"/>
        <w:right w:val="none" w:sz="0" w:space="0" w:color="auto"/>
      </w:divBdr>
    </w:div>
    <w:div w:id="490487368">
      <w:bodyDiv w:val="1"/>
      <w:marLeft w:val="0"/>
      <w:marRight w:val="0"/>
      <w:marTop w:val="0"/>
      <w:marBottom w:val="0"/>
      <w:divBdr>
        <w:top w:val="none" w:sz="0" w:space="0" w:color="auto"/>
        <w:left w:val="none" w:sz="0" w:space="0" w:color="auto"/>
        <w:bottom w:val="none" w:sz="0" w:space="0" w:color="auto"/>
        <w:right w:val="none" w:sz="0" w:space="0" w:color="auto"/>
      </w:divBdr>
    </w:div>
    <w:div w:id="490681308">
      <w:bodyDiv w:val="1"/>
      <w:marLeft w:val="0"/>
      <w:marRight w:val="0"/>
      <w:marTop w:val="0"/>
      <w:marBottom w:val="0"/>
      <w:divBdr>
        <w:top w:val="none" w:sz="0" w:space="0" w:color="auto"/>
        <w:left w:val="none" w:sz="0" w:space="0" w:color="auto"/>
        <w:bottom w:val="none" w:sz="0" w:space="0" w:color="auto"/>
        <w:right w:val="none" w:sz="0" w:space="0" w:color="auto"/>
      </w:divBdr>
    </w:div>
    <w:div w:id="492188974">
      <w:bodyDiv w:val="1"/>
      <w:marLeft w:val="0"/>
      <w:marRight w:val="0"/>
      <w:marTop w:val="0"/>
      <w:marBottom w:val="0"/>
      <w:divBdr>
        <w:top w:val="none" w:sz="0" w:space="0" w:color="auto"/>
        <w:left w:val="none" w:sz="0" w:space="0" w:color="auto"/>
        <w:bottom w:val="none" w:sz="0" w:space="0" w:color="auto"/>
        <w:right w:val="none" w:sz="0" w:space="0" w:color="auto"/>
      </w:divBdr>
    </w:div>
    <w:div w:id="492330428">
      <w:bodyDiv w:val="1"/>
      <w:marLeft w:val="0"/>
      <w:marRight w:val="0"/>
      <w:marTop w:val="0"/>
      <w:marBottom w:val="0"/>
      <w:divBdr>
        <w:top w:val="none" w:sz="0" w:space="0" w:color="auto"/>
        <w:left w:val="none" w:sz="0" w:space="0" w:color="auto"/>
        <w:bottom w:val="none" w:sz="0" w:space="0" w:color="auto"/>
        <w:right w:val="none" w:sz="0" w:space="0" w:color="auto"/>
      </w:divBdr>
    </w:div>
    <w:div w:id="493499520">
      <w:bodyDiv w:val="1"/>
      <w:marLeft w:val="0"/>
      <w:marRight w:val="0"/>
      <w:marTop w:val="0"/>
      <w:marBottom w:val="0"/>
      <w:divBdr>
        <w:top w:val="none" w:sz="0" w:space="0" w:color="auto"/>
        <w:left w:val="none" w:sz="0" w:space="0" w:color="auto"/>
        <w:bottom w:val="none" w:sz="0" w:space="0" w:color="auto"/>
        <w:right w:val="none" w:sz="0" w:space="0" w:color="auto"/>
      </w:divBdr>
    </w:div>
    <w:div w:id="495344419">
      <w:bodyDiv w:val="1"/>
      <w:marLeft w:val="0"/>
      <w:marRight w:val="0"/>
      <w:marTop w:val="0"/>
      <w:marBottom w:val="0"/>
      <w:divBdr>
        <w:top w:val="none" w:sz="0" w:space="0" w:color="auto"/>
        <w:left w:val="none" w:sz="0" w:space="0" w:color="auto"/>
        <w:bottom w:val="none" w:sz="0" w:space="0" w:color="auto"/>
        <w:right w:val="none" w:sz="0" w:space="0" w:color="auto"/>
      </w:divBdr>
    </w:div>
    <w:div w:id="495653476">
      <w:bodyDiv w:val="1"/>
      <w:marLeft w:val="0"/>
      <w:marRight w:val="0"/>
      <w:marTop w:val="0"/>
      <w:marBottom w:val="0"/>
      <w:divBdr>
        <w:top w:val="none" w:sz="0" w:space="0" w:color="auto"/>
        <w:left w:val="none" w:sz="0" w:space="0" w:color="auto"/>
        <w:bottom w:val="none" w:sz="0" w:space="0" w:color="auto"/>
        <w:right w:val="none" w:sz="0" w:space="0" w:color="auto"/>
      </w:divBdr>
    </w:div>
    <w:div w:id="496967232">
      <w:bodyDiv w:val="1"/>
      <w:marLeft w:val="0"/>
      <w:marRight w:val="0"/>
      <w:marTop w:val="0"/>
      <w:marBottom w:val="0"/>
      <w:divBdr>
        <w:top w:val="none" w:sz="0" w:space="0" w:color="auto"/>
        <w:left w:val="none" w:sz="0" w:space="0" w:color="auto"/>
        <w:bottom w:val="none" w:sz="0" w:space="0" w:color="auto"/>
        <w:right w:val="none" w:sz="0" w:space="0" w:color="auto"/>
      </w:divBdr>
    </w:div>
    <w:div w:id="497385074">
      <w:bodyDiv w:val="1"/>
      <w:marLeft w:val="0"/>
      <w:marRight w:val="0"/>
      <w:marTop w:val="0"/>
      <w:marBottom w:val="0"/>
      <w:divBdr>
        <w:top w:val="none" w:sz="0" w:space="0" w:color="auto"/>
        <w:left w:val="none" w:sz="0" w:space="0" w:color="auto"/>
        <w:bottom w:val="none" w:sz="0" w:space="0" w:color="auto"/>
        <w:right w:val="none" w:sz="0" w:space="0" w:color="auto"/>
      </w:divBdr>
    </w:div>
    <w:div w:id="497574616">
      <w:bodyDiv w:val="1"/>
      <w:marLeft w:val="0"/>
      <w:marRight w:val="0"/>
      <w:marTop w:val="0"/>
      <w:marBottom w:val="0"/>
      <w:divBdr>
        <w:top w:val="none" w:sz="0" w:space="0" w:color="auto"/>
        <w:left w:val="none" w:sz="0" w:space="0" w:color="auto"/>
        <w:bottom w:val="none" w:sz="0" w:space="0" w:color="auto"/>
        <w:right w:val="none" w:sz="0" w:space="0" w:color="auto"/>
      </w:divBdr>
    </w:div>
    <w:div w:id="499006208">
      <w:bodyDiv w:val="1"/>
      <w:marLeft w:val="0"/>
      <w:marRight w:val="0"/>
      <w:marTop w:val="0"/>
      <w:marBottom w:val="0"/>
      <w:divBdr>
        <w:top w:val="none" w:sz="0" w:space="0" w:color="auto"/>
        <w:left w:val="none" w:sz="0" w:space="0" w:color="auto"/>
        <w:bottom w:val="none" w:sz="0" w:space="0" w:color="auto"/>
        <w:right w:val="none" w:sz="0" w:space="0" w:color="auto"/>
      </w:divBdr>
    </w:div>
    <w:div w:id="499347358">
      <w:bodyDiv w:val="1"/>
      <w:marLeft w:val="0"/>
      <w:marRight w:val="0"/>
      <w:marTop w:val="0"/>
      <w:marBottom w:val="0"/>
      <w:divBdr>
        <w:top w:val="none" w:sz="0" w:space="0" w:color="auto"/>
        <w:left w:val="none" w:sz="0" w:space="0" w:color="auto"/>
        <w:bottom w:val="none" w:sz="0" w:space="0" w:color="auto"/>
        <w:right w:val="none" w:sz="0" w:space="0" w:color="auto"/>
      </w:divBdr>
    </w:div>
    <w:div w:id="500237171">
      <w:bodyDiv w:val="1"/>
      <w:marLeft w:val="0"/>
      <w:marRight w:val="0"/>
      <w:marTop w:val="0"/>
      <w:marBottom w:val="0"/>
      <w:divBdr>
        <w:top w:val="none" w:sz="0" w:space="0" w:color="auto"/>
        <w:left w:val="none" w:sz="0" w:space="0" w:color="auto"/>
        <w:bottom w:val="none" w:sz="0" w:space="0" w:color="auto"/>
        <w:right w:val="none" w:sz="0" w:space="0" w:color="auto"/>
      </w:divBdr>
    </w:div>
    <w:div w:id="501512462">
      <w:bodyDiv w:val="1"/>
      <w:marLeft w:val="0"/>
      <w:marRight w:val="0"/>
      <w:marTop w:val="0"/>
      <w:marBottom w:val="0"/>
      <w:divBdr>
        <w:top w:val="none" w:sz="0" w:space="0" w:color="auto"/>
        <w:left w:val="none" w:sz="0" w:space="0" w:color="auto"/>
        <w:bottom w:val="none" w:sz="0" w:space="0" w:color="auto"/>
        <w:right w:val="none" w:sz="0" w:space="0" w:color="auto"/>
      </w:divBdr>
    </w:div>
    <w:div w:id="506142684">
      <w:bodyDiv w:val="1"/>
      <w:marLeft w:val="0"/>
      <w:marRight w:val="0"/>
      <w:marTop w:val="0"/>
      <w:marBottom w:val="0"/>
      <w:divBdr>
        <w:top w:val="none" w:sz="0" w:space="0" w:color="auto"/>
        <w:left w:val="none" w:sz="0" w:space="0" w:color="auto"/>
        <w:bottom w:val="none" w:sz="0" w:space="0" w:color="auto"/>
        <w:right w:val="none" w:sz="0" w:space="0" w:color="auto"/>
      </w:divBdr>
    </w:div>
    <w:div w:id="507140556">
      <w:bodyDiv w:val="1"/>
      <w:marLeft w:val="0"/>
      <w:marRight w:val="0"/>
      <w:marTop w:val="0"/>
      <w:marBottom w:val="0"/>
      <w:divBdr>
        <w:top w:val="none" w:sz="0" w:space="0" w:color="auto"/>
        <w:left w:val="none" w:sz="0" w:space="0" w:color="auto"/>
        <w:bottom w:val="none" w:sz="0" w:space="0" w:color="auto"/>
        <w:right w:val="none" w:sz="0" w:space="0" w:color="auto"/>
      </w:divBdr>
    </w:div>
    <w:div w:id="508524825">
      <w:bodyDiv w:val="1"/>
      <w:marLeft w:val="0"/>
      <w:marRight w:val="0"/>
      <w:marTop w:val="0"/>
      <w:marBottom w:val="0"/>
      <w:divBdr>
        <w:top w:val="none" w:sz="0" w:space="0" w:color="auto"/>
        <w:left w:val="none" w:sz="0" w:space="0" w:color="auto"/>
        <w:bottom w:val="none" w:sz="0" w:space="0" w:color="auto"/>
        <w:right w:val="none" w:sz="0" w:space="0" w:color="auto"/>
      </w:divBdr>
    </w:div>
    <w:div w:id="509098662">
      <w:bodyDiv w:val="1"/>
      <w:marLeft w:val="0"/>
      <w:marRight w:val="0"/>
      <w:marTop w:val="0"/>
      <w:marBottom w:val="0"/>
      <w:divBdr>
        <w:top w:val="none" w:sz="0" w:space="0" w:color="auto"/>
        <w:left w:val="none" w:sz="0" w:space="0" w:color="auto"/>
        <w:bottom w:val="none" w:sz="0" w:space="0" w:color="auto"/>
        <w:right w:val="none" w:sz="0" w:space="0" w:color="auto"/>
      </w:divBdr>
    </w:div>
    <w:div w:id="510025658">
      <w:bodyDiv w:val="1"/>
      <w:marLeft w:val="0"/>
      <w:marRight w:val="0"/>
      <w:marTop w:val="0"/>
      <w:marBottom w:val="0"/>
      <w:divBdr>
        <w:top w:val="none" w:sz="0" w:space="0" w:color="auto"/>
        <w:left w:val="none" w:sz="0" w:space="0" w:color="auto"/>
        <w:bottom w:val="none" w:sz="0" w:space="0" w:color="auto"/>
        <w:right w:val="none" w:sz="0" w:space="0" w:color="auto"/>
      </w:divBdr>
    </w:div>
    <w:div w:id="510028838">
      <w:bodyDiv w:val="1"/>
      <w:marLeft w:val="0"/>
      <w:marRight w:val="0"/>
      <w:marTop w:val="0"/>
      <w:marBottom w:val="0"/>
      <w:divBdr>
        <w:top w:val="none" w:sz="0" w:space="0" w:color="auto"/>
        <w:left w:val="none" w:sz="0" w:space="0" w:color="auto"/>
        <w:bottom w:val="none" w:sz="0" w:space="0" w:color="auto"/>
        <w:right w:val="none" w:sz="0" w:space="0" w:color="auto"/>
      </w:divBdr>
    </w:div>
    <w:div w:id="511647981">
      <w:bodyDiv w:val="1"/>
      <w:marLeft w:val="0"/>
      <w:marRight w:val="0"/>
      <w:marTop w:val="0"/>
      <w:marBottom w:val="0"/>
      <w:divBdr>
        <w:top w:val="none" w:sz="0" w:space="0" w:color="auto"/>
        <w:left w:val="none" w:sz="0" w:space="0" w:color="auto"/>
        <w:bottom w:val="none" w:sz="0" w:space="0" w:color="auto"/>
        <w:right w:val="none" w:sz="0" w:space="0" w:color="auto"/>
      </w:divBdr>
    </w:div>
    <w:div w:id="512111941">
      <w:bodyDiv w:val="1"/>
      <w:marLeft w:val="0"/>
      <w:marRight w:val="0"/>
      <w:marTop w:val="0"/>
      <w:marBottom w:val="0"/>
      <w:divBdr>
        <w:top w:val="none" w:sz="0" w:space="0" w:color="auto"/>
        <w:left w:val="none" w:sz="0" w:space="0" w:color="auto"/>
        <w:bottom w:val="none" w:sz="0" w:space="0" w:color="auto"/>
        <w:right w:val="none" w:sz="0" w:space="0" w:color="auto"/>
      </w:divBdr>
    </w:div>
    <w:div w:id="512688720">
      <w:bodyDiv w:val="1"/>
      <w:marLeft w:val="0"/>
      <w:marRight w:val="0"/>
      <w:marTop w:val="0"/>
      <w:marBottom w:val="0"/>
      <w:divBdr>
        <w:top w:val="none" w:sz="0" w:space="0" w:color="auto"/>
        <w:left w:val="none" w:sz="0" w:space="0" w:color="auto"/>
        <w:bottom w:val="none" w:sz="0" w:space="0" w:color="auto"/>
        <w:right w:val="none" w:sz="0" w:space="0" w:color="auto"/>
      </w:divBdr>
    </w:div>
    <w:div w:id="516967386">
      <w:bodyDiv w:val="1"/>
      <w:marLeft w:val="0"/>
      <w:marRight w:val="0"/>
      <w:marTop w:val="0"/>
      <w:marBottom w:val="0"/>
      <w:divBdr>
        <w:top w:val="none" w:sz="0" w:space="0" w:color="auto"/>
        <w:left w:val="none" w:sz="0" w:space="0" w:color="auto"/>
        <w:bottom w:val="none" w:sz="0" w:space="0" w:color="auto"/>
        <w:right w:val="none" w:sz="0" w:space="0" w:color="auto"/>
      </w:divBdr>
    </w:div>
    <w:div w:id="517353337">
      <w:bodyDiv w:val="1"/>
      <w:marLeft w:val="0"/>
      <w:marRight w:val="0"/>
      <w:marTop w:val="0"/>
      <w:marBottom w:val="0"/>
      <w:divBdr>
        <w:top w:val="none" w:sz="0" w:space="0" w:color="auto"/>
        <w:left w:val="none" w:sz="0" w:space="0" w:color="auto"/>
        <w:bottom w:val="none" w:sz="0" w:space="0" w:color="auto"/>
        <w:right w:val="none" w:sz="0" w:space="0" w:color="auto"/>
      </w:divBdr>
    </w:div>
    <w:div w:id="518475071">
      <w:bodyDiv w:val="1"/>
      <w:marLeft w:val="0"/>
      <w:marRight w:val="0"/>
      <w:marTop w:val="0"/>
      <w:marBottom w:val="0"/>
      <w:divBdr>
        <w:top w:val="none" w:sz="0" w:space="0" w:color="auto"/>
        <w:left w:val="none" w:sz="0" w:space="0" w:color="auto"/>
        <w:bottom w:val="none" w:sz="0" w:space="0" w:color="auto"/>
        <w:right w:val="none" w:sz="0" w:space="0" w:color="auto"/>
      </w:divBdr>
    </w:div>
    <w:div w:id="520163791">
      <w:bodyDiv w:val="1"/>
      <w:marLeft w:val="0"/>
      <w:marRight w:val="0"/>
      <w:marTop w:val="0"/>
      <w:marBottom w:val="0"/>
      <w:divBdr>
        <w:top w:val="none" w:sz="0" w:space="0" w:color="auto"/>
        <w:left w:val="none" w:sz="0" w:space="0" w:color="auto"/>
        <w:bottom w:val="none" w:sz="0" w:space="0" w:color="auto"/>
        <w:right w:val="none" w:sz="0" w:space="0" w:color="auto"/>
      </w:divBdr>
    </w:div>
    <w:div w:id="520707455">
      <w:bodyDiv w:val="1"/>
      <w:marLeft w:val="0"/>
      <w:marRight w:val="0"/>
      <w:marTop w:val="0"/>
      <w:marBottom w:val="0"/>
      <w:divBdr>
        <w:top w:val="none" w:sz="0" w:space="0" w:color="auto"/>
        <w:left w:val="none" w:sz="0" w:space="0" w:color="auto"/>
        <w:bottom w:val="none" w:sz="0" w:space="0" w:color="auto"/>
        <w:right w:val="none" w:sz="0" w:space="0" w:color="auto"/>
      </w:divBdr>
    </w:div>
    <w:div w:id="522977842">
      <w:bodyDiv w:val="1"/>
      <w:marLeft w:val="0"/>
      <w:marRight w:val="0"/>
      <w:marTop w:val="0"/>
      <w:marBottom w:val="0"/>
      <w:divBdr>
        <w:top w:val="none" w:sz="0" w:space="0" w:color="auto"/>
        <w:left w:val="none" w:sz="0" w:space="0" w:color="auto"/>
        <w:bottom w:val="none" w:sz="0" w:space="0" w:color="auto"/>
        <w:right w:val="none" w:sz="0" w:space="0" w:color="auto"/>
      </w:divBdr>
    </w:div>
    <w:div w:id="523665183">
      <w:bodyDiv w:val="1"/>
      <w:marLeft w:val="0"/>
      <w:marRight w:val="0"/>
      <w:marTop w:val="0"/>
      <w:marBottom w:val="0"/>
      <w:divBdr>
        <w:top w:val="none" w:sz="0" w:space="0" w:color="auto"/>
        <w:left w:val="none" w:sz="0" w:space="0" w:color="auto"/>
        <w:bottom w:val="none" w:sz="0" w:space="0" w:color="auto"/>
        <w:right w:val="none" w:sz="0" w:space="0" w:color="auto"/>
      </w:divBdr>
    </w:div>
    <w:div w:id="524711158">
      <w:bodyDiv w:val="1"/>
      <w:marLeft w:val="0"/>
      <w:marRight w:val="0"/>
      <w:marTop w:val="0"/>
      <w:marBottom w:val="0"/>
      <w:divBdr>
        <w:top w:val="none" w:sz="0" w:space="0" w:color="auto"/>
        <w:left w:val="none" w:sz="0" w:space="0" w:color="auto"/>
        <w:bottom w:val="none" w:sz="0" w:space="0" w:color="auto"/>
        <w:right w:val="none" w:sz="0" w:space="0" w:color="auto"/>
      </w:divBdr>
    </w:div>
    <w:div w:id="526018098">
      <w:bodyDiv w:val="1"/>
      <w:marLeft w:val="0"/>
      <w:marRight w:val="0"/>
      <w:marTop w:val="0"/>
      <w:marBottom w:val="0"/>
      <w:divBdr>
        <w:top w:val="none" w:sz="0" w:space="0" w:color="auto"/>
        <w:left w:val="none" w:sz="0" w:space="0" w:color="auto"/>
        <w:bottom w:val="none" w:sz="0" w:space="0" w:color="auto"/>
        <w:right w:val="none" w:sz="0" w:space="0" w:color="auto"/>
      </w:divBdr>
    </w:div>
    <w:div w:id="526721327">
      <w:bodyDiv w:val="1"/>
      <w:marLeft w:val="0"/>
      <w:marRight w:val="0"/>
      <w:marTop w:val="0"/>
      <w:marBottom w:val="0"/>
      <w:divBdr>
        <w:top w:val="none" w:sz="0" w:space="0" w:color="auto"/>
        <w:left w:val="none" w:sz="0" w:space="0" w:color="auto"/>
        <w:bottom w:val="none" w:sz="0" w:space="0" w:color="auto"/>
        <w:right w:val="none" w:sz="0" w:space="0" w:color="auto"/>
      </w:divBdr>
    </w:div>
    <w:div w:id="529729623">
      <w:bodyDiv w:val="1"/>
      <w:marLeft w:val="0"/>
      <w:marRight w:val="0"/>
      <w:marTop w:val="0"/>
      <w:marBottom w:val="0"/>
      <w:divBdr>
        <w:top w:val="none" w:sz="0" w:space="0" w:color="auto"/>
        <w:left w:val="none" w:sz="0" w:space="0" w:color="auto"/>
        <w:bottom w:val="none" w:sz="0" w:space="0" w:color="auto"/>
        <w:right w:val="none" w:sz="0" w:space="0" w:color="auto"/>
      </w:divBdr>
    </w:div>
    <w:div w:id="530147044">
      <w:bodyDiv w:val="1"/>
      <w:marLeft w:val="0"/>
      <w:marRight w:val="0"/>
      <w:marTop w:val="0"/>
      <w:marBottom w:val="0"/>
      <w:divBdr>
        <w:top w:val="none" w:sz="0" w:space="0" w:color="auto"/>
        <w:left w:val="none" w:sz="0" w:space="0" w:color="auto"/>
        <w:bottom w:val="none" w:sz="0" w:space="0" w:color="auto"/>
        <w:right w:val="none" w:sz="0" w:space="0" w:color="auto"/>
      </w:divBdr>
    </w:div>
    <w:div w:id="531697510">
      <w:bodyDiv w:val="1"/>
      <w:marLeft w:val="0"/>
      <w:marRight w:val="0"/>
      <w:marTop w:val="0"/>
      <w:marBottom w:val="0"/>
      <w:divBdr>
        <w:top w:val="none" w:sz="0" w:space="0" w:color="auto"/>
        <w:left w:val="none" w:sz="0" w:space="0" w:color="auto"/>
        <w:bottom w:val="none" w:sz="0" w:space="0" w:color="auto"/>
        <w:right w:val="none" w:sz="0" w:space="0" w:color="auto"/>
      </w:divBdr>
    </w:div>
    <w:div w:id="531891720">
      <w:bodyDiv w:val="1"/>
      <w:marLeft w:val="0"/>
      <w:marRight w:val="0"/>
      <w:marTop w:val="0"/>
      <w:marBottom w:val="0"/>
      <w:divBdr>
        <w:top w:val="none" w:sz="0" w:space="0" w:color="auto"/>
        <w:left w:val="none" w:sz="0" w:space="0" w:color="auto"/>
        <w:bottom w:val="none" w:sz="0" w:space="0" w:color="auto"/>
        <w:right w:val="none" w:sz="0" w:space="0" w:color="auto"/>
      </w:divBdr>
    </w:div>
    <w:div w:id="531966780">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4738457">
      <w:bodyDiv w:val="1"/>
      <w:marLeft w:val="0"/>
      <w:marRight w:val="0"/>
      <w:marTop w:val="0"/>
      <w:marBottom w:val="0"/>
      <w:divBdr>
        <w:top w:val="none" w:sz="0" w:space="0" w:color="auto"/>
        <w:left w:val="none" w:sz="0" w:space="0" w:color="auto"/>
        <w:bottom w:val="none" w:sz="0" w:space="0" w:color="auto"/>
        <w:right w:val="none" w:sz="0" w:space="0" w:color="auto"/>
      </w:divBdr>
    </w:div>
    <w:div w:id="535237413">
      <w:bodyDiv w:val="1"/>
      <w:marLeft w:val="0"/>
      <w:marRight w:val="0"/>
      <w:marTop w:val="0"/>
      <w:marBottom w:val="0"/>
      <w:divBdr>
        <w:top w:val="none" w:sz="0" w:space="0" w:color="auto"/>
        <w:left w:val="none" w:sz="0" w:space="0" w:color="auto"/>
        <w:bottom w:val="none" w:sz="0" w:space="0" w:color="auto"/>
        <w:right w:val="none" w:sz="0" w:space="0" w:color="auto"/>
      </w:divBdr>
    </w:div>
    <w:div w:id="535505892">
      <w:bodyDiv w:val="1"/>
      <w:marLeft w:val="0"/>
      <w:marRight w:val="0"/>
      <w:marTop w:val="0"/>
      <w:marBottom w:val="0"/>
      <w:divBdr>
        <w:top w:val="none" w:sz="0" w:space="0" w:color="auto"/>
        <w:left w:val="none" w:sz="0" w:space="0" w:color="auto"/>
        <w:bottom w:val="none" w:sz="0" w:space="0" w:color="auto"/>
        <w:right w:val="none" w:sz="0" w:space="0" w:color="auto"/>
      </w:divBdr>
    </w:div>
    <w:div w:id="535579391">
      <w:bodyDiv w:val="1"/>
      <w:marLeft w:val="0"/>
      <w:marRight w:val="0"/>
      <w:marTop w:val="0"/>
      <w:marBottom w:val="0"/>
      <w:divBdr>
        <w:top w:val="none" w:sz="0" w:space="0" w:color="auto"/>
        <w:left w:val="none" w:sz="0" w:space="0" w:color="auto"/>
        <w:bottom w:val="none" w:sz="0" w:space="0" w:color="auto"/>
        <w:right w:val="none" w:sz="0" w:space="0" w:color="auto"/>
      </w:divBdr>
    </w:div>
    <w:div w:id="536429546">
      <w:bodyDiv w:val="1"/>
      <w:marLeft w:val="0"/>
      <w:marRight w:val="0"/>
      <w:marTop w:val="0"/>
      <w:marBottom w:val="0"/>
      <w:divBdr>
        <w:top w:val="none" w:sz="0" w:space="0" w:color="auto"/>
        <w:left w:val="none" w:sz="0" w:space="0" w:color="auto"/>
        <w:bottom w:val="none" w:sz="0" w:space="0" w:color="auto"/>
        <w:right w:val="none" w:sz="0" w:space="0" w:color="auto"/>
      </w:divBdr>
    </w:div>
    <w:div w:id="538057287">
      <w:bodyDiv w:val="1"/>
      <w:marLeft w:val="0"/>
      <w:marRight w:val="0"/>
      <w:marTop w:val="0"/>
      <w:marBottom w:val="0"/>
      <w:divBdr>
        <w:top w:val="none" w:sz="0" w:space="0" w:color="auto"/>
        <w:left w:val="none" w:sz="0" w:space="0" w:color="auto"/>
        <w:bottom w:val="none" w:sz="0" w:space="0" w:color="auto"/>
        <w:right w:val="none" w:sz="0" w:space="0" w:color="auto"/>
      </w:divBdr>
    </w:div>
    <w:div w:id="538276986">
      <w:bodyDiv w:val="1"/>
      <w:marLeft w:val="0"/>
      <w:marRight w:val="0"/>
      <w:marTop w:val="0"/>
      <w:marBottom w:val="0"/>
      <w:divBdr>
        <w:top w:val="none" w:sz="0" w:space="0" w:color="auto"/>
        <w:left w:val="none" w:sz="0" w:space="0" w:color="auto"/>
        <w:bottom w:val="none" w:sz="0" w:space="0" w:color="auto"/>
        <w:right w:val="none" w:sz="0" w:space="0" w:color="auto"/>
      </w:divBdr>
    </w:div>
    <w:div w:id="538670145">
      <w:bodyDiv w:val="1"/>
      <w:marLeft w:val="0"/>
      <w:marRight w:val="0"/>
      <w:marTop w:val="0"/>
      <w:marBottom w:val="0"/>
      <w:divBdr>
        <w:top w:val="none" w:sz="0" w:space="0" w:color="auto"/>
        <w:left w:val="none" w:sz="0" w:space="0" w:color="auto"/>
        <w:bottom w:val="none" w:sz="0" w:space="0" w:color="auto"/>
        <w:right w:val="none" w:sz="0" w:space="0" w:color="auto"/>
      </w:divBdr>
    </w:div>
    <w:div w:id="538974069">
      <w:bodyDiv w:val="1"/>
      <w:marLeft w:val="0"/>
      <w:marRight w:val="0"/>
      <w:marTop w:val="0"/>
      <w:marBottom w:val="0"/>
      <w:divBdr>
        <w:top w:val="none" w:sz="0" w:space="0" w:color="auto"/>
        <w:left w:val="none" w:sz="0" w:space="0" w:color="auto"/>
        <w:bottom w:val="none" w:sz="0" w:space="0" w:color="auto"/>
        <w:right w:val="none" w:sz="0" w:space="0" w:color="auto"/>
      </w:divBdr>
    </w:div>
    <w:div w:id="539708511">
      <w:bodyDiv w:val="1"/>
      <w:marLeft w:val="0"/>
      <w:marRight w:val="0"/>
      <w:marTop w:val="0"/>
      <w:marBottom w:val="0"/>
      <w:divBdr>
        <w:top w:val="none" w:sz="0" w:space="0" w:color="auto"/>
        <w:left w:val="none" w:sz="0" w:space="0" w:color="auto"/>
        <w:bottom w:val="none" w:sz="0" w:space="0" w:color="auto"/>
        <w:right w:val="none" w:sz="0" w:space="0" w:color="auto"/>
      </w:divBdr>
    </w:div>
    <w:div w:id="540096315">
      <w:bodyDiv w:val="1"/>
      <w:marLeft w:val="0"/>
      <w:marRight w:val="0"/>
      <w:marTop w:val="0"/>
      <w:marBottom w:val="0"/>
      <w:divBdr>
        <w:top w:val="none" w:sz="0" w:space="0" w:color="auto"/>
        <w:left w:val="none" w:sz="0" w:space="0" w:color="auto"/>
        <w:bottom w:val="none" w:sz="0" w:space="0" w:color="auto"/>
        <w:right w:val="none" w:sz="0" w:space="0" w:color="auto"/>
      </w:divBdr>
    </w:div>
    <w:div w:id="540702301">
      <w:bodyDiv w:val="1"/>
      <w:marLeft w:val="0"/>
      <w:marRight w:val="0"/>
      <w:marTop w:val="0"/>
      <w:marBottom w:val="0"/>
      <w:divBdr>
        <w:top w:val="none" w:sz="0" w:space="0" w:color="auto"/>
        <w:left w:val="none" w:sz="0" w:space="0" w:color="auto"/>
        <w:bottom w:val="none" w:sz="0" w:space="0" w:color="auto"/>
        <w:right w:val="none" w:sz="0" w:space="0" w:color="auto"/>
      </w:divBdr>
    </w:div>
    <w:div w:id="540751403">
      <w:bodyDiv w:val="1"/>
      <w:marLeft w:val="0"/>
      <w:marRight w:val="0"/>
      <w:marTop w:val="0"/>
      <w:marBottom w:val="0"/>
      <w:divBdr>
        <w:top w:val="none" w:sz="0" w:space="0" w:color="auto"/>
        <w:left w:val="none" w:sz="0" w:space="0" w:color="auto"/>
        <w:bottom w:val="none" w:sz="0" w:space="0" w:color="auto"/>
        <w:right w:val="none" w:sz="0" w:space="0" w:color="auto"/>
      </w:divBdr>
    </w:div>
    <w:div w:id="541285262">
      <w:bodyDiv w:val="1"/>
      <w:marLeft w:val="0"/>
      <w:marRight w:val="0"/>
      <w:marTop w:val="0"/>
      <w:marBottom w:val="0"/>
      <w:divBdr>
        <w:top w:val="none" w:sz="0" w:space="0" w:color="auto"/>
        <w:left w:val="none" w:sz="0" w:space="0" w:color="auto"/>
        <w:bottom w:val="none" w:sz="0" w:space="0" w:color="auto"/>
        <w:right w:val="none" w:sz="0" w:space="0" w:color="auto"/>
      </w:divBdr>
    </w:div>
    <w:div w:id="542639332">
      <w:bodyDiv w:val="1"/>
      <w:marLeft w:val="0"/>
      <w:marRight w:val="0"/>
      <w:marTop w:val="0"/>
      <w:marBottom w:val="0"/>
      <w:divBdr>
        <w:top w:val="none" w:sz="0" w:space="0" w:color="auto"/>
        <w:left w:val="none" w:sz="0" w:space="0" w:color="auto"/>
        <w:bottom w:val="none" w:sz="0" w:space="0" w:color="auto"/>
        <w:right w:val="none" w:sz="0" w:space="0" w:color="auto"/>
      </w:divBdr>
    </w:div>
    <w:div w:id="542791552">
      <w:bodyDiv w:val="1"/>
      <w:marLeft w:val="0"/>
      <w:marRight w:val="0"/>
      <w:marTop w:val="0"/>
      <w:marBottom w:val="0"/>
      <w:divBdr>
        <w:top w:val="none" w:sz="0" w:space="0" w:color="auto"/>
        <w:left w:val="none" w:sz="0" w:space="0" w:color="auto"/>
        <w:bottom w:val="none" w:sz="0" w:space="0" w:color="auto"/>
        <w:right w:val="none" w:sz="0" w:space="0" w:color="auto"/>
      </w:divBdr>
    </w:div>
    <w:div w:id="544565017">
      <w:bodyDiv w:val="1"/>
      <w:marLeft w:val="0"/>
      <w:marRight w:val="0"/>
      <w:marTop w:val="0"/>
      <w:marBottom w:val="0"/>
      <w:divBdr>
        <w:top w:val="none" w:sz="0" w:space="0" w:color="auto"/>
        <w:left w:val="none" w:sz="0" w:space="0" w:color="auto"/>
        <w:bottom w:val="none" w:sz="0" w:space="0" w:color="auto"/>
        <w:right w:val="none" w:sz="0" w:space="0" w:color="auto"/>
      </w:divBdr>
    </w:div>
    <w:div w:id="545681250">
      <w:bodyDiv w:val="1"/>
      <w:marLeft w:val="0"/>
      <w:marRight w:val="0"/>
      <w:marTop w:val="0"/>
      <w:marBottom w:val="0"/>
      <w:divBdr>
        <w:top w:val="none" w:sz="0" w:space="0" w:color="auto"/>
        <w:left w:val="none" w:sz="0" w:space="0" w:color="auto"/>
        <w:bottom w:val="none" w:sz="0" w:space="0" w:color="auto"/>
        <w:right w:val="none" w:sz="0" w:space="0" w:color="auto"/>
      </w:divBdr>
    </w:div>
    <w:div w:id="548224222">
      <w:bodyDiv w:val="1"/>
      <w:marLeft w:val="0"/>
      <w:marRight w:val="0"/>
      <w:marTop w:val="0"/>
      <w:marBottom w:val="0"/>
      <w:divBdr>
        <w:top w:val="none" w:sz="0" w:space="0" w:color="auto"/>
        <w:left w:val="none" w:sz="0" w:space="0" w:color="auto"/>
        <w:bottom w:val="none" w:sz="0" w:space="0" w:color="auto"/>
        <w:right w:val="none" w:sz="0" w:space="0" w:color="auto"/>
      </w:divBdr>
    </w:div>
    <w:div w:id="548340091">
      <w:bodyDiv w:val="1"/>
      <w:marLeft w:val="0"/>
      <w:marRight w:val="0"/>
      <w:marTop w:val="0"/>
      <w:marBottom w:val="0"/>
      <w:divBdr>
        <w:top w:val="none" w:sz="0" w:space="0" w:color="auto"/>
        <w:left w:val="none" w:sz="0" w:space="0" w:color="auto"/>
        <w:bottom w:val="none" w:sz="0" w:space="0" w:color="auto"/>
        <w:right w:val="none" w:sz="0" w:space="0" w:color="auto"/>
      </w:divBdr>
    </w:div>
    <w:div w:id="548758734">
      <w:bodyDiv w:val="1"/>
      <w:marLeft w:val="0"/>
      <w:marRight w:val="0"/>
      <w:marTop w:val="0"/>
      <w:marBottom w:val="0"/>
      <w:divBdr>
        <w:top w:val="none" w:sz="0" w:space="0" w:color="auto"/>
        <w:left w:val="none" w:sz="0" w:space="0" w:color="auto"/>
        <w:bottom w:val="none" w:sz="0" w:space="0" w:color="auto"/>
        <w:right w:val="none" w:sz="0" w:space="0" w:color="auto"/>
      </w:divBdr>
    </w:div>
    <w:div w:id="550115475">
      <w:bodyDiv w:val="1"/>
      <w:marLeft w:val="0"/>
      <w:marRight w:val="0"/>
      <w:marTop w:val="0"/>
      <w:marBottom w:val="0"/>
      <w:divBdr>
        <w:top w:val="none" w:sz="0" w:space="0" w:color="auto"/>
        <w:left w:val="none" w:sz="0" w:space="0" w:color="auto"/>
        <w:bottom w:val="none" w:sz="0" w:space="0" w:color="auto"/>
        <w:right w:val="none" w:sz="0" w:space="0" w:color="auto"/>
      </w:divBdr>
    </w:div>
    <w:div w:id="550380811">
      <w:bodyDiv w:val="1"/>
      <w:marLeft w:val="0"/>
      <w:marRight w:val="0"/>
      <w:marTop w:val="0"/>
      <w:marBottom w:val="0"/>
      <w:divBdr>
        <w:top w:val="none" w:sz="0" w:space="0" w:color="auto"/>
        <w:left w:val="none" w:sz="0" w:space="0" w:color="auto"/>
        <w:bottom w:val="none" w:sz="0" w:space="0" w:color="auto"/>
        <w:right w:val="none" w:sz="0" w:space="0" w:color="auto"/>
      </w:divBdr>
    </w:div>
    <w:div w:id="550771864">
      <w:bodyDiv w:val="1"/>
      <w:marLeft w:val="0"/>
      <w:marRight w:val="0"/>
      <w:marTop w:val="0"/>
      <w:marBottom w:val="0"/>
      <w:divBdr>
        <w:top w:val="none" w:sz="0" w:space="0" w:color="auto"/>
        <w:left w:val="none" w:sz="0" w:space="0" w:color="auto"/>
        <w:bottom w:val="none" w:sz="0" w:space="0" w:color="auto"/>
        <w:right w:val="none" w:sz="0" w:space="0" w:color="auto"/>
      </w:divBdr>
    </w:div>
    <w:div w:id="551162004">
      <w:bodyDiv w:val="1"/>
      <w:marLeft w:val="0"/>
      <w:marRight w:val="0"/>
      <w:marTop w:val="0"/>
      <w:marBottom w:val="0"/>
      <w:divBdr>
        <w:top w:val="none" w:sz="0" w:space="0" w:color="auto"/>
        <w:left w:val="none" w:sz="0" w:space="0" w:color="auto"/>
        <w:bottom w:val="none" w:sz="0" w:space="0" w:color="auto"/>
        <w:right w:val="none" w:sz="0" w:space="0" w:color="auto"/>
      </w:divBdr>
    </w:div>
    <w:div w:id="553589650">
      <w:bodyDiv w:val="1"/>
      <w:marLeft w:val="0"/>
      <w:marRight w:val="0"/>
      <w:marTop w:val="0"/>
      <w:marBottom w:val="0"/>
      <w:divBdr>
        <w:top w:val="none" w:sz="0" w:space="0" w:color="auto"/>
        <w:left w:val="none" w:sz="0" w:space="0" w:color="auto"/>
        <w:bottom w:val="none" w:sz="0" w:space="0" w:color="auto"/>
        <w:right w:val="none" w:sz="0" w:space="0" w:color="auto"/>
      </w:divBdr>
    </w:div>
    <w:div w:id="554388257">
      <w:bodyDiv w:val="1"/>
      <w:marLeft w:val="0"/>
      <w:marRight w:val="0"/>
      <w:marTop w:val="0"/>
      <w:marBottom w:val="0"/>
      <w:divBdr>
        <w:top w:val="none" w:sz="0" w:space="0" w:color="auto"/>
        <w:left w:val="none" w:sz="0" w:space="0" w:color="auto"/>
        <w:bottom w:val="none" w:sz="0" w:space="0" w:color="auto"/>
        <w:right w:val="none" w:sz="0" w:space="0" w:color="auto"/>
      </w:divBdr>
    </w:div>
    <w:div w:id="554782088">
      <w:bodyDiv w:val="1"/>
      <w:marLeft w:val="0"/>
      <w:marRight w:val="0"/>
      <w:marTop w:val="0"/>
      <w:marBottom w:val="0"/>
      <w:divBdr>
        <w:top w:val="none" w:sz="0" w:space="0" w:color="auto"/>
        <w:left w:val="none" w:sz="0" w:space="0" w:color="auto"/>
        <w:bottom w:val="none" w:sz="0" w:space="0" w:color="auto"/>
        <w:right w:val="none" w:sz="0" w:space="0" w:color="auto"/>
      </w:divBdr>
    </w:div>
    <w:div w:id="554896944">
      <w:bodyDiv w:val="1"/>
      <w:marLeft w:val="0"/>
      <w:marRight w:val="0"/>
      <w:marTop w:val="0"/>
      <w:marBottom w:val="0"/>
      <w:divBdr>
        <w:top w:val="none" w:sz="0" w:space="0" w:color="auto"/>
        <w:left w:val="none" w:sz="0" w:space="0" w:color="auto"/>
        <w:bottom w:val="none" w:sz="0" w:space="0" w:color="auto"/>
        <w:right w:val="none" w:sz="0" w:space="0" w:color="auto"/>
      </w:divBdr>
    </w:div>
    <w:div w:id="555942572">
      <w:bodyDiv w:val="1"/>
      <w:marLeft w:val="0"/>
      <w:marRight w:val="0"/>
      <w:marTop w:val="0"/>
      <w:marBottom w:val="0"/>
      <w:divBdr>
        <w:top w:val="none" w:sz="0" w:space="0" w:color="auto"/>
        <w:left w:val="none" w:sz="0" w:space="0" w:color="auto"/>
        <w:bottom w:val="none" w:sz="0" w:space="0" w:color="auto"/>
        <w:right w:val="none" w:sz="0" w:space="0" w:color="auto"/>
      </w:divBdr>
    </w:div>
    <w:div w:id="557859090">
      <w:bodyDiv w:val="1"/>
      <w:marLeft w:val="0"/>
      <w:marRight w:val="0"/>
      <w:marTop w:val="0"/>
      <w:marBottom w:val="0"/>
      <w:divBdr>
        <w:top w:val="none" w:sz="0" w:space="0" w:color="auto"/>
        <w:left w:val="none" w:sz="0" w:space="0" w:color="auto"/>
        <w:bottom w:val="none" w:sz="0" w:space="0" w:color="auto"/>
        <w:right w:val="none" w:sz="0" w:space="0" w:color="auto"/>
      </w:divBdr>
    </w:div>
    <w:div w:id="558633619">
      <w:bodyDiv w:val="1"/>
      <w:marLeft w:val="0"/>
      <w:marRight w:val="0"/>
      <w:marTop w:val="0"/>
      <w:marBottom w:val="0"/>
      <w:divBdr>
        <w:top w:val="none" w:sz="0" w:space="0" w:color="auto"/>
        <w:left w:val="none" w:sz="0" w:space="0" w:color="auto"/>
        <w:bottom w:val="none" w:sz="0" w:space="0" w:color="auto"/>
        <w:right w:val="none" w:sz="0" w:space="0" w:color="auto"/>
      </w:divBdr>
    </w:div>
    <w:div w:id="559947833">
      <w:bodyDiv w:val="1"/>
      <w:marLeft w:val="0"/>
      <w:marRight w:val="0"/>
      <w:marTop w:val="0"/>
      <w:marBottom w:val="0"/>
      <w:divBdr>
        <w:top w:val="none" w:sz="0" w:space="0" w:color="auto"/>
        <w:left w:val="none" w:sz="0" w:space="0" w:color="auto"/>
        <w:bottom w:val="none" w:sz="0" w:space="0" w:color="auto"/>
        <w:right w:val="none" w:sz="0" w:space="0" w:color="auto"/>
      </w:divBdr>
    </w:div>
    <w:div w:id="560365373">
      <w:bodyDiv w:val="1"/>
      <w:marLeft w:val="0"/>
      <w:marRight w:val="0"/>
      <w:marTop w:val="0"/>
      <w:marBottom w:val="0"/>
      <w:divBdr>
        <w:top w:val="none" w:sz="0" w:space="0" w:color="auto"/>
        <w:left w:val="none" w:sz="0" w:space="0" w:color="auto"/>
        <w:bottom w:val="none" w:sz="0" w:space="0" w:color="auto"/>
        <w:right w:val="none" w:sz="0" w:space="0" w:color="auto"/>
      </w:divBdr>
    </w:div>
    <w:div w:id="560751791">
      <w:bodyDiv w:val="1"/>
      <w:marLeft w:val="0"/>
      <w:marRight w:val="0"/>
      <w:marTop w:val="0"/>
      <w:marBottom w:val="0"/>
      <w:divBdr>
        <w:top w:val="none" w:sz="0" w:space="0" w:color="auto"/>
        <w:left w:val="none" w:sz="0" w:space="0" w:color="auto"/>
        <w:bottom w:val="none" w:sz="0" w:space="0" w:color="auto"/>
        <w:right w:val="none" w:sz="0" w:space="0" w:color="auto"/>
      </w:divBdr>
    </w:div>
    <w:div w:id="560870938">
      <w:bodyDiv w:val="1"/>
      <w:marLeft w:val="0"/>
      <w:marRight w:val="0"/>
      <w:marTop w:val="0"/>
      <w:marBottom w:val="0"/>
      <w:divBdr>
        <w:top w:val="none" w:sz="0" w:space="0" w:color="auto"/>
        <w:left w:val="none" w:sz="0" w:space="0" w:color="auto"/>
        <w:bottom w:val="none" w:sz="0" w:space="0" w:color="auto"/>
        <w:right w:val="none" w:sz="0" w:space="0" w:color="auto"/>
      </w:divBdr>
    </w:div>
    <w:div w:id="561216530">
      <w:bodyDiv w:val="1"/>
      <w:marLeft w:val="0"/>
      <w:marRight w:val="0"/>
      <w:marTop w:val="0"/>
      <w:marBottom w:val="0"/>
      <w:divBdr>
        <w:top w:val="none" w:sz="0" w:space="0" w:color="auto"/>
        <w:left w:val="none" w:sz="0" w:space="0" w:color="auto"/>
        <w:bottom w:val="none" w:sz="0" w:space="0" w:color="auto"/>
        <w:right w:val="none" w:sz="0" w:space="0" w:color="auto"/>
      </w:divBdr>
    </w:div>
    <w:div w:id="561454073">
      <w:bodyDiv w:val="1"/>
      <w:marLeft w:val="0"/>
      <w:marRight w:val="0"/>
      <w:marTop w:val="0"/>
      <w:marBottom w:val="0"/>
      <w:divBdr>
        <w:top w:val="none" w:sz="0" w:space="0" w:color="auto"/>
        <w:left w:val="none" w:sz="0" w:space="0" w:color="auto"/>
        <w:bottom w:val="none" w:sz="0" w:space="0" w:color="auto"/>
        <w:right w:val="none" w:sz="0" w:space="0" w:color="auto"/>
      </w:divBdr>
    </w:div>
    <w:div w:id="562059164">
      <w:bodyDiv w:val="1"/>
      <w:marLeft w:val="0"/>
      <w:marRight w:val="0"/>
      <w:marTop w:val="0"/>
      <w:marBottom w:val="0"/>
      <w:divBdr>
        <w:top w:val="none" w:sz="0" w:space="0" w:color="auto"/>
        <w:left w:val="none" w:sz="0" w:space="0" w:color="auto"/>
        <w:bottom w:val="none" w:sz="0" w:space="0" w:color="auto"/>
        <w:right w:val="none" w:sz="0" w:space="0" w:color="auto"/>
      </w:divBdr>
    </w:div>
    <w:div w:id="562522936">
      <w:bodyDiv w:val="1"/>
      <w:marLeft w:val="0"/>
      <w:marRight w:val="0"/>
      <w:marTop w:val="0"/>
      <w:marBottom w:val="0"/>
      <w:divBdr>
        <w:top w:val="none" w:sz="0" w:space="0" w:color="auto"/>
        <w:left w:val="none" w:sz="0" w:space="0" w:color="auto"/>
        <w:bottom w:val="none" w:sz="0" w:space="0" w:color="auto"/>
        <w:right w:val="none" w:sz="0" w:space="0" w:color="auto"/>
      </w:divBdr>
    </w:div>
    <w:div w:id="562643986">
      <w:bodyDiv w:val="1"/>
      <w:marLeft w:val="0"/>
      <w:marRight w:val="0"/>
      <w:marTop w:val="0"/>
      <w:marBottom w:val="0"/>
      <w:divBdr>
        <w:top w:val="none" w:sz="0" w:space="0" w:color="auto"/>
        <w:left w:val="none" w:sz="0" w:space="0" w:color="auto"/>
        <w:bottom w:val="none" w:sz="0" w:space="0" w:color="auto"/>
        <w:right w:val="none" w:sz="0" w:space="0" w:color="auto"/>
      </w:divBdr>
    </w:div>
    <w:div w:id="564266195">
      <w:bodyDiv w:val="1"/>
      <w:marLeft w:val="0"/>
      <w:marRight w:val="0"/>
      <w:marTop w:val="0"/>
      <w:marBottom w:val="0"/>
      <w:divBdr>
        <w:top w:val="none" w:sz="0" w:space="0" w:color="auto"/>
        <w:left w:val="none" w:sz="0" w:space="0" w:color="auto"/>
        <w:bottom w:val="none" w:sz="0" w:space="0" w:color="auto"/>
        <w:right w:val="none" w:sz="0" w:space="0" w:color="auto"/>
      </w:divBdr>
    </w:div>
    <w:div w:id="564950715">
      <w:bodyDiv w:val="1"/>
      <w:marLeft w:val="0"/>
      <w:marRight w:val="0"/>
      <w:marTop w:val="0"/>
      <w:marBottom w:val="0"/>
      <w:divBdr>
        <w:top w:val="none" w:sz="0" w:space="0" w:color="auto"/>
        <w:left w:val="none" w:sz="0" w:space="0" w:color="auto"/>
        <w:bottom w:val="none" w:sz="0" w:space="0" w:color="auto"/>
        <w:right w:val="none" w:sz="0" w:space="0" w:color="auto"/>
      </w:divBdr>
    </w:div>
    <w:div w:id="566376798">
      <w:bodyDiv w:val="1"/>
      <w:marLeft w:val="0"/>
      <w:marRight w:val="0"/>
      <w:marTop w:val="0"/>
      <w:marBottom w:val="0"/>
      <w:divBdr>
        <w:top w:val="none" w:sz="0" w:space="0" w:color="auto"/>
        <w:left w:val="none" w:sz="0" w:space="0" w:color="auto"/>
        <w:bottom w:val="none" w:sz="0" w:space="0" w:color="auto"/>
        <w:right w:val="none" w:sz="0" w:space="0" w:color="auto"/>
      </w:divBdr>
    </w:div>
    <w:div w:id="566571171">
      <w:bodyDiv w:val="1"/>
      <w:marLeft w:val="0"/>
      <w:marRight w:val="0"/>
      <w:marTop w:val="0"/>
      <w:marBottom w:val="0"/>
      <w:divBdr>
        <w:top w:val="none" w:sz="0" w:space="0" w:color="auto"/>
        <w:left w:val="none" w:sz="0" w:space="0" w:color="auto"/>
        <w:bottom w:val="none" w:sz="0" w:space="0" w:color="auto"/>
        <w:right w:val="none" w:sz="0" w:space="0" w:color="auto"/>
      </w:divBdr>
    </w:div>
    <w:div w:id="567544165">
      <w:bodyDiv w:val="1"/>
      <w:marLeft w:val="0"/>
      <w:marRight w:val="0"/>
      <w:marTop w:val="0"/>
      <w:marBottom w:val="0"/>
      <w:divBdr>
        <w:top w:val="none" w:sz="0" w:space="0" w:color="auto"/>
        <w:left w:val="none" w:sz="0" w:space="0" w:color="auto"/>
        <w:bottom w:val="none" w:sz="0" w:space="0" w:color="auto"/>
        <w:right w:val="none" w:sz="0" w:space="0" w:color="auto"/>
      </w:divBdr>
    </w:div>
    <w:div w:id="568615772">
      <w:bodyDiv w:val="1"/>
      <w:marLeft w:val="0"/>
      <w:marRight w:val="0"/>
      <w:marTop w:val="0"/>
      <w:marBottom w:val="0"/>
      <w:divBdr>
        <w:top w:val="none" w:sz="0" w:space="0" w:color="auto"/>
        <w:left w:val="none" w:sz="0" w:space="0" w:color="auto"/>
        <w:bottom w:val="none" w:sz="0" w:space="0" w:color="auto"/>
        <w:right w:val="none" w:sz="0" w:space="0" w:color="auto"/>
      </w:divBdr>
    </w:div>
    <w:div w:id="572207331">
      <w:bodyDiv w:val="1"/>
      <w:marLeft w:val="0"/>
      <w:marRight w:val="0"/>
      <w:marTop w:val="0"/>
      <w:marBottom w:val="0"/>
      <w:divBdr>
        <w:top w:val="none" w:sz="0" w:space="0" w:color="auto"/>
        <w:left w:val="none" w:sz="0" w:space="0" w:color="auto"/>
        <w:bottom w:val="none" w:sz="0" w:space="0" w:color="auto"/>
        <w:right w:val="none" w:sz="0" w:space="0" w:color="auto"/>
      </w:divBdr>
    </w:div>
    <w:div w:id="574513256">
      <w:bodyDiv w:val="1"/>
      <w:marLeft w:val="0"/>
      <w:marRight w:val="0"/>
      <w:marTop w:val="0"/>
      <w:marBottom w:val="0"/>
      <w:divBdr>
        <w:top w:val="none" w:sz="0" w:space="0" w:color="auto"/>
        <w:left w:val="none" w:sz="0" w:space="0" w:color="auto"/>
        <w:bottom w:val="none" w:sz="0" w:space="0" w:color="auto"/>
        <w:right w:val="none" w:sz="0" w:space="0" w:color="auto"/>
      </w:divBdr>
    </w:div>
    <w:div w:id="576981837">
      <w:bodyDiv w:val="1"/>
      <w:marLeft w:val="0"/>
      <w:marRight w:val="0"/>
      <w:marTop w:val="0"/>
      <w:marBottom w:val="0"/>
      <w:divBdr>
        <w:top w:val="none" w:sz="0" w:space="0" w:color="auto"/>
        <w:left w:val="none" w:sz="0" w:space="0" w:color="auto"/>
        <w:bottom w:val="none" w:sz="0" w:space="0" w:color="auto"/>
        <w:right w:val="none" w:sz="0" w:space="0" w:color="auto"/>
      </w:divBdr>
    </w:div>
    <w:div w:id="578098241">
      <w:bodyDiv w:val="1"/>
      <w:marLeft w:val="0"/>
      <w:marRight w:val="0"/>
      <w:marTop w:val="0"/>
      <w:marBottom w:val="0"/>
      <w:divBdr>
        <w:top w:val="none" w:sz="0" w:space="0" w:color="auto"/>
        <w:left w:val="none" w:sz="0" w:space="0" w:color="auto"/>
        <w:bottom w:val="none" w:sz="0" w:space="0" w:color="auto"/>
        <w:right w:val="none" w:sz="0" w:space="0" w:color="auto"/>
      </w:divBdr>
    </w:div>
    <w:div w:id="578246856">
      <w:bodyDiv w:val="1"/>
      <w:marLeft w:val="0"/>
      <w:marRight w:val="0"/>
      <w:marTop w:val="0"/>
      <w:marBottom w:val="0"/>
      <w:divBdr>
        <w:top w:val="none" w:sz="0" w:space="0" w:color="auto"/>
        <w:left w:val="none" w:sz="0" w:space="0" w:color="auto"/>
        <w:bottom w:val="none" w:sz="0" w:space="0" w:color="auto"/>
        <w:right w:val="none" w:sz="0" w:space="0" w:color="auto"/>
      </w:divBdr>
    </w:div>
    <w:div w:id="578825848">
      <w:bodyDiv w:val="1"/>
      <w:marLeft w:val="0"/>
      <w:marRight w:val="0"/>
      <w:marTop w:val="0"/>
      <w:marBottom w:val="0"/>
      <w:divBdr>
        <w:top w:val="none" w:sz="0" w:space="0" w:color="auto"/>
        <w:left w:val="none" w:sz="0" w:space="0" w:color="auto"/>
        <w:bottom w:val="none" w:sz="0" w:space="0" w:color="auto"/>
        <w:right w:val="none" w:sz="0" w:space="0" w:color="auto"/>
      </w:divBdr>
    </w:div>
    <w:div w:id="579102320">
      <w:bodyDiv w:val="1"/>
      <w:marLeft w:val="0"/>
      <w:marRight w:val="0"/>
      <w:marTop w:val="0"/>
      <w:marBottom w:val="0"/>
      <w:divBdr>
        <w:top w:val="none" w:sz="0" w:space="0" w:color="auto"/>
        <w:left w:val="none" w:sz="0" w:space="0" w:color="auto"/>
        <w:bottom w:val="none" w:sz="0" w:space="0" w:color="auto"/>
        <w:right w:val="none" w:sz="0" w:space="0" w:color="auto"/>
      </w:divBdr>
    </w:div>
    <w:div w:id="581986866">
      <w:bodyDiv w:val="1"/>
      <w:marLeft w:val="0"/>
      <w:marRight w:val="0"/>
      <w:marTop w:val="0"/>
      <w:marBottom w:val="0"/>
      <w:divBdr>
        <w:top w:val="none" w:sz="0" w:space="0" w:color="auto"/>
        <w:left w:val="none" w:sz="0" w:space="0" w:color="auto"/>
        <w:bottom w:val="none" w:sz="0" w:space="0" w:color="auto"/>
        <w:right w:val="none" w:sz="0" w:space="0" w:color="auto"/>
      </w:divBdr>
    </w:div>
    <w:div w:id="582301752">
      <w:bodyDiv w:val="1"/>
      <w:marLeft w:val="0"/>
      <w:marRight w:val="0"/>
      <w:marTop w:val="0"/>
      <w:marBottom w:val="0"/>
      <w:divBdr>
        <w:top w:val="none" w:sz="0" w:space="0" w:color="auto"/>
        <w:left w:val="none" w:sz="0" w:space="0" w:color="auto"/>
        <w:bottom w:val="none" w:sz="0" w:space="0" w:color="auto"/>
        <w:right w:val="none" w:sz="0" w:space="0" w:color="auto"/>
      </w:divBdr>
    </w:div>
    <w:div w:id="583731997">
      <w:bodyDiv w:val="1"/>
      <w:marLeft w:val="0"/>
      <w:marRight w:val="0"/>
      <w:marTop w:val="0"/>
      <w:marBottom w:val="0"/>
      <w:divBdr>
        <w:top w:val="none" w:sz="0" w:space="0" w:color="auto"/>
        <w:left w:val="none" w:sz="0" w:space="0" w:color="auto"/>
        <w:bottom w:val="none" w:sz="0" w:space="0" w:color="auto"/>
        <w:right w:val="none" w:sz="0" w:space="0" w:color="auto"/>
      </w:divBdr>
    </w:div>
    <w:div w:id="585110211">
      <w:bodyDiv w:val="1"/>
      <w:marLeft w:val="0"/>
      <w:marRight w:val="0"/>
      <w:marTop w:val="0"/>
      <w:marBottom w:val="0"/>
      <w:divBdr>
        <w:top w:val="none" w:sz="0" w:space="0" w:color="auto"/>
        <w:left w:val="none" w:sz="0" w:space="0" w:color="auto"/>
        <w:bottom w:val="none" w:sz="0" w:space="0" w:color="auto"/>
        <w:right w:val="none" w:sz="0" w:space="0" w:color="auto"/>
      </w:divBdr>
    </w:div>
    <w:div w:id="586694447">
      <w:bodyDiv w:val="1"/>
      <w:marLeft w:val="0"/>
      <w:marRight w:val="0"/>
      <w:marTop w:val="0"/>
      <w:marBottom w:val="0"/>
      <w:divBdr>
        <w:top w:val="none" w:sz="0" w:space="0" w:color="auto"/>
        <w:left w:val="none" w:sz="0" w:space="0" w:color="auto"/>
        <w:bottom w:val="none" w:sz="0" w:space="0" w:color="auto"/>
        <w:right w:val="none" w:sz="0" w:space="0" w:color="auto"/>
      </w:divBdr>
    </w:div>
    <w:div w:id="587810287">
      <w:bodyDiv w:val="1"/>
      <w:marLeft w:val="0"/>
      <w:marRight w:val="0"/>
      <w:marTop w:val="0"/>
      <w:marBottom w:val="0"/>
      <w:divBdr>
        <w:top w:val="none" w:sz="0" w:space="0" w:color="auto"/>
        <w:left w:val="none" w:sz="0" w:space="0" w:color="auto"/>
        <w:bottom w:val="none" w:sz="0" w:space="0" w:color="auto"/>
        <w:right w:val="none" w:sz="0" w:space="0" w:color="auto"/>
      </w:divBdr>
    </w:div>
    <w:div w:id="588198030">
      <w:bodyDiv w:val="1"/>
      <w:marLeft w:val="0"/>
      <w:marRight w:val="0"/>
      <w:marTop w:val="0"/>
      <w:marBottom w:val="0"/>
      <w:divBdr>
        <w:top w:val="none" w:sz="0" w:space="0" w:color="auto"/>
        <w:left w:val="none" w:sz="0" w:space="0" w:color="auto"/>
        <w:bottom w:val="none" w:sz="0" w:space="0" w:color="auto"/>
        <w:right w:val="none" w:sz="0" w:space="0" w:color="auto"/>
      </w:divBdr>
    </w:div>
    <w:div w:id="588390640">
      <w:bodyDiv w:val="1"/>
      <w:marLeft w:val="0"/>
      <w:marRight w:val="0"/>
      <w:marTop w:val="0"/>
      <w:marBottom w:val="0"/>
      <w:divBdr>
        <w:top w:val="none" w:sz="0" w:space="0" w:color="auto"/>
        <w:left w:val="none" w:sz="0" w:space="0" w:color="auto"/>
        <w:bottom w:val="none" w:sz="0" w:space="0" w:color="auto"/>
        <w:right w:val="none" w:sz="0" w:space="0" w:color="auto"/>
      </w:divBdr>
    </w:div>
    <w:div w:id="588778490">
      <w:bodyDiv w:val="1"/>
      <w:marLeft w:val="0"/>
      <w:marRight w:val="0"/>
      <w:marTop w:val="0"/>
      <w:marBottom w:val="0"/>
      <w:divBdr>
        <w:top w:val="none" w:sz="0" w:space="0" w:color="auto"/>
        <w:left w:val="none" w:sz="0" w:space="0" w:color="auto"/>
        <w:bottom w:val="none" w:sz="0" w:space="0" w:color="auto"/>
        <w:right w:val="none" w:sz="0" w:space="0" w:color="auto"/>
      </w:divBdr>
    </w:div>
    <w:div w:id="588973434">
      <w:bodyDiv w:val="1"/>
      <w:marLeft w:val="0"/>
      <w:marRight w:val="0"/>
      <w:marTop w:val="0"/>
      <w:marBottom w:val="0"/>
      <w:divBdr>
        <w:top w:val="none" w:sz="0" w:space="0" w:color="auto"/>
        <w:left w:val="none" w:sz="0" w:space="0" w:color="auto"/>
        <w:bottom w:val="none" w:sz="0" w:space="0" w:color="auto"/>
        <w:right w:val="none" w:sz="0" w:space="0" w:color="auto"/>
      </w:divBdr>
    </w:div>
    <w:div w:id="589237474">
      <w:bodyDiv w:val="1"/>
      <w:marLeft w:val="0"/>
      <w:marRight w:val="0"/>
      <w:marTop w:val="0"/>
      <w:marBottom w:val="0"/>
      <w:divBdr>
        <w:top w:val="none" w:sz="0" w:space="0" w:color="auto"/>
        <w:left w:val="none" w:sz="0" w:space="0" w:color="auto"/>
        <w:bottom w:val="none" w:sz="0" w:space="0" w:color="auto"/>
        <w:right w:val="none" w:sz="0" w:space="0" w:color="auto"/>
      </w:divBdr>
    </w:div>
    <w:div w:id="589463492">
      <w:bodyDiv w:val="1"/>
      <w:marLeft w:val="0"/>
      <w:marRight w:val="0"/>
      <w:marTop w:val="0"/>
      <w:marBottom w:val="0"/>
      <w:divBdr>
        <w:top w:val="none" w:sz="0" w:space="0" w:color="auto"/>
        <w:left w:val="none" w:sz="0" w:space="0" w:color="auto"/>
        <w:bottom w:val="none" w:sz="0" w:space="0" w:color="auto"/>
        <w:right w:val="none" w:sz="0" w:space="0" w:color="auto"/>
      </w:divBdr>
    </w:div>
    <w:div w:id="590166245">
      <w:bodyDiv w:val="1"/>
      <w:marLeft w:val="0"/>
      <w:marRight w:val="0"/>
      <w:marTop w:val="0"/>
      <w:marBottom w:val="0"/>
      <w:divBdr>
        <w:top w:val="none" w:sz="0" w:space="0" w:color="auto"/>
        <w:left w:val="none" w:sz="0" w:space="0" w:color="auto"/>
        <w:bottom w:val="none" w:sz="0" w:space="0" w:color="auto"/>
        <w:right w:val="none" w:sz="0" w:space="0" w:color="auto"/>
      </w:divBdr>
    </w:div>
    <w:div w:id="590309949">
      <w:bodyDiv w:val="1"/>
      <w:marLeft w:val="0"/>
      <w:marRight w:val="0"/>
      <w:marTop w:val="0"/>
      <w:marBottom w:val="0"/>
      <w:divBdr>
        <w:top w:val="none" w:sz="0" w:space="0" w:color="auto"/>
        <w:left w:val="none" w:sz="0" w:space="0" w:color="auto"/>
        <w:bottom w:val="none" w:sz="0" w:space="0" w:color="auto"/>
        <w:right w:val="none" w:sz="0" w:space="0" w:color="auto"/>
      </w:divBdr>
    </w:div>
    <w:div w:id="590703381">
      <w:bodyDiv w:val="1"/>
      <w:marLeft w:val="0"/>
      <w:marRight w:val="0"/>
      <w:marTop w:val="0"/>
      <w:marBottom w:val="0"/>
      <w:divBdr>
        <w:top w:val="none" w:sz="0" w:space="0" w:color="auto"/>
        <w:left w:val="none" w:sz="0" w:space="0" w:color="auto"/>
        <w:bottom w:val="none" w:sz="0" w:space="0" w:color="auto"/>
        <w:right w:val="none" w:sz="0" w:space="0" w:color="auto"/>
      </w:divBdr>
    </w:div>
    <w:div w:id="590818804">
      <w:bodyDiv w:val="1"/>
      <w:marLeft w:val="0"/>
      <w:marRight w:val="0"/>
      <w:marTop w:val="0"/>
      <w:marBottom w:val="0"/>
      <w:divBdr>
        <w:top w:val="none" w:sz="0" w:space="0" w:color="auto"/>
        <w:left w:val="none" w:sz="0" w:space="0" w:color="auto"/>
        <w:bottom w:val="none" w:sz="0" w:space="0" w:color="auto"/>
        <w:right w:val="none" w:sz="0" w:space="0" w:color="auto"/>
      </w:divBdr>
    </w:div>
    <w:div w:id="591011279">
      <w:bodyDiv w:val="1"/>
      <w:marLeft w:val="0"/>
      <w:marRight w:val="0"/>
      <w:marTop w:val="0"/>
      <w:marBottom w:val="0"/>
      <w:divBdr>
        <w:top w:val="none" w:sz="0" w:space="0" w:color="auto"/>
        <w:left w:val="none" w:sz="0" w:space="0" w:color="auto"/>
        <w:bottom w:val="none" w:sz="0" w:space="0" w:color="auto"/>
        <w:right w:val="none" w:sz="0" w:space="0" w:color="auto"/>
      </w:divBdr>
    </w:div>
    <w:div w:id="591281475">
      <w:bodyDiv w:val="1"/>
      <w:marLeft w:val="0"/>
      <w:marRight w:val="0"/>
      <w:marTop w:val="0"/>
      <w:marBottom w:val="0"/>
      <w:divBdr>
        <w:top w:val="none" w:sz="0" w:space="0" w:color="auto"/>
        <w:left w:val="none" w:sz="0" w:space="0" w:color="auto"/>
        <w:bottom w:val="none" w:sz="0" w:space="0" w:color="auto"/>
        <w:right w:val="none" w:sz="0" w:space="0" w:color="auto"/>
      </w:divBdr>
    </w:div>
    <w:div w:id="592663660">
      <w:bodyDiv w:val="1"/>
      <w:marLeft w:val="0"/>
      <w:marRight w:val="0"/>
      <w:marTop w:val="0"/>
      <w:marBottom w:val="0"/>
      <w:divBdr>
        <w:top w:val="none" w:sz="0" w:space="0" w:color="auto"/>
        <w:left w:val="none" w:sz="0" w:space="0" w:color="auto"/>
        <w:bottom w:val="none" w:sz="0" w:space="0" w:color="auto"/>
        <w:right w:val="none" w:sz="0" w:space="0" w:color="auto"/>
      </w:divBdr>
    </w:div>
    <w:div w:id="593169844">
      <w:bodyDiv w:val="1"/>
      <w:marLeft w:val="0"/>
      <w:marRight w:val="0"/>
      <w:marTop w:val="0"/>
      <w:marBottom w:val="0"/>
      <w:divBdr>
        <w:top w:val="none" w:sz="0" w:space="0" w:color="auto"/>
        <w:left w:val="none" w:sz="0" w:space="0" w:color="auto"/>
        <w:bottom w:val="none" w:sz="0" w:space="0" w:color="auto"/>
        <w:right w:val="none" w:sz="0" w:space="0" w:color="auto"/>
      </w:divBdr>
    </w:div>
    <w:div w:id="593245884">
      <w:bodyDiv w:val="1"/>
      <w:marLeft w:val="0"/>
      <w:marRight w:val="0"/>
      <w:marTop w:val="0"/>
      <w:marBottom w:val="0"/>
      <w:divBdr>
        <w:top w:val="none" w:sz="0" w:space="0" w:color="auto"/>
        <w:left w:val="none" w:sz="0" w:space="0" w:color="auto"/>
        <w:bottom w:val="none" w:sz="0" w:space="0" w:color="auto"/>
        <w:right w:val="none" w:sz="0" w:space="0" w:color="auto"/>
      </w:divBdr>
    </w:div>
    <w:div w:id="595676683">
      <w:bodyDiv w:val="1"/>
      <w:marLeft w:val="0"/>
      <w:marRight w:val="0"/>
      <w:marTop w:val="0"/>
      <w:marBottom w:val="0"/>
      <w:divBdr>
        <w:top w:val="none" w:sz="0" w:space="0" w:color="auto"/>
        <w:left w:val="none" w:sz="0" w:space="0" w:color="auto"/>
        <w:bottom w:val="none" w:sz="0" w:space="0" w:color="auto"/>
        <w:right w:val="none" w:sz="0" w:space="0" w:color="auto"/>
      </w:divBdr>
    </w:div>
    <w:div w:id="595867135">
      <w:bodyDiv w:val="1"/>
      <w:marLeft w:val="0"/>
      <w:marRight w:val="0"/>
      <w:marTop w:val="0"/>
      <w:marBottom w:val="0"/>
      <w:divBdr>
        <w:top w:val="none" w:sz="0" w:space="0" w:color="auto"/>
        <w:left w:val="none" w:sz="0" w:space="0" w:color="auto"/>
        <w:bottom w:val="none" w:sz="0" w:space="0" w:color="auto"/>
        <w:right w:val="none" w:sz="0" w:space="0" w:color="auto"/>
      </w:divBdr>
    </w:div>
    <w:div w:id="596131897">
      <w:bodyDiv w:val="1"/>
      <w:marLeft w:val="0"/>
      <w:marRight w:val="0"/>
      <w:marTop w:val="0"/>
      <w:marBottom w:val="0"/>
      <w:divBdr>
        <w:top w:val="none" w:sz="0" w:space="0" w:color="auto"/>
        <w:left w:val="none" w:sz="0" w:space="0" w:color="auto"/>
        <w:bottom w:val="none" w:sz="0" w:space="0" w:color="auto"/>
        <w:right w:val="none" w:sz="0" w:space="0" w:color="auto"/>
      </w:divBdr>
    </w:div>
    <w:div w:id="597638958">
      <w:bodyDiv w:val="1"/>
      <w:marLeft w:val="0"/>
      <w:marRight w:val="0"/>
      <w:marTop w:val="0"/>
      <w:marBottom w:val="0"/>
      <w:divBdr>
        <w:top w:val="none" w:sz="0" w:space="0" w:color="auto"/>
        <w:left w:val="none" w:sz="0" w:space="0" w:color="auto"/>
        <w:bottom w:val="none" w:sz="0" w:space="0" w:color="auto"/>
        <w:right w:val="none" w:sz="0" w:space="0" w:color="auto"/>
      </w:divBdr>
    </w:div>
    <w:div w:id="599610805">
      <w:bodyDiv w:val="1"/>
      <w:marLeft w:val="0"/>
      <w:marRight w:val="0"/>
      <w:marTop w:val="0"/>
      <w:marBottom w:val="0"/>
      <w:divBdr>
        <w:top w:val="none" w:sz="0" w:space="0" w:color="auto"/>
        <w:left w:val="none" w:sz="0" w:space="0" w:color="auto"/>
        <w:bottom w:val="none" w:sz="0" w:space="0" w:color="auto"/>
        <w:right w:val="none" w:sz="0" w:space="0" w:color="auto"/>
      </w:divBdr>
    </w:div>
    <w:div w:id="601258934">
      <w:bodyDiv w:val="1"/>
      <w:marLeft w:val="0"/>
      <w:marRight w:val="0"/>
      <w:marTop w:val="0"/>
      <w:marBottom w:val="0"/>
      <w:divBdr>
        <w:top w:val="none" w:sz="0" w:space="0" w:color="auto"/>
        <w:left w:val="none" w:sz="0" w:space="0" w:color="auto"/>
        <w:bottom w:val="none" w:sz="0" w:space="0" w:color="auto"/>
        <w:right w:val="none" w:sz="0" w:space="0" w:color="auto"/>
      </w:divBdr>
    </w:div>
    <w:div w:id="603155226">
      <w:bodyDiv w:val="1"/>
      <w:marLeft w:val="0"/>
      <w:marRight w:val="0"/>
      <w:marTop w:val="0"/>
      <w:marBottom w:val="0"/>
      <w:divBdr>
        <w:top w:val="none" w:sz="0" w:space="0" w:color="auto"/>
        <w:left w:val="none" w:sz="0" w:space="0" w:color="auto"/>
        <w:bottom w:val="none" w:sz="0" w:space="0" w:color="auto"/>
        <w:right w:val="none" w:sz="0" w:space="0" w:color="auto"/>
      </w:divBdr>
    </w:div>
    <w:div w:id="604770521">
      <w:bodyDiv w:val="1"/>
      <w:marLeft w:val="0"/>
      <w:marRight w:val="0"/>
      <w:marTop w:val="0"/>
      <w:marBottom w:val="0"/>
      <w:divBdr>
        <w:top w:val="none" w:sz="0" w:space="0" w:color="auto"/>
        <w:left w:val="none" w:sz="0" w:space="0" w:color="auto"/>
        <w:bottom w:val="none" w:sz="0" w:space="0" w:color="auto"/>
        <w:right w:val="none" w:sz="0" w:space="0" w:color="auto"/>
      </w:divBdr>
    </w:div>
    <w:div w:id="605501975">
      <w:bodyDiv w:val="1"/>
      <w:marLeft w:val="0"/>
      <w:marRight w:val="0"/>
      <w:marTop w:val="0"/>
      <w:marBottom w:val="0"/>
      <w:divBdr>
        <w:top w:val="none" w:sz="0" w:space="0" w:color="auto"/>
        <w:left w:val="none" w:sz="0" w:space="0" w:color="auto"/>
        <w:bottom w:val="none" w:sz="0" w:space="0" w:color="auto"/>
        <w:right w:val="none" w:sz="0" w:space="0" w:color="auto"/>
      </w:divBdr>
    </w:div>
    <w:div w:id="606087547">
      <w:bodyDiv w:val="1"/>
      <w:marLeft w:val="0"/>
      <w:marRight w:val="0"/>
      <w:marTop w:val="0"/>
      <w:marBottom w:val="0"/>
      <w:divBdr>
        <w:top w:val="none" w:sz="0" w:space="0" w:color="auto"/>
        <w:left w:val="none" w:sz="0" w:space="0" w:color="auto"/>
        <w:bottom w:val="none" w:sz="0" w:space="0" w:color="auto"/>
        <w:right w:val="none" w:sz="0" w:space="0" w:color="auto"/>
      </w:divBdr>
    </w:div>
    <w:div w:id="606691616">
      <w:bodyDiv w:val="1"/>
      <w:marLeft w:val="0"/>
      <w:marRight w:val="0"/>
      <w:marTop w:val="0"/>
      <w:marBottom w:val="0"/>
      <w:divBdr>
        <w:top w:val="none" w:sz="0" w:space="0" w:color="auto"/>
        <w:left w:val="none" w:sz="0" w:space="0" w:color="auto"/>
        <w:bottom w:val="none" w:sz="0" w:space="0" w:color="auto"/>
        <w:right w:val="none" w:sz="0" w:space="0" w:color="auto"/>
      </w:divBdr>
    </w:div>
    <w:div w:id="607082903">
      <w:bodyDiv w:val="1"/>
      <w:marLeft w:val="0"/>
      <w:marRight w:val="0"/>
      <w:marTop w:val="0"/>
      <w:marBottom w:val="0"/>
      <w:divBdr>
        <w:top w:val="none" w:sz="0" w:space="0" w:color="auto"/>
        <w:left w:val="none" w:sz="0" w:space="0" w:color="auto"/>
        <w:bottom w:val="none" w:sz="0" w:space="0" w:color="auto"/>
        <w:right w:val="none" w:sz="0" w:space="0" w:color="auto"/>
      </w:divBdr>
    </w:div>
    <w:div w:id="607085285">
      <w:bodyDiv w:val="1"/>
      <w:marLeft w:val="0"/>
      <w:marRight w:val="0"/>
      <w:marTop w:val="0"/>
      <w:marBottom w:val="0"/>
      <w:divBdr>
        <w:top w:val="none" w:sz="0" w:space="0" w:color="auto"/>
        <w:left w:val="none" w:sz="0" w:space="0" w:color="auto"/>
        <w:bottom w:val="none" w:sz="0" w:space="0" w:color="auto"/>
        <w:right w:val="none" w:sz="0" w:space="0" w:color="auto"/>
      </w:divBdr>
    </w:div>
    <w:div w:id="608465910">
      <w:bodyDiv w:val="1"/>
      <w:marLeft w:val="0"/>
      <w:marRight w:val="0"/>
      <w:marTop w:val="0"/>
      <w:marBottom w:val="0"/>
      <w:divBdr>
        <w:top w:val="none" w:sz="0" w:space="0" w:color="auto"/>
        <w:left w:val="none" w:sz="0" w:space="0" w:color="auto"/>
        <w:bottom w:val="none" w:sz="0" w:space="0" w:color="auto"/>
        <w:right w:val="none" w:sz="0" w:space="0" w:color="auto"/>
      </w:divBdr>
    </w:div>
    <w:div w:id="608706101">
      <w:bodyDiv w:val="1"/>
      <w:marLeft w:val="0"/>
      <w:marRight w:val="0"/>
      <w:marTop w:val="0"/>
      <w:marBottom w:val="0"/>
      <w:divBdr>
        <w:top w:val="none" w:sz="0" w:space="0" w:color="auto"/>
        <w:left w:val="none" w:sz="0" w:space="0" w:color="auto"/>
        <w:bottom w:val="none" w:sz="0" w:space="0" w:color="auto"/>
        <w:right w:val="none" w:sz="0" w:space="0" w:color="auto"/>
      </w:divBdr>
    </w:div>
    <w:div w:id="609971277">
      <w:bodyDiv w:val="1"/>
      <w:marLeft w:val="0"/>
      <w:marRight w:val="0"/>
      <w:marTop w:val="0"/>
      <w:marBottom w:val="0"/>
      <w:divBdr>
        <w:top w:val="none" w:sz="0" w:space="0" w:color="auto"/>
        <w:left w:val="none" w:sz="0" w:space="0" w:color="auto"/>
        <w:bottom w:val="none" w:sz="0" w:space="0" w:color="auto"/>
        <w:right w:val="none" w:sz="0" w:space="0" w:color="auto"/>
      </w:divBdr>
    </w:div>
    <w:div w:id="610429353">
      <w:bodyDiv w:val="1"/>
      <w:marLeft w:val="0"/>
      <w:marRight w:val="0"/>
      <w:marTop w:val="0"/>
      <w:marBottom w:val="0"/>
      <w:divBdr>
        <w:top w:val="none" w:sz="0" w:space="0" w:color="auto"/>
        <w:left w:val="none" w:sz="0" w:space="0" w:color="auto"/>
        <w:bottom w:val="none" w:sz="0" w:space="0" w:color="auto"/>
        <w:right w:val="none" w:sz="0" w:space="0" w:color="auto"/>
      </w:divBdr>
    </w:div>
    <w:div w:id="611982498">
      <w:bodyDiv w:val="1"/>
      <w:marLeft w:val="0"/>
      <w:marRight w:val="0"/>
      <w:marTop w:val="0"/>
      <w:marBottom w:val="0"/>
      <w:divBdr>
        <w:top w:val="none" w:sz="0" w:space="0" w:color="auto"/>
        <w:left w:val="none" w:sz="0" w:space="0" w:color="auto"/>
        <w:bottom w:val="none" w:sz="0" w:space="0" w:color="auto"/>
        <w:right w:val="none" w:sz="0" w:space="0" w:color="auto"/>
      </w:divBdr>
    </w:div>
    <w:div w:id="612443129">
      <w:bodyDiv w:val="1"/>
      <w:marLeft w:val="0"/>
      <w:marRight w:val="0"/>
      <w:marTop w:val="0"/>
      <w:marBottom w:val="0"/>
      <w:divBdr>
        <w:top w:val="none" w:sz="0" w:space="0" w:color="auto"/>
        <w:left w:val="none" w:sz="0" w:space="0" w:color="auto"/>
        <w:bottom w:val="none" w:sz="0" w:space="0" w:color="auto"/>
        <w:right w:val="none" w:sz="0" w:space="0" w:color="auto"/>
      </w:divBdr>
    </w:div>
    <w:div w:id="612516524">
      <w:bodyDiv w:val="1"/>
      <w:marLeft w:val="0"/>
      <w:marRight w:val="0"/>
      <w:marTop w:val="0"/>
      <w:marBottom w:val="0"/>
      <w:divBdr>
        <w:top w:val="none" w:sz="0" w:space="0" w:color="auto"/>
        <w:left w:val="none" w:sz="0" w:space="0" w:color="auto"/>
        <w:bottom w:val="none" w:sz="0" w:space="0" w:color="auto"/>
        <w:right w:val="none" w:sz="0" w:space="0" w:color="auto"/>
      </w:divBdr>
    </w:div>
    <w:div w:id="613830637">
      <w:bodyDiv w:val="1"/>
      <w:marLeft w:val="0"/>
      <w:marRight w:val="0"/>
      <w:marTop w:val="0"/>
      <w:marBottom w:val="0"/>
      <w:divBdr>
        <w:top w:val="none" w:sz="0" w:space="0" w:color="auto"/>
        <w:left w:val="none" w:sz="0" w:space="0" w:color="auto"/>
        <w:bottom w:val="none" w:sz="0" w:space="0" w:color="auto"/>
        <w:right w:val="none" w:sz="0" w:space="0" w:color="auto"/>
      </w:divBdr>
    </w:div>
    <w:div w:id="614017645">
      <w:bodyDiv w:val="1"/>
      <w:marLeft w:val="0"/>
      <w:marRight w:val="0"/>
      <w:marTop w:val="0"/>
      <w:marBottom w:val="0"/>
      <w:divBdr>
        <w:top w:val="none" w:sz="0" w:space="0" w:color="auto"/>
        <w:left w:val="none" w:sz="0" w:space="0" w:color="auto"/>
        <w:bottom w:val="none" w:sz="0" w:space="0" w:color="auto"/>
        <w:right w:val="none" w:sz="0" w:space="0" w:color="auto"/>
      </w:divBdr>
    </w:div>
    <w:div w:id="614947258">
      <w:bodyDiv w:val="1"/>
      <w:marLeft w:val="0"/>
      <w:marRight w:val="0"/>
      <w:marTop w:val="0"/>
      <w:marBottom w:val="0"/>
      <w:divBdr>
        <w:top w:val="none" w:sz="0" w:space="0" w:color="auto"/>
        <w:left w:val="none" w:sz="0" w:space="0" w:color="auto"/>
        <w:bottom w:val="none" w:sz="0" w:space="0" w:color="auto"/>
        <w:right w:val="none" w:sz="0" w:space="0" w:color="auto"/>
      </w:divBdr>
    </w:div>
    <w:div w:id="615021113">
      <w:bodyDiv w:val="1"/>
      <w:marLeft w:val="0"/>
      <w:marRight w:val="0"/>
      <w:marTop w:val="0"/>
      <w:marBottom w:val="0"/>
      <w:divBdr>
        <w:top w:val="none" w:sz="0" w:space="0" w:color="auto"/>
        <w:left w:val="none" w:sz="0" w:space="0" w:color="auto"/>
        <w:bottom w:val="none" w:sz="0" w:space="0" w:color="auto"/>
        <w:right w:val="none" w:sz="0" w:space="0" w:color="auto"/>
      </w:divBdr>
    </w:div>
    <w:div w:id="616176433">
      <w:bodyDiv w:val="1"/>
      <w:marLeft w:val="0"/>
      <w:marRight w:val="0"/>
      <w:marTop w:val="0"/>
      <w:marBottom w:val="0"/>
      <w:divBdr>
        <w:top w:val="none" w:sz="0" w:space="0" w:color="auto"/>
        <w:left w:val="none" w:sz="0" w:space="0" w:color="auto"/>
        <w:bottom w:val="none" w:sz="0" w:space="0" w:color="auto"/>
        <w:right w:val="none" w:sz="0" w:space="0" w:color="auto"/>
      </w:divBdr>
    </w:div>
    <w:div w:id="616327206">
      <w:bodyDiv w:val="1"/>
      <w:marLeft w:val="0"/>
      <w:marRight w:val="0"/>
      <w:marTop w:val="0"/>
      <w:marBottom w:val="0"/>
      <w:divBdr>
        <w:top w:val="none" w:sz="0" w:space="0" w:color="auto"/>
        <w:left w:val="none" w:sz="0" w:space="0" w:color="auto"/>
        <w:bottom w:val="none" w:sz="0" w:space="0" w:color="auto"/>
        <w:right w:val="none" w:sz="0" w:space="0" w:color="auto"/>
      </w:divBdr>
    </w:div>
    <w:div w:id="617494069">
      <w:bodyDiv w:val="1"/>
      <w:marLeft w:val="0"/>
      <w:marRight w:val="0"/>
      <w:marTop w:val="0"/>
      <w:marBottom w:val="0"/>
      <w:divBdr>
        <w:top w:val="none" w:sz="0" w:space="0" w:color="auto"/>
        <w:left w:val="none" w:sz="0" w:space="0" w:color="auto"/>
        <w:bottom w:val="none" w:sz="0" w:space="0" w:color="auto"/>
        <w:right w:val="none" w:sz="0" w:space="0" w:color="auto"/>
      </w:divBdr>
    </w:div>
    <w:div w:id="618293074">
      <w:bodyDiv w:val="1"/>
      <w:marLeft w:val="0"/>
      <w:marRight w:val="0"/>
      <w:marTop w:val="0"/>
      <w:marBottom w:val="0"/>
      <w:divBdr>
        <w:top w:val="none" w:sz="0" w:space="0" w:color="auto"/>
        <w:left w:val="none" w:sz="0" w:space="0" w:color="auto"/>
        <w:bottom w:val="none" w:sz="0" w:space="0" w:color="auto"/>
        <w:right w:val="none" w:sz="0" w:space="0" w:color="auto"/>
      </w:divBdr>
    </w:div>
    <w:div w:id="618612718">
      <w:bodyDiv w:val="1"/>
      <w:marLeft w:val="0"/>
      <w:marRight w:val="0"/>
      <w:marTop w:val="0"/>
      <w:marBottom w:val="0"/>
      <w:divBdr>
        <w:top w:val="none" w:sz="0" w:space="0" w:color="auto"/>
        <w:left w:val="none" w:sz="0" w:space="0" w:color="auto"/>
        <w:bottom w:val="none" w:sz="0" w:space="0" w:color="auto"/>
        <w:right w:val="none" w:sz="0" w:space="0" w:color="auto"/>
      </w:divBdr>
    </w:div>
    <w:div w:id="619259896">
      <w:bodyDiv w:val="1"/>
      <w:marLeft w:val="0"/>
      <w:marRight w:val="0"/>
      <w:marTop w:val="0"/>
      <w:marBottom w:val="0"/>
      <w:divBdr>
        <w:top w:val="none" w:sz="0" w:space="0" w:color="auto"/>
        <w:left w:val="none" w:sz="0" w:space="0" w:color="auto"/>
        <w:bottom w:val="none" w:sz="0" w:space="0" w:color="auto"/>
        <w:right w:val="none" w:sz="0" w:space="0" w:color="auto"/>
      </w:divBdr>
    </w:div>
    <w:div w:id="619340564">
      <w:bodyDiv w:val="1"/>
      <w:marLeft w:val="0"/>
      <w:marRight w:val="0"/>
      <w:marTop w:val="0"/>
      <w:marBottom w:val="0"/>
      <w:divBdr>
        <w:top w:val="none" w:sz="0" w:space="0" w:color="auto"/>
        <w:left w:val="none" w:sz="0" w:space="0" w:color="auto"/>
        <w:bottom w:val="none" w:sz="0" w:space="0" w:color="auto"/>
        <w:right w:val="none" w:sz="0" w:space="0" w:color="auto"/>
      </w:divBdr>
    </w:div>
    <w:div w:id="619996094">
      <w:bodyDiv w:val="1"/>
      <w:marLeft w:val="0"/>
      <w:marRight w:val="0"/>
      <w:marTop w:val="0"/>
      <w:marBottom w:val="0"/>
      <w:divBdr>
        <w:top w:val="none" w:sz="0" w:space="0" w:color="auto"/>
        <w:left w:val="none" w:sz="0" w:space="0" w:color="auto"/>
        <w:bottom w:val="none" w:sz="0" w:space="0" w:color="auto"/>
        <w:right w:val="none" w:sz="0" w:space="0" w:color="auto"/>
      </w:divBdr>
    </w:div>
    <w:div w:id="620036926">
      <w:bodyDiv w:val="1"/>
      <w:marLeft w:val="0"/>
      <w:marRight w:val="0"/>
      <w:marTop w:val="0"/>
      <w:marBottom w:val="0"/>
      <w:divBdr>
        <w:top w:val="none" w:sz="0" w:space="0" w:color="auto"/>
        <w:left w:val="none" w:sz="0" w:space="0" w:color="auto"/>
        <w:bottom w:val="none" w:sz="0" w:space="0" w:color="auto"/>
        <w:right w:val="none" w:sz="0" w:space="0" w:color="auto"/>
      </w:divBdr>
    </w:div>
    <w:div w:id="620109538">
      <w:bodyDiv w:val="1"/>
      <w:marLeft w:val="0"/>
      <w:marRight w:val="0"/>
      <w:marTop w:val="0"/>
      <w:marBottom w:val="0"/>
      <w:divBdr>
        <w:top w:val="none" w:sz="0" w:space="0" w:color="auto"/>
        <w:left w:val="none" w:sz="0" w:space="0" w:color="auto"/>
        <w:bottom w:val="none" w:sz="0" w:space="0" w:color="auto"/>
        <w:right w:val="none" w:sz="0" w:space="0" w:color="auto"/>
      </w:divBdr>
    </w:div>
    <w:div w:id="621305670">
      <w:bodyDiv w:val="1"/>
      <w:marLeft w:val="0"/>
      <w:marRight w:val="0"/>
      <w:marTop w:val="0"/>
      <w:marBottom w:val="0"/>
      <w:divBdr>
        <w:top w:val="none" w:sz="0" w:space="0" w:color="auto"/>
        <w:left w:val="none" w:sz="0" w:space="0" w:color="auto"/>
        <w:bottom w:val="none" w:sz="0" w:space="0" w:color="auto"/>
        <w:right w:val="none" w:sz="0" w:space="0" w:color="auto"/>
      </w:divBdr>
    </w:div>
    <w:div w:id="622347849">
      <w:bodyDiv w:val="1"/>
      <w:marLeft w:val="0"/>
      <w:marRight w:val="0"/>
      <w:marTop w:val="0"/>
      <w:marBottom w:val="0"/>
      <w:divBdr>
        <w:top w:val="none" w:sz="0" w:space="0" w:color="auto"/>
        <w:left w:val="none" w:sz="0" w:space="0" w:color="auto"/>
        <w:bottom w:val="none" w:sz="0" w:space="0" w:color="auto"/>
        <w:right w:val="none" w:sz="0" w:space="0" w:color="auto"/>
      </w:divBdr>
    </w:div>
    <w:div w:id="622468042">
      <w:bodyDiv w:val="1"/>
      <w:marLeft w:val="0"/>
      <w:marRight w:val="0"/>
      <w:marTop w:val="0"/>
      <w:marBottom w:val="0"/>
      <w:divBdr>
        <w:top w:val="none" w:sz="0" w:space="0" w:color="auto"/>
        <w:left w:val="none" w:sz="0" w:space="0" w:color="auto"/>
        <w:bottom w:val="none" w:sz="0" w:space="0" w:color="auto"/>
        <w:right w:val="none" w:sz="0" w:space="0" w:color="auto"/>
      </w:divBdr>
    </w:div>
    <w:div w:id="622813383">
      <w:bodyDiv w:val="1"/>
      <w:marLeft w:val="0"/>
      <w:marRight w:val="0"/>
      <w:marTop w:val="0"/>
      <w:marBottom w:val="0"/>
      <w:divBdr>
        <w:top w:val="none" w:sz="0" w:space="0" w:color="auto"/>
        <w:left w:val="none" w:sz="0" w:space="0" w:color="auto"/>
        <w:bottom w:val="none" w:sz="0" w:space="0" w:color="auto"/>
        <w:right w:val="none" w:sz="0" w:space="0" w:color="auto"/>
      </w:divBdr>
    </w:div>
    <w:div w:id="624459139">
      <w:bodyDiv w:val="1"/>
      <w:marLeft w:val="0"/>
      <w:marRight w:val="0"/>
      <w:marTop w:val="0"/>
      <w:marBottom w:val="0"/>
      <w:divBdr>
        <w:top w:val="none" w:sz="0" w:space="0" w:color="auto"/>
        <w:left w:val="none" w:sz="0" w:space="0" w:color="auto"/>
        <w:bottom w:val="none" w:sz="0" w:space="0" w:color="auto"/>
        <w:right w:val="none" w:sz="0" w:space="0" w:color="auto"/>
      </w:divBdr>
    </w:div>
    <w:div w:id="625162203">
      <w:bodyDiv w:val="1"/>
      <w:marLeft w:val="0"/>
      <w:marRight w:val="0"/>
      <w:marTop w:val="0"/>
      <w:marBottom w:val="0"/>
      <w:divBdr>
        <w:top w:val="none" w:sz="0" w:space="0" w:color="auto"/>
        <w:left w:val="none" w:sz="0" w:space="0" w:color="auto"/>
        <w:bottom w:val="none" w:sz="0" w:space="0" w:color="auto"/>
        <w:right w:val="none" w:sz="0" w:space="0" w:color="auto"/>
      </w:divBdr>
    </w:div>
    <w:div w:id="626349102">
      <w:bodyDiv w:val="1"/>
      <w:marLeft w:val="0"/>
      <w:marRight w:val="0"/>
      <w:marTop w:val="0"/>
      <w:marBottom w:val="0"/>
      <w:divBdr>
        <w:top w:val="none" w:sz="0" w:space="0" w:color="auto"/>
        <w:left w:val="none" w:sz="0" w:space="0" w:color="auto"/>
        <w:bottom w:val="none" w:sz="0" w:space="0" w:color="auto"/>
        <w:right w:val="none" w:sz="0" w:space="0" w:color="auto"/>
      </w:divBdr>
    </w:div>
    <w:div w:id="626551402">
      <w:bodyDiv w:val="1"/>
      <w:marLeft w:val="0"/>
      <w:marRight w:val="0"/>
      <w:marTop w:val="0"/>
      <w:marBottom w:val="0"/>
      <w:divBdr>
        <w:top w:val="none" w:sz="0" w:space="0" w:color="auto"/>
        <w:left w:val="none" w:sz="0" w:space="0" w:color="auto"/>
        <w:bottom w:val="none" w:sz="0" w:space="0" w:color="auto"/>
        <w:right w:val="none" w:sz="0" w:space="0" w:color="auto"/>
      </w:divBdr>
    </w:div>
    <w:div w:id="626592491">
      <w:bodyDiv w:val="1"/>
      <w:marLeft w:val="0"/>
      <w:marRight w:val="0"/>
      <w:marTop w:val="0"/>
      <w:marBottom w:val="0"/>
      <w:divBdr>
        <w:top w:val="none" w:sz="0" w:space="0" w:color="auto"/>
        <w:left w:val="none" w:sz="0" w:space="0" w:color="auto"/>
        <w:bottom w:val="none" w:sz="0" w:space="0" w:color="auto"/>
        <w:right w:val="none" w:sz="0" w:space="0" w:color="auto"/>
      </w:divBdr>
    </w:div>
    <w:div w:id="628122934">
      <w:bodyDiv w:val="1"/>
      <w:marLeft w:val="0"/>
      <w:marRight w:val="0"/>
      <w:marTop w:val="0"/>
      <w:marBottom w:val="0"/>
      <w:divBdr>
        <w:top w:val="none" w:sz="0" w:space="0" w:color="auto"/>
        <w:left w:val="none" w:sz="0" w:space="0" w:color="auto"/>
        <w:bottom w:val="none" w:sz="0" w:space="0" w:color="auto"/>
        <w:right w:val="none" w:sz="0" w:space="0" w:color="auto"/>
      </w:divBdr>
    </w:div>
    <w:div w:id="630015123">
      <w:bodyDiv w:val="1"/>
      <w:marLeft w:val="0"/>
      <w:marRight w:val="0"/>
      <w:marTop w:val="0"/>
      <w:marBottom w:val="0"/>
      <w:divBdr>
        <w:top w:val="none" w:sz="0" w:space="0" w:color="auto"/>
        <w:left w:val="none" w:sz="0" w:space="0" w:color="auto"/>
        <w:bottom w:val="none" w:sz="0" w:space="0" w:color="auto"/>
        <w:right w:val="none" w:sz="0" w:space="0" w:color="auto"/>
      </w:divBdr>
    </w:div>
    <w:div w:id="630283887">
      <w:bodyDiv w:val="1"/>
      <w:marLeft w:val="0"/>
      <w:marRight w:val="0"/>
      <w:marTop w:val="0"/>
      <w:marBottom w:val="0"/>
      <w:divBdr>
        <w:top w:val="none" w:sz="0" w:space="0" w:color="auto"/>
        <w:left w:val="none" w:sz="0" w:space="0" w:color="auto"/>
        <w:bottom w:val="none" w:sz="0" w:space="0" w:color="auto"/>
        <w:right w:val="none" w:sz="0" w:space="0" w:color="auto"/>
      </w:divBdr>
    </w:div>
    <w:div w:id="631062589">
      <w:bodyDiv w:val="1"/>
      <w:marLeft w:val="0"/>
      <w:marRight w:val="0"/>
      <w:marTop w:val="0"/>
      <w:marBottom w:val="0"/>
      <w:divBdr>
        <w:top w:val="none" w:sz="0" w:space="0" w:color="auto"/>
        <w:left w:val="none" w:sz="0" w:space="0" w:color="auto"/>
        <w:bottom w:val="none" w:sz="0" w:space="0" w:color="auto"/>
        <w:right w:val="none" w:sz="0" w:space="0" w:color="auto"/>
      </w:divBdr>
    </w:div>
    <w:div w:id="633486956">
      <w:bodyDiv w:val="1"/>
      <w:marLeft w:val="0"/>
      <w:marRight w:val="0"/>
      <w:marTop w:val="0"/>
      <w:marBottom w:val="0"/>
      <w:divBdr>
        <w:top w:val="none" w:sz="0" w:space="0" w:color="auto"/>
        <w:left w:val="none" w:sz="0" w:space="0" w:color="auto"/>
        <w:bottom w:val="none" w:sz="0" w:space="0" w:color="auto"/>
        <w:right w:val="none" w:sz="0" w:space="0" w:color="auto"/>
      </w:divBdr>
    </w:div>
    <w:div w:id="634606519">
      <w:bodyDiv w:val="1"/>
      <w:marLeft w:val="0"/>
      <w:marRight w:val="0"/>
      <w:marTop w:val="0"/>
      <w:marBottom w:val="0"/>
      <w:divBdr>
        <w:top w:val="none" w:sz="0" w:space="0" w:color="auto"/>
        <w:left w:val="none" w:sz="0" w:space="0" w:color="auto"/>
        <w:bottom w:val="none" w:sz="0" w:space="0" w:color="auto"/>
        <w:right w:val="none" w:sz="0" w:space="0" w:color="auto"/>
      </w:divBdr>
    </w:div>
    <w:div w:id="635335043">
      <w:bodyDiv w:val="1"/>
      <w:marLeft w:val="0"/>
      <w:marRight w:val="0"/>
      <w:marTop w:val="0"/>
      <w:marBottom w:val="0"/>
      <w:divBdr>
        <w:top w:val="none" w:sz="0" w:space="0" w:color="auto"/>
        <w:left w:val="none" w:sz="0" w:space="0" w:color="auto"/>
        <w:bottom w:val="none" w:sz="0" w:space="0" w:color="auto"/>
        <w:right w:val="none" w:sz="0" w:space="0" w:color="auto"/>
      </w:divBdr>
    </w:div>
    <w:div w:id="635337181">
      <w:bodyDiv w:val="1"/>
      <w:marLeft w:val="0"/>
      <w:marRight w:val="0"/>
      <w:marTop w:val="0"/>
      <w:marBottom w:val="0"/>
      <w:divBdr>
        <w:top w:val="none" w:sz="0" w:space="0" w:color="auto"/>
        <w:left w:val="none" w:sz="0" w:space="0" w:color="auto"/>
        <w:bottom w:val="none" w:sz="0" w:space="0" w:color="auto"/>
        <w:right w:val="none" w:sz="0" w:space="0" w:color="auto"/>
      </w:divBdr>
    </w:div>
    <w:div w:id="637494629">
      <w:bodyDiv w:val="1"/>
      <w:marLeft w:val="0"/>
      <w:marRight w:val="0"/>
      <w:marTop w:val="0"/>
      <w:marBottom w:val="0"/>
      <w:divBdr>
        <w:top w:val="none" w:sz="0" w:space="0" w:color="auto"/>
        <w:left w:val="none" w:sz="0" w:space="0" w:color="auto"/>
        <w:bottom w:val="none" w:sz="0" w:space="0" w:color="auto"/>
        <w:right w:val="none" w:sz="0" w:space="0" w:color="auto"/>
      </w:divBdr>
    </w:div>
    <w:div w:id="637686151">
      <w:bodyDiv w:val="1"/>
      <w:marLeft w:val="0"/>
      <w:marRight w:val="0"/>
      <w:marTop w:val="0"/>
      <w:marBottom w:val="0"/>
      <w:divBdr>
        <w:top w:val="none" w:sz="0" w:space="0" w:color="auto"/>
        <w:left w:val="none" w:sz="0" w:space="0" w:color="auto"/>
        <w:bottom w:val="none" w:sz="0" w:space="0" w:color="auto"/>
        <w:right w:val="none" w:sz="0" w:space="0" w:color="auto"/>
      </w:divBdr>
    </w:div>
    <w:div w:id="638926065">
      <w:bodyDiv w:val="1"/>
      <w:marLeft w:val="0"/>
      <w:marRight w:val="0"/>
      <w:marTop w:val="0"/>
      <w:marBottom w:val="0"/>
      <w:divBdr>
        <w:top w:val="none" w:sz="0" w:space="0" w:color="auto"/>
        <w:left w:val="none" w:sz="0" w:space="0" w:color="auto"/>
        <w:bottom w:val="none" w:sz="0" w:space="0" w:color="auto"/>
        <w:right w:val="none" w:sz="0" w:space="0" w:color="auto"/>
      </w:divBdr>
    </w:div>
    <w:div w:id="639383142">
      <w:bodyDiv w:val="1"/>
      <w:marLeft w:val="0"/>
      <w:marRight w:val="0"/>
      <w:marTop w:val="0"/>
      <w:marBottom w:val="0"/>
      <w:divBdr>
        <w:top w:val="none" w:sz="0" w:space="0" w:color="auto"/>
        <w:left w:val="none" w:sz="0" w:space="0" w:color="auto"/>
        <w:bottom w:val="none" w:sz="0" w:space="0" w:color="auto"/>
        <w:right w:val="none" w:sz="0" w:space="0" w:color="auto"/>
      </w:divBdr>
    </w:div>
    <w:div w:id="639649626">
      <w:bodyDiv w:val="1"/>
      <w:marLeft w:val="0"/>
      <w:marRight w:val="0"/>
      <w:marTop w:val="0"/>
      <w:marBottom w:val="0"/>
      <w:divBdr>
        <w:top w:val="none" w:sz="0" w:space="0" w:color="auto"/>
        <w:left w:val="none" w:sz="0" w:space="0" w:color="auto"/>
        <w:bottom w:val="none" w:sz="0" w:space="0" w:color="auto"/>
        <w:right w:val="none" w:sz="0" w:space="0" w:color="auto"/>
      </w:divBdr>
    </w:div>
    <w:div w:id="643511177">
      <w:bodyDiv w:val="1"/>
      <w:marLeft w:val="0"/>
      <w:marRight w:val="0"/>
      <w:marTop w:val="0"/>
      <w:marBottom w:val="0"/>
      <w:divBdr>
        <w:top w:val="none" w:sz="0" w:space="0" w:color="auto"/>
        <w:left w:val="none" w:sz="0" w:space="0" w:color="auto"/>
        <w:bottom w:val="none" w:sz="0" w:space="0" w:color="auto"/>
        <w:right w:val="none" w:sz="0" w:space="0" w:color="auto"/>
      </w:divBdr>
    </w:div>
    <w:div w:id="644505975">
      <w:bodyDiv w:val="1"/>
      <w:marLeft w:val="0"/>
      <w:marRight w:val="0"/>
      <w:marTop w:val="0"/>
      <w:marBottom w:val="0"/>
      <w:divBdr>
        <w:top w:val="none" w:sz="0" w:space="0" w:color="auto"/>
        <w:left w:val="none" w:sz="0" w:space="0" w:color="auto"/>
        <w:bottom w:val="none" w:sz="0" w:space="0" w:color="auto"/>
        <w:right w:val="none" w:sz="0" w:space="0" w:color="auto"/>
      </w:divBdr>
    </w:div>
    <w:div w:id="644553600">
      <w:bodyDiv w:val="1"/>
      <w:marLeft w:val="0"/>
      <w:marRight w:val="0"/>
      <w:marTop w:val="0"/>
      <w:marBottom w:val="0"/>
      <w:divBdr>
        <w:top w:val="none" w:sz="0" w:space="0" w:color="auto"/>
        <w:left w:val="none" w:sz="0" w:space="0" w:color="auto"/>
        <w:bottom w:val="none" w:sz="0" w:space="0" w:color="auto"/>
        <w:right w:val="none" w:sz="0" w:space="0" w:color="auto"/>
      </w:divBdr>
    </w:div>
    <w:div w:id="645553231">
      <w:bodyDiv w:val="1"/>
      <w:marLeft w:val="0"/>
      <w:marRight w:val="0"/>
      <w:marTop w:val="0"/>
      <w:marBottom w:val="0"/>
      <w:divBdr>
        <w:top w:val="none" w:sz="0" w:space="0" w:color="auto"/>
        <w:left w:val="none" w:sz="0" w:space="0" w:color="auto"/>
        <w:bottom w:val="none" w:sz="0" w:space="0" w:color="auto"/>
        <w:right w:val="none" w:sz="0" w:space="0" w:color="auto"/>
      </w:divBdr>
    </w:div>
    <w:div w:id="646013993">
      <w:bodyDiv w:val="1"/>
      <w:marLeft w:val="0"/>
      <w:marRight w:val="0"/>
      <w:marTop w:val="0"/>
      <w:marBottom w:val="0"/>
      <w:divBdr>
        <w:top w:val="none" w:sz="0" w:space="0" w:color="auto"/>
        <w:left w:val="none" w:sz="0" w:space="0" w:color="auto"/>
        <w:bottom w:val="none" w:sz="0" w:space="0" w:color="auto"/>
        <w:right w:val="none" w:sz="0" w:space="0" w:color="auto"/>
      </w:divBdr>
    </w:div>
    <w:div w:id="646402049">
      <w:bodyDiv w:val="1"/>
      <w:marLeft w:val="0"/>
      <w:marRight w:val="0"/>
      <w:marTop w:val="0"/>
      <w:marBottom w:val="0"/>
      <w:divBdr>
        <w:top w:val="none" w:sz="0" w:space="0" w:color="auto"/>
        <w:left w:val="none" w:sz="0" w:space="0" w:color="auto"/>
        <w:bottom w:val="none" w:sz="0" w:space="0" w:color="auto"/>
        <w:right w:val="none" w:sz="0" w:space="0" w:color="auto"/>
      </w:divBdr>
    </w:div>
    <w:div w:id="647397174">
      <w:bodyDiv w:val="1"/>
      <w:marLeft w:val="0"/>
      <w:marRight w:val="0"/>
      <w:marTop w:val="0"/>
      <w:marBottom w:val="0"/>
      <w:divBdr>
        <w:top w:val="none" w:sz="0" w:space="0" w:color="auto"/>
        <w:left w:val="none" w:sz="0" w:space="0" w:color="auto"/>
        <w:bottom w:val="none" w:sz="0" w:space="0" w:color="auto"/>
        <w:right w:val="none" w:sz="0" w:space="0" w:color="auto"/>
      </w:divBdr>
    </w:div>
    <w:div w:id="647823989">
      <w:bodyDiv w:val="1"/>
      <w:marLeft w:val="0"/>
      <w:marRight w:val="0"/>
      <w:marTop w:val="0"/>
      <w:marBottom w:val="0"/>
      <w:divBdr>
        <w:top w:val="none" w:sz="0" w:space="0" w:color="auto"/>
        <w:left w:val="none" w:sz="0" w:space="0" w:color="auto"/>
        <w:bottom w:val="none" w:sz="0" w:space="0" w:color="auto"/>
        <w:right w:val="none" w:sz="0" w:space="0" w:color="auto"/>
      </w:divBdr>
    </w:div>
    <w:div w:id="648440778">
      <w:bodyDiv w:val="1"/>
      <w:marLeft w:val="0"/>
      <w:marRight w:val="0"/>
      <w:marTop w:val="0"/>
      <w:marBottom w:val="0"/>
      <w:divBdr>
        <w:top w:val="none" w:sz="0" w:space="0" w:color="auto"/>
        <w:left w:val="none" w:sz="0" w:space="0" w:color="auto"/>
        <w:bottom w:val="none" w:sz="0" w:space="0" w:color="auto"/>
        <w:right w:val="none" w:sz="0" w:space="0" w:color="auto"/>
      </w:divBdr>
    </w:div>
    <w:div w:id="649093851">
      <w:bodyDiv w:val="1"/>
      <w:marLeft w:val="0"/>
      <w:marRight w:val="0"/>
      <w:marTop w:val="0"/>
      <w:marBottom w:val="0"/>
      <w:divBdr>
        <w:top w:val="none" w:sz="0" w:space="0" w:color="auto"/>
        <w:left w:val="none" w:sz="0" w:space="0" w:color="auto"/>
        <w:bottom w:val="none" w:sz="0" w:space="0" w:color="auto"/>
        <w:right w:val="none" w:sz="0" w:space="0" w:color="auto"/>
      </w:divBdr>
    </w:div>
    <w:div w:id="649792521">
      <w:bodyDiv w:val="1"/>
      <w:marLeft w:val="0"/>
      <w:marRight w:val="0"/>
      <w:marTop w:val="0"/>
      <w:marBottom w:val="0"/>
      <w:divBdr>
        <w:top w:val="none" w:sz="0" w:space="0" w:color="auto"/>
        <w:left w:val="none" w:sz="0" w:space="0" w:color="auto"/>
        <w:bottom w:val="none" w:sz="0" w:space="0" w:color="auto"/>
        <w:right w:val="none" w:sz="0" w:space="0" w:color="auto"/>
      </w:divBdr>
    </w:div>
    <w:div w:id="650403849">
      <w:bodyDiv w:val="1"/>
      <w:marLeft w:val="0"/>
      <w:marRight w:val="0"/>
      <w:marTop w:val="0"/>
      <w:marBottom w:val="0"/>
      <w:divBdr>
        <w:top w:val="none" w:sz="0" w:space="0" w:color="auto"/>
        <w:left w:val="none" w:sz="0" w:space="0" w:color="auto"/>
        <w:bottom w:val="none" w:sz="0" w:space="0" w:color="auto"/>
        <w:right w:val="none" w:sz="0" w:space="0" w:color="auto"/>
      </w:divBdr>
    </w:div>
    <w:div w:id="650863092">
      <w:bodyDiv w:val="1"/>
      <w:marLeft w:val="0"/>
      <w:marRight w:val="0"/>
      <w:marTop w:val="0"/>
      <w:marBottom w:val="0"/>
      <w:divBdr>
        <w:top w:val="none" w:sz="0" w:space="0" w:color="auto"/>
        <w:left w:val="none" w:sz="0" w:space="0" w:color="auto"/>
        <w:bottom w:val="none" w:sz="0" w:space="0" w:color="auto"/>
        <w:right w:val="none" w:sz="0" w:space="0" w:color="auto"/>
      </w:divBdr>
    </w:div>
    <w:div w:id="651107430">
      <w:bodyDiv w:val="1"/>
      <w:marLeft w:val="0"/>
      <w:marRight w:val="0"/>
      <w:marTop w:val="0"/>
      <w:marBottom w:val="0"/>
      <w:divBdr>
        <w:top w:val="none" w:sz="0" w:space="0" w:color="auto"/>
        <w:left w:val="none" w:sz="0" w:space="0" w:color="auto"/>
        <w:bottom w:val="none" w:sz="0" w:space="0" w:color="auto"/>
        <w:right w:val="none" w:sz="0" w:space="0" w:color="auto"/>
      </w:divBdr>
    </w:div>
    <w:div w:id="651908244">
      <w:bodyDiv w:val="1"/>
      <w:marLeft w:val="0"/>
      <w:marRight w:val="0"/>
      <w:marTop w:val="0"/>
      <w:marBottom w:val="0"/>
      <w:divBdr>
        <w:top w:val="none" w:sz="0" w:space="0" w:color="auto"/>
        <w:left w:val="none" w:sz="0" w:space="0" w:color="auto"/>
        <w:bottom w:val="none" w:sz="0" w:space="0" w:color="auto"/>
        <w:right w:val="none" w:sz="0" w:space="0" w:color="auto"/>
      </w:divBdr>
    </w:div>
    <w:div w:id="653148872">
      <w:bodyDiv w:val="1"/>
      <w:marLeft w:val="0"/>
      <w:marRight w:val="0"/>
      <w:marTop w:val="0"/>
      <w:marBottom w:val="0"/>
      <w:divBdr>
        <w:top w:val="none" w:sz="0" w:space="0" w:color="auto"/>
        <w:left w:val="none" w:sz="0" w:space="0" w:color="auto"/>
        <w:bottom w:val="none" w:sz="0" w:space="0" w:color="auto"/>
        <w:right w:val="none" w:sz="0" w:space="0" w:color="auto"/>
      </w:divBdr>
    </w:div>
    <w:div w:id="653221731">
      <w:bodyDiv w:val="1"/>
      <w:marLeft w:val="0"/>
      <w:marRight w:val="0"/>
      <w:marTop w:val="0"/>
      <w:marBottom w:val="0"/>
      <w:divBdr>
        <w:top w:val="none" w:sz="0" w:space="0" w:color="auto"/>
        <w:left w:val="none" w:sz="0" w:space="0" w:color="auto"/>
        <w:bottom w:val="none" w:sz="0" w:space="0" w:color="auto"/>
        <w:right w:val="none" w:sz="0" w:space="0" w:color="auto"/>
      </w:divBdr>
    </w:div>
    <w:div w:id="654456263">
      <w:bodyDiv w:val="1"/>
      <w:marLeft w:val="0"/>
      <w:marRight w:val="0"/>
      <w:marTop w:val="0"/>
      <w:marBottom w:val="0"/>
      <w:divBdr>
        <w:top w:val="none" w:sz="0" w:space="0" w:color="auto"/>
        <w:left w:val="none" w:sz="0" w:space="0" w:color="auto"/>
        <w:bottom w:val="none" w:sz="0" w:space="0" w:color="auto"/>
        <w:right w:val="none" w:sz="0" w:space="0" w:color="auto"/>
      </w:divBdr>
    </w:div>
    <w:div w:id="655107374">
      <w:bodyDiv w:val="1"/>
      <w:marLeft w:val="0"/>
      <w:marRight w:val="0"/>
      <w:marTop w:val="0"/>
      <w:marBottom w:val="0"/>
      <w:divBdr>
        <w:top w:val="none" w:sz="0" w:space="0" w:color="auto"/>
        <w:left w:val="none" w:sz="0" w:space="0" w:color="auto"/>
        <w:bottom w:val="none" w:sz="0" w:space="0" w:color="auto"/>
        <w:right w:val="none" w:sz="0" w:space="0" w:color="auto"/>
      </w:divBdr>
    </w:div>
    <w:div w:id="655109743">
      <w:bodyDiv w:val="1"/>
      <w:marLeft w:val="0"/>
      <w:marRight w:val="0"/>
      <w:marTop w:val="0"/>
      <w:marBottom w:val="0"/>
      <w:divBdr>
        <w:top w:val="none" w:sz="0" w:space="0" w:color="auto"/>
        <w:left w:val="none" w:sz="0" w:space="0" w:color="auto"/>
        <w:bottom w:val="none" w:sz="0" w:space="0" w:color="auto"/>
        <w:right w:val="none" w:sz="0" w:space="0" w:color="auto"/>
      </w:divBdr>
    </w:div>
    <w:div w:id="655845986">
      <w:bodyDiv w:val="1"/>
      <w:marLeft w:val="0"/>
      <w:marRight w:val="0"/>
      <w:marTop w:val="0"/>
      <w:marBottom w:val="0"/>
      <w:divBdr>
        <w:top w:val="none" w:sz="0" w:space="0" w:color="auto"/>
        <w:left w:val="none" w:sz="0" w:space="0" w:color="auto"/>
        <w:bottom w:val="none" w:sz="0" w:space="0" w:color="auto"/>
        <w:right w:val="none" w:sz="0" w:space="0" w:color="auto"/>
      </w:divBdr>
    </w:div>
    <w:div w:id="656106870">
      <w:bodyDiv w:val="1"/>
      <w:marLeft w:val="0"/>
      <w:marRight w:val="0"/>
      <w:marTop w:val="0"/>
      <w:marBottom w:val="0"/>
      <w:divBdr>
        <w:top w:val="none" w:sz="0" w:space="0" w:color="auto"/>
        <w:left w:val="none" w:sz="0" w:space="0" w:color="auto"/>
        <w:bottom w:val="none" w:sz="0" w:space="0" w:color="auto"/>
        <w:right w:val="none" w:sz="0" w:space="0" w:color="auto"/>
      </w:divBdr>
    </w:div>
    <w:div w:id="656540051">
      <w:bodyDiv w:val="1"/>
      <w:marLeft w:val="0"/>
      <w:marRight w:val="0"/>
      <w:marTop w:val="0"/>
      <w:marBottom w:val="0"/>
      <w:divBdr>
        <w:top w:val="none" w:sz="0" w:space="0" w:color="auto"/>
        <w:left w:val="none" w:sz="0" w:space="0" w:color="auto"/>
        <w:bottom w:val="none" w:sz="0" w:space="0" w:color="auto"/>
        <w:right w:val="none" w:sz="0" w:space="0" w:color="auto"/>
      </w:divBdr>
    </w:div>
    <w:div w:id="656804902">
      <w:bodyDiv w:val="1"/>
      <w:marLeft w:val="0"/>
      <w:marRight w:val="0"/>
      <w:marTop w:val="0"/>
      <w:marBottom w:val="0"/>
      <w:divBdr>
        <w:top w:val="none" w:sz="0" w:space="0" w:color="auto"/>
        <w:left w:val="none" w:sz="0" w:space="0" w:color="auto"/>
        <w:bottom w:val="none" w:sz="0" w:space="0" w:color="auto"/>
        <w:right w:val="none" w:sz="0" w:space="0" w:color="auto"/>
      </w:divBdr>
    </w:div>
    <w:div w:id="658188672">
      <w:bodyDiv w:val="1"/>
      <w:marLeft w:val="0"/>
      <w:marRight w:val="0"/>
      <w:marTop w:val="0"/>
      <w:marBottom w:val="0"/>
      <w:divBdr>
        <w:top w:val="none" w:sz="0" w:space="0" w:color="auto"/>
        <w:left w:val="none" w:sz="0" w:space="0" w:color="auto"/>
        <w:bottom w:val="none" w:sz="0" w:space="0" w:color="auto"/>
        <w:right w:val="none" w:sz="0" w:space="0" w:color="auto"/>
      </w:divBdr>
    </w:div>
    <w:div w:id="660424683">
      <w:bodyDiv w:val="1"/>
      <w:marLeft w:val="0"/>
      <w:marRight w:val="0"/>
      <w:marTop w:val="0"/>
      <w:marBottom w:val="0"/>
      <w:divBdr>
        <w:top w:val="none" w:sz="0" w:space="0" w:color="auto"/>
        <w:left w:val="none" w:sz="0" w:space="0" w:color="auto"/>
        <w:bottom w:val="none" w:sz="0" w:space="0" w:color="auto"/>
        <w:right w:val="none" w:sz="0" w:space="0" w:color="auto"/>
      </w:divBdr>
    </w:div>
    <w:div w:id="661809987">
      <w:bodyDiv w:val="1"/>
      <w:marLeft w:val="0"/>
      <w:marRight w:val="0"/>
      <w:marTop w:val="0"/>
      <w:marBottom w:val="0"/>
      <w:divBdr>
        <w:top w:val="none" w:sz="0" w:space="0" w:color="auto"/>
        <w:left w:val="none" w:sz="0" w:space="0" w:color="auto"/>
        <w:bottom w:val="none" w:sz="0" w:space="0" w:color="auto"/>
        <w:right w:val="none" w:sz="0" w:space="0" w:color="auto"/>
      </w:divBdr>
    </w:div>
    <w:div w:id="662587620">
      <w:bodyDiv w:val="1"/>
      <w:marLeft w:val="0"/>
      <w:marRight w:val="0"/>
      <w:marTop w:val="0"/>
      <w:marBottom w:val="0"/>
      <w:divBdr>
        <w:top w:val="none" w:sz="0" w:space="0" w:color="auto"/>
        <w:left w:val="none" w:sz="0" w:space="0" w:color="auto"/>
        <w:bottom w:val="none" w:sz="0" w:space="0" w:color="auto"/>
        <w:right w:val="none" w:sz="0" w:space="0" w:color="auto"/>
      </w:divBdr>
    </w:div>
    <w:div w:id="664435838">
      <w:bodyDiv w:val="1"/>
      <w:marLeft w:val="0"/>
      <w:marRight w:val="0"/>
      <w:marTop w:val="0"/>
      <w:marBottom w:val="0"/>
      <w:divBdr>
        <w:top w:val="none" w:sz="0" w:space="0" w:color="auto"/>
        <w:left w:val="none" w:sz="0" w:space="0" w:color="auto"/>
        <w:bottom w:val="none" w:sz="0" w:space="0" w:color="auto"/>
        <w:right w:val="none" w:sz="0" w:space="0" w:color="auto"/>
      </w:divBdr>
    </w:div>
    <w:div w:id="665942807">
      <w:bodyDiv w:val="1"/>
      <w:marLeft w:val="0"/>
      <w:marRight w:val="0"/>
      <w:marTop w:val="0"/>
      <w:marBottom w:val="0"/>
      <w:divBdr>
        <w:top w:val="none" w:sz="0" w:space="0" w:color="auto"/>
        <w:left w:val="none" w:sz="0" w:space="0" w:color="auto"/>
        <w:bottom w:val="none" w:sz="0" w:space="0" w:color="auto"/>
        <w:right w:val="none" w:sz="0" w:space="0" w:color="auto"/>
      </w:divBdr>
    </w:div>
    <w:div w:id="667440666">
      <w:bodyDiv w:val="1"/>
      <w:marLeft w:val="0"/>
      <w:marRight w:val="0"/>
      <w:marTop w:val="0"/>
      <w:marBottom w:val="0"/>
      <w:divBdr>
        <w:top w:val="none" w:sz="0" w:space="0" w:color="auto"/>
        <w:left w:val="none" w:sz="0" w:space="0" w:color="auto"/>
        <w:bottom w:val="none" w:sz="0" w:space="0" w:color="auto"/>
        <w:right w:val="none" w:sz="0" w:space="0" w:color="auto"/>
      </w:divBdr>
    </w:div>
    <w:div w:id="667753544">
      <w:bodyDiv w:val="1"/>
      <w:marLeft w:val="0"/>
      <w:marRight w:val="0"/>
      <w:marTop w:val="0"/>
      <w:marBottom w:val="0"/>
      <w:divBdr>
        <w:top w:val="none" w:sz="0" w:space="0" w:color="auto"/>
        <w:left w:val="none" w:sz="0" w:space="0" w:color="auto"/>
        <w:bottom w:val="none" w:sz="0" w:space="0" w:color="auto"/>
        <w:right w:val="none" w:sz="0" w:space="0" w:color="auto"/>
      </w:divBdr>
    </w:div>
    <w:div w:id="668873089">
      <w:bodyDiv w:val="1"/>
      <w:marLeft w:val="0"/>
      <w:marRight w:val="0"/>
      <w:marTop w:val="0"/>
      <w:marBottom w:val="0"/>
      <w:divBdr>
        <w:top w:val="none" w:sz="0" w:space="0" w:color="auto"/>
        <w:left w:val="none" w:sz="0" w:space="0" w:color="auto"/>
        <w:bottom w:val="none" w:sz="0" w:space="0" w:color="auto"/>
        <w:right w:val="none" w:sz="0" w:space="0" w:color="auto"/>
      </w:divBdr>
    </w:div>
    <w:div w:id="669017075">
      <w:bodyDiv w:val="1"/>
      <w:marLeft w:val="0"/>
      <w:marRight w:val="0"/>
      <w:marTop w:val="0"/>
      <w:marBottom w:val="0"/>
      <w:divBdr>
        <w:top w:val="none" w:sz="0" w:space="0" w:color="auto"/>
        <w:left w:val="none" w:sz="0" w:space="0" w:color="auto"/>
        <w:bottom w:val="none" w:sz="0" w:space="0" w:color="auto"/>
        <w:right w:val="none" w:sz="0" w:space="0" w:color="auto"/>
      </w:divBdr>
    </w:div>
    <w:div w:id="669022379">
      <w:bodyDiv w:val="1"/>
      <w:marLeft w:val="0"/>
      <w:marRight w:val="0"/>
      <w:marTop w:val="0"/>
      <w:marBottom w:val="0"/>
      <w:divBdr>
        <w:top w:val="none" w:sz="0" w:space="0" w:color="auto"/>
        <w:left w:val="none" w:sz="0" w:space="0" w:color="auto"/>
        <w:bottom w:val="none" w:sz="0" w:space="0" w:color="auto"/>
        <w:right w:val="none" w:sz="0" w:space="0" w:color="auto"/>
      </w:divBdr>
    </w:div>
    <w:div w:id="670989915">
      <w:bodyDiv w:val="1"/>
      <w:marLeft w:val="0"/>
      <w:marRight w:val="0"/>
      <w:marTop w:val="0"/>
      <w:marBottom w:val="0"/>
      <w:divBdr>
        <w:top w:val="none" w:sz="0" w:space="0" w:color="auto"/>
        <w:left w:val="none" w:sz="0" w:space="0" w:color="auto"/>
        <w:bottom w:val="none" w:sz="0" w:space="0" w:color="auto"/>
        <w:right w:val="none" w:sz="0" w:space="0" w:color="auto"/>
      </w:divBdr>
    </w:div>
    <w:div w:id="671447937">
      <w:bodyDiv w:val="1"/>
      <w:marLeft w:val="0"/>
      <w:marRight w:val="0"/>
      <w:marTop w:val="0"/>
      <w:marBottom w:val="0"/>
      <w:divBdr>
        <w:top w:val="none" w:sz="0" w:space="0" w:color="auto"/>
        <w:left w:val="none" w:sz="0" w:space="0" w:color="auto"/>
        <w:bottom w:val="none" w:sz="0" w:space="0" w:color="auto"/>
        <w:right w:val="none" w:sz="0" w:space="0" w:color="auto"/>
      </w:divBdr>
    </w:div>
    <w:div w:id="671639396">
      <w:bodyDiv w:val="1"/>
      <w:marLeft w:val="0"/>
      <w:marRight w:val="0"/>
      <w:marTop w:val="0"/>
      <w:marBottom w:val="0"/>
      <w:divBdr>
        <w:top w:val="none" w:sz="0" w:space="0" w:color="auto"/>
        <w:left w:val="none" w:sz="0" w:space="0" w:color="auto"/>
        <w:bottom w:val="none" w:sz="0" w:space="0" w:color="auto"/>
        <w:right w:val="none" w:sz="0" w:space="0" w:color="auto"/>
      </w:divBdr>
    </w:div>
    <w:div w:id="673148232">
      <w:bodyDiv w:val="1"/>
      <w:marLeft w:val="0"/>
      <w:marRight w:val="0"/>
      <w:marTop w:val="0"/>
      <w:marBottom w:val="0"/>
      <w:divBdr>
        <w:top w:val="none" w:sz="0" w:space="0" w:color="auto"/>
        <w:left w:val="none" w:sz="0" w:space="0" w:color="auto"/>
        <w:bottom w:val="none" w:sz="0" w:space="0" w:color="auto"/>
        <w:right w:val="none" w:sz="0" w:space="0" w:color="auto"/>
      </w:divBdr>
    </w:div>
    <w:div w:id="673265052">
      <w:bodyDiv w:val="1"/>
      <w:marLeft w:val="0"/>
      <w:marRight w:val="0"/>
      <w:marTop w:val="0"/>
      <w:marBottom w:val="0"/>
      <w:divBdr>
        <w:top w:val="none" w:sz="0" w:space="0" w:color="auto"/>
        <w:left w:val="none" w:sz="0" w:space="0" w:color="auto"/>
        <w:bottom w:val="none" w:sz="0" w:space="0" w:color="auto"/>
        <w:right w:val="none" w:sz="0" w:space="0" w:color="auto"/>
      </w:divBdr>
    </w:div>
    <w:div w:id="673335311">
      <w:bodyDiv w:val="1"/>
      <w:marLeft w:val="0"/>
      <w:marRight w:val="0"/>
      <w:marTop w:val="0"/>
      <w:marBottom w:val="0"/>
      <w:divBdr>
        <w:top w:val="none" w:sz="0" w:space="0" w:color="auto"/>
        <w:left w:val="none" w:sz="0" w:space="0" w:color="auto"/>
        <w:bottom w:val="none" w:sz="0" w:space="0" w:color="auto"/>
        <w:right w:val="none" w:sz="0" w:space="0" w:color="auto"/>
      </w:divBdr>
    </w:div>
    <w:div w:id="674190373">
      <w:bodyDiv w:val="1"/>
      <w:marLeft w:val="0"/>
      <w:marRight w:val="0"/>
      <w:marTop w:val="0"/>
      <w:marBottom w:val="0"/>
      <w:divBdr>
        <w:top w:val="none" w:sz="0" w:space="0" w:color="auto"/>
        <w:left w:val="none" w:sz="0" w:space="0" w:color="auto"/>
        <w:bottom w:val="none" w:sz="0" w:space="0" w:color="auto"/>
        <w:right w:val="none" w:sz="0" w:space="0" w:color="auto"/>
      </w:divBdr>
    </w:div>
    <w:div w:id="675037682">
      <w:bodyDiv w:val="1"/>
      <w:marLeft w:val="0"/>
      <w:marRight w:val="0"/>
      <w:marTop w:val="0"/>
      <w:marBottom w:val="0"/>
      <w:divBdr>
        <w:top w:val="none" w:sz="0" w:space="0" w:color="auto"/>
        <w:left w:val="none" w:sz="0" w:space="0" w:color="auto"/>
        <w:bottom w:val="none" w:sz="0" w:space="0" w:color="auto"/>
        <w:right w:val="none" w:sz="0" w:space="0" w:color="auto"/>
      </w:divBdr>
    </w:div>
    <w:div w:id="675769208">
      <w:bodyDiv w:val="1"/>
      <w:marLeft w:val="0"/>
      <w:marRight w:val="0"/>
      <w:marTop w:val="0"/>
      <w:marBottom w:val="0"/>
      <w:divBdr>
        <w:top w:val="none" w:sz="0" w:space="0" w:color="auto"/>
        <w:left w:val="none" w:sz="0" w:space="0" w:color="auto"/>
        <w:bottom w:val="none" w:sz="0" w:space="0" w:color="auto"/>
        <w:right w:val="none" w:sz="0" w:space="0" w:color="auto"/>
      </w:divBdr>
    </w:div>
    <w:div w:id="677002781">
      <w:bodyDiv w:val="1"/>
      <w:marLeft w:val="0"/>
      <w:marRight w:val="0"/>
      <w:marTop w:val="0"/>
      <w:marBottom w:val="0"/>
      <w:divBdr>
        <w:top w:val="none" w:sz="0" w:space="0" w:color="auto"/>
        <w:left w:val="none" w:sz="0" w:space="0" w:color="auto"/>
        <w:bottom w:val="none" w:sz="0" w:space="0" w:color="auto"/>
        <w:right w:val="none" w:sz="0" w:space="0" w:color="auto"/>
      </w:divBdr>
    </w:div>
    <w:div w:id="677654034">
      <w:bodyDiv w:val="1"/>
      <w:marLeft w:val="0"/>
      <w:marRight w:val="0"/>
      <w:marTop w:val="0"/>
      <w:marBottom w:val="0"/>
      <w:divBdr>
        <w:top w:val="none" w:sz="0" w:space="0" w:color="auto"/>
        <w:left w:val="none" w:sz="0" w:space="0" w:color="auto"/>
        <w:bottom w:val="none" w:sz="0" w:space="0" w:color="auto"/>
        <w:right w:val="none" w:sz="0" w:space="0" w:color="auto"/>
      </w:divBdr>
    </w:div>
    <w:div w:id="678117008">
      <w:bodyDiv w:val="1"/>
      <w:marLeft w:val="0"/>
      <w:marRight w:val="0"/>
      <w:marTop w:val="0"/>
      <w:marBottom w:val="0"/>
      <w:divBdr>
        <w:top w:val="none" w:sz="0" w:space="0" w:color="auto"/>
        <w:left w:val="none" w:sz="0" w:space="0" w:color="auto"/>
        <w:bottom w:val="none" w:sz="0" w:space="0" w:color="auto"/>
        <w:right w:val="none" w:sz="0" w:space="0" w:color="auto"/>
      </w:divBdr>
    </w:div>
    <w:div w:id="678390115">
      <w:bodyDiv w:val="1"/>
      <w:marLeft w:val="0"/>
      <w:marRight w:val="0"/>
      <w:marTop w:val="0"/>
      <w:marBottom w:val="0"/>
      <w:divBdr>
        <w:top w:val="none" w:sz="0" w:space="0" w:color="auto"/>
        <w:left w:val="none" w:sz="0" w:space="0" w:color="auto"/>
        <w:bottom w:val="none" w:sz="0" w:space="0" w:color="auto"/>
        <w:right w:val="none" w:sz="0" w:space="0" w:color="auto"/>
      </w:divBdr>
    </w:div>
    <w:div w:id="680087541">
      <w:bodyDiv w:val="1"/>
      <w:marLeft w:val="0"/>
      <w:marRight w:val="0"/>
      <w:marTop w:val="0"/>
      <w:marBottom w:val="0"/>
      <w:divBdr>
        <w:top w:val="none" w:sz="0" w:space="0" w:color="auto"/>
        <w:left w:val="none" w:sz="0" w:space="0" w:color="auto"/>
        <w:bottom w:val="none" w:sz="0" w:space="0" w:color="auto"/>
        <w:right w:val="none" w:sz="0" w:space="0" w:color="auto"/>
      </w:divBdr>
    </w:div>
    <w:div w:id="681514064">
      <w:bodyDiv w:val="1"/>
      <w:marLeft w:val="0"/>
      <w:marRight w:val="0"/>
      <w:marTop w:val="0"/>
      <w:marBottom w:val="0"/>
      <w:divBdr>
        <w:top w:val="none" w:sz="0" w:space="0" w:color="auto"/>
        <w:left w:val="none" w:sz="0" w:space="0" w:color="auto"/>
        <w:bottom w:val="none" w:sz="0" w:space="0" w:color="auto"/>
        <w:right w:val="none" w:sz="0" w:space="0" w:color="auto"/>
      </w:divBdr>
    </w:div>
    <w:div w:id="682047865">
      <w:bodyDiv w:val="1"/>
      <w:marLeft w:val="0"/>
      <w:marRight w:val="0"/>
      <w:marTop w:val="0"/>
      <w:marBottom w:val="0"/>
      <w:divBdr>
        <w:top w:val="none" w:sz="0" w:space="0" w:color="auto"/>
        <w:left w:val="none" w:sz="0" w:space="0" w:color="auto"/>
        <w:bottom w:val="none" w:sz="0" w:space="0" w:color="auto"/>
        <w:right w:val="none" w:sz="0" w:space="0" w:color="auto"/>
      </w:divBdr>
    </w:div>
    <w:div w:id="683046871">
      <w:bodyDiv w:val="1"/>
      <w:marLeft w:val="0"/>
      <w:marRight w:val="0"/>
      <w:marTop w:val="0"/>
      <w:marBottom w:val="0"/>
      <w:divBdr>
        <w:top w:val="none" w:sz="0" w:space="0" w:color="auto"/>
        <w:left w:val="none" w:sz="0" w:space="0" w:color="auto"/>
        <w:bottom w:val="none" w:sz="0" w:space="0" w:color="auto"/>
        <w:right w:val="none" w:sz="0" w:space="0" w:color="auto"/>
      </w:divBdr>
    </w:div>
    <w:div w:id="683167175">
      <w:bodyDiv w:val="1"/>
      <w:marLeft w:val="0"/>
      <w:marRight w:val="0"/>
      <w:marTop w:val="0"/>
      <w:marBottom w:val="0"/>
      <w:divBdr>
        <w:top w:val="none" w:sz="0" w:space="0" w:color="auto"/>
        <w:left w:val="none" w:sz="0" w:space="0" w:color="auto"/>
        <w:bottom w:val="none" w:sz="0" w:space="0" w:color="auto"/>
        <w:right w:val="none" w:sz="0" w:space="0" w:color="auto"/>
      </w:divBdr>
    </w:div>
    <w:div w:id="685329088">
      <w:bodyDiv w:val="1"/>
      <w:marLeft w:val="0"/>
      <w:marRight w:val="0"/>
      <w:marTop w:val="0"/>
      <w:marBottom w:val="0"/>
      <w:divBdr>
        <w:top w:val="none" w:sz="0" w:space="0" w:color="auto"/>
        <w:left w:val="none" w:sz="0" w:space="0" w:color="auto"/>
        <w:bottom w:val="none" w:sz="0" w:space="0" w:color="auto"/>
        <w:right w:val="none" w:sz="0" w:space="0" w:color="auto"/>
      </w:divBdr>
    </w:div>
    <w:div w:id="689532874">
      <w:bodyDiv w:val="1"/>
      <w:marLeft w:val="0"/>
      <w:marRight w:val="0"/>
      <w:marTop w:val="0"/>
      <w:marBottom w:val="0"/>
      <w:divBdr>
        <w:top w:val="none" w:sz="0" w:space="0" w:color="auto"/>
        <w:left w:val="none" w:sz="0" w:space="0" w:color="auto"/>
        <w:bottom w:val="none" w:sz="0" w:space="0" w:color="auto"/>
        <w:right w:val="none" w:sz="0" w:space="0" w:color="auto"/>
      </w:divBdr>
    </w:div>
    <w:div w:id="690184198">
      <w:bodyDiv w:val="1"/>
      <w:marLeft w:val="0"/>
      <w:marRight w:val="0"/>
      <w:marTop w:val="0"/>
      <w:marBottom w:val="0"/>
      <w:divBdr>
        <w:top w:val="none" w:sz="0" w:space="0" w:color="auto"/>
        <w:left w:val="none" w:sz="0" w:space="0" w:color="auto"/>
        <w:bottom w:val="none" w:sz="0" w:space="0" w:color="auto"/>
        <w:right w:val="none" w:sz="0" w:space="0" w:color="auto"/>
      </w:divBdr>
    </w:div>
    <w:div w:id="692268038">
      <w:bodyDiv w:val="1"/>
      <w:marLeft w:val="0"/>
      <w:marRight w:val="0"/>
      <w:marTop w:val="0"/>
      <w:marBottom w:val="0"/>
      <w:divBdr>
        <w:top w:val="none" w:sz="0" w:space="0" w:color="auto"/>
        <w:left w:val="none" w:sz="0" w:space="0" w:color="auto"/>
        <w:bottom w:val="none" w:sz="0" w:space="0" w:color="auto"/>
        <w:right w:val="none" w:sz="0" w:space="0" w:color="auto"/>
      </w:divBdr>
    </w:div>
    <w:div w:id="693968172">
      <w:bodyDiv w:val="1"/>
      <w:marLeft w:val="0"/>
      <w:marRight w:val="0"/>
      <w:marTop w:val="0"/>
      <w:marBottom w:val="0"/>
      <w:divBdr>
        <w:top w:val="none" w:sz="0" w:space="0" w:color="auto"/>
        <w:left w:val="none" w:sz="0" w:space="0" w:color="auto"/>
        <w:bottom w:val="none" w:sz="0" w:space="0" w:color="auto"/>
        <w:right w:val="none" w:sz="0" w:space="0" w:color="auto"/>
      </w:divBdr>
    </w:div>
    <w:div w:id="695615385">
      <w:bodyDiv w:val="1"/>
      <w:marLeft w:val="0"/>
      <w:marRight w:val="0"/>
      <w:marTop w:val="0"/>
      <w:marBottom w:val="0"/>
      <w:divBdr>
        <w:top w:val="none" w:sz="0" w:space="0" w:color="auto"/>
        <w:left w:val="none" w:sz="0" w:space="0" w:color="auto"/>
        <w:bottom w:val="none" w:sz="0" w:space="0" w:color="auto"/>
        <w:right w:val="none" w:sz="0" w:space="0" w:color="auto"/>
      </w:divBdr>
    </w:div>
    <w:div w:id="696005711">
      <w:bodyDiv w:val="1"/>
      <w:marLeft w:val="0"/>
      <w:marRight w:val="0"/>
      <w:marTop w:val="0"/>
      <w:marBottom w:val="0"/>
      <w:divBdr>
        <w:top w:val="none" w:sz="0" w:space="0" w:color="auto"/>
        <w:left w:val="none" w:sz="0" w:space="0" w:color="auto"/>
        <w:bottom w:val="none" w:sz="0" w:space="0" w:color="auto"/>
        <w:right w:val="none" w:sz="0" w:space="0" w:color="auto"/>
      </w:divBdr>
    </w:div>
    <w:div w:id="697779735">
      <w:bodyDiv w:val="1"/>
      <w:marLeft w:val="0"/>
      <w:marRight w:val="0"/>
      <w:marTop w:val="0"/>
      <w:marBottom w:val="0"/>
      <w:divBdr>
        <w:top w:val="none" w:sz="0" w:space="0" w:color="auto"/>
        <w:left w:val="none" w:sz="0" w:space="0" w:color="auto"/>
        <w:bottom w:val="none" w:sz="0" w:space="0" w:color="auto"/>
        <w:right w:val="none" w:sz="0" w:space="0" w:color="auto"/>
      </w:divBdr>
    </w:div>
    <w:div w:id="698361470">
      <w:bodyDiv w:val="1"/>
      <w:marLeft w:val="0"/>
      <w:marRight w:val="0"/>
      <w:marTop w:val="0"/>
      <w:marBottom w:val="0"/>
      <w:divBdr>
        <w:top w:val="none" w:sz="0" w:space="0" w:color="auto"/>
        <w:left w:val="none" w:sz="0" w:space="0" w:color="auto"/>
        <w:bottom w:val="none" w:sz="0" w:space="0" w:color="auto"/>
        <w:right w:val="none" w:sz="0" w:space="0" w:color="auto"/>
      </w:divBdr>
    </w:div>
    <w:div w:id="699356651">
      <w:bodyDiv w:val="1"/>
      <w:marLeft w:val="0"/>
      <w:marRight w:val="0"/>
      <w:marTop w:val="0"/>
      <w:marBottom w:val="0"/>
      <w:divBdr>
        <w:top w:val="none" w:sz="0" w:space="0" w:color="auto"/>
        <w:left w:val="none" w:sz="0" w:space="0" w:color="auto"/>
        <w:bottom w:val="none" w:sz="0" w:space="0" w:color="auto"/>
        <w:right w:val="none" w:sz="0" w:space="0" w:color="auto"/>
      </w:divBdr>
    </w:div>
    <w:div w:id="699473103">
      <w:bodyDiv w:val="1"/>
      <w:marLeft w:val="0"/>
      <w:marRight w:val="0"/>
      <w:marTop w:val="0"/>
      <w:marBottom w:val="0"/>
      <w:divBdr>
        <w:top w:val="none" w:sz="0" w:space="0" w:color="auto"/>
        <w:left w:val="none" w:sz="0" w:space="0" w:color="auto"/>
        <w:bottom w:val="none" w:sz="0" w:space="0" w:color="auto"/>
        <w:right w:val="none" w:sz="0" w:space="0" w:color="auto"/>
      </w:divBdr>
    </w:div>
    <w:div w:id="700055785">
      <w:bodyDiv w:val="1"/>
      <w:marLeft w:val="0"/>
      <w:marRight w:val="0"/>
      <w:marTop w:val="0"/>
      <w:marBottom w:val="0"/>
      <w:divBdr>
        <w:top w:val="none" w:sz="0" w:space="0" w:color="auto"/>
        <w:left w:val="none" w:sz="0" w:space="0" w:color="auto"/>
        <w:bottom w:val="none" w:sz="0" w:space="0" w:color="auto"/>
        <w:right w:val="none" w:sz="0" w:space="0" w:color="auto"/>
      </w:divBdr>
    </w:div>
    <w:div w:id="700327056">
      <w:bodyDiv w:val="1"/>
      <w:marLeft w:val="0"/>
      <w:marRight w:val="0"/>
      <w:marTop w:val="0"/>
      <w:marBottom w:val="0"/>
      <w:divBdr>
        <w:top w:val="none" w:sz="0" w:space="0" w:color="auto"/>
        <w:left w:val="none" w:sz="0" w:space="0" w:color="auto"/>
        <w:bottom w:val="none" w:sz="0" w:space="0" w:color="auto"/>
        <w:right w:val="none" w:sz="0" w:space="0" w:color="auto"/>
      </w:divBdr>
    </w:div>
    <w:div w:id="700597159">
      <w:bodyDiv w:val="1"/>
      <w:marLeft w:val="0"/>
      <w:marRight w:val="0"/>
      <w:marTop w:val="0"/>
      <w:marBottom w:val="0"/>
      <w:divBdr>
        <w:top w:val="none" w:sz="0" w:space="0" w:color="auto"/>
        <w:left w:val="none" w:sz="0" w:space="0" w:color="auto"/>
        <w:bottom w:val="none" w:sz="0" w:space="0" w:color="auto"/>
        <w:right w:val="none" w:sz="0" w:space="0" w:color="auto"/>
      </w:divBdr>
    </w:div>
    <w:div w:id="701588723">
      <w:bodyDiv w:val="1"/>
      <w:marLeft w:val="0"/>
      <w:marRight w:val="0"/>
      <w:marTop w:val="0"/>
      <w:marBottom w:val="0"/>
      <w:divBdr>
        <w:top w:val="none" w:sz="0" w:space="0" w:color="auto"/>
        <w:left w:val="none" w:sz="0" w:space="0" w:color="auto"/>
        <w:bottom w:val="none" w:sz="0" w:space="0" w:color="auto"/>
        <w:right w:val="none" w:sz="0" w:space="0" w:color="auto"/>
      </w:divBdr>
    </w:div>
    <w:div w:id="703946222">
      <w:bodyDiv w:val="1"/>
      <w:marLeft w:val="0"/>
      <w:marRight w:val="0"/>
      <w:marTop w:val="0"/>
      <w:marBottom w:val="0"/>
      <w:divBdr>
        <w:top w:val="none" w:sz="0" w:space="0" w:color="auto"/>
        <w:left w:val="none" w:sz="0" w:space="0" w:color="auto"/>
        <w:bottom w:val="none" w:sz="0" w:space="0" w:color="auto"/>
        <w:right w:val="none" w:sz="0" w:space="0" w:color="auto"/>
      </w:divBdr>
    </w:div>
    <w:div w:id="704403539">
      <w:bodyDiv w:val="1"/>
      <w:marLeft w:val="0"/>
      <w:marRight w:val="0"/>
      <w:marTop w:val="0"/>
      <w:marBottom w:val="0"/>
      <w:divBdr>
        <w:top w:val="none" w:sz="0" w:space="0" w:color="auto"/>
        <w:left w:val="none" w:sz="0" w:space="0" w:color="auto"/>
        <w:bottom w:val="none" w:sz="0" w:space="0" w:color="auto"/>
        <w:right w:val="none" w:sz="0" w:space="0" w:color="auto"/>
      </w:divBdr>
    </w:div>
    <w:div w:id="705911601">
      <w:bodyDiv w:val="1"/>
      <w:marLeft w:val="0"/>
      <w:marRight w:val="0"/>
      <w:marTop w:val="0"/>
      <w:marBottom w:val="0"/>
      <w:divBdr>
        <w:top w:val="none" w:sz="0" w:space="0" w:color="auto"/>
        <w:left w:val="none" w:sz="0" w:space="0" w:color="auto"/>
        <w:bottom w:val="none" w:sz="0" w:space="0" w:color="auto"/>
        <w:right w:val="none" w:sz="0" w:space="0" w:color="auto"/>
      </w:divBdr>
    </w:div>
    <w:div w:id="706763049">
      <w:bodyDiv w:val="1"/>
      <w:marLeft w:val="0"/>
      <w:marRight w:val="0"/>
      <w:marTop w:val="0"/>
      <w:marBottom w:val="0"/>
      <w:divBdr>
        <w:top w:val="none" w:sz="0" w:space="0" w:color="auto"/>
        <w:left w:val="none" w:sz="0" w:space="0" w:color="auto"/>
        <w:bottom w:val="none" w:sz="0" w:space="0" w:color="auto"/>
        <w:right w:val="none" w:sz="0" w:space="0" w:color="auto"/>
      </w:divBdr>
    </w:div>
    <w:div w:id="706876467">
      <w:bodyDiv w:val="1"/>
      <w:marLeft w:val="0"/>
      <w:marRight w:val="0"/>
      <w:marTop w:val="0"/>
      <w:marBottom w:val="0"/>
      <w:divBdr>
        <w:top w:val="none" w:sz="0" w:space="0" w:color="auto"/>
        <w:left w:val="none" w:sz="0" w:space="0" w:color="auto"/>
        <w:bottom w:val="none" w:sz="0" w:space="0" w:color="auto"/>
        <w:right w:val="none" w:sz="0" w:space="0" w:color="auto"/>
      </w:divBdr>
    </w:div>
    <w:div w:id="707486438">
      <w:bodyDiv w:val="1"/>
      <w:marLeft w:val="0"/>
      <w:marRight w:val="0"/>
      <w:marTop w:val="0"/>
      <w:marBottom w:val="0"/>
      <w:divBdr>
        <w:top w:val="none" w:sz="0" w:space="0" w:color="auto"/>
        <w:left w:val="none" w:sz="0" w:space="0" w:color="auto"/>
        <w:bottom w:val="none" w:sz="0" w:space="0" w:color="auto"/>
        <w:right w:val="none" w:sz="0" w:space="0" w:color="auto"/>
      </w:divBdr>
    </w:div>
    <w:div w:id="709184019">
      <w:bodyDiv w:val="1"/>
      <w:marLeft w:val="0"/>
      <w:marRight w:val="0"/>
      <w:marTop w:val="0"/>
      <w:marBottom w:val="0"/>
      <w:divBdr>
        <w:top w:val="none" w:sz="0" w:space="0" w:color="auto"/>
        <w:left w:val="none" w:sz="0" w:space="0" w:color="auto"/>
        <w:bottom w:val="none" w:sz="0" w:space="0" w:color="auto"/>
        <w:right w:val="none" w:sz="0" w:space="0" w:color="auto"/>
      </w:divBdr>
    </w:div>
    <w:div w:id="709305594">
      <w:bodyDiv w:val="1"/>
      <w:marLeft w:val="0"/>
      <w:marRight w:val="0"/>
      <w:marTop w:val="0"/>
      <w:marBottom w:val="0"/>
      <w:divBdr>
        <w:top w:val="none" w:sz="0" w:space="0" w:color="auto"/>
        <w:left w:val="none" w:sz="0" w:space="0" w:color="auto"/>
        <w:bottom w:val="none" w:sz="0" w:space="0" w:color="auto"/>
        <w:right w:val="none" w:sz="0" w:space="0" w:color="auto"/>
      </w:divBdr>
    </w:div>
    <w:div w:id="710108886">
      <w:bodyDiv w:val="1"/>
      <w:marLeft w:val="0"/>
      <w:marRight w:val="0"/>
      <w:marTop w:val="0"/>
      <w:marBottom w:val="0"/>
      <w:divBdr>
        <w:top w:val="none" w:sz="0" w:space="0" w:color="auto"/>
        <w:left w:val="none" w:sz="0" w:space="0" w:color="auto"/>
        <w:bottom w:val="none" w:sz="0" w:space="0" w:color="auto"/>
        <w:right w:val="none" w:sz="0" w:space="0" w:color="auto"/>
      </w:divBdr>
    </w:div>
    <w:div w:id="710115208">
      <w:bodyDiv w:val="1"/>
      <w:marLeft w:val="0"/>
      <w:marRight w:val="0"/>
      <w:marTop w:val="0"/>
      <w:marBottom w:val="0"/>
      <w:divBdr>
        <w:top w:val="none" w:sz="0" w:space="0" w:color="auto"/>
        <w:left w:val="none" w:sz="0" w:space="0" w:color="auto"/>
        <w:bottom w:val="none" w:sz="0" w:space="0" w:color="auto"/>
        <w:right w:val="none" w:sz="0" w:space="0" w:color="auto"/>
      </w:divBdr>
    </w:div>
    <w:div w:id="711079196">
      <w:bodyDiv w:val="1"/>
      <w:marLeft w:val="0"/>
      <w:marRight w:val="0"/>
      <w:marTop w:val="0"/>
      <w:marBottom w:val="0"/>
      <w:divBdr>
        <w:top w:val="none" w:sz="0" w:space="0" w:color="auto"/>
        <w:left w:val="none" w:sz="0" w:space="0" w:color="auto"/>
        <w:bottom w:val="none" w:sz="0" w:space="0" w:color="auto"/>
        <w:right w:val="none" w:sz="0" w:space="0" w:color="auto"/>
      </w:divBdr>
    </w:div>
    <w:div w:id="713430712">
      <w:bodyDiv w:val="1"/>
      <w:marLeft w:val="0"/>
      <w:marRight w:val="0"/>
      <w:marTop w:val="0"/>
      <w:marBottom w:val="0"/>
      <w:divBdr>
        <w:top w:val="none" w:sz="0" w:space="0" w:color="auto"/>
        <w:left w:val="none" w:sz="0" w:space="0" w:color="auto"/>
        <w:bottom w:val="none" w:sz="0" w:space="0" w:color="auto"/>
        <w:right w:val="none" w:sz="0" w:space="0" w:color="auto"/>
      </w:divBdr>
    </w:div>
    <w:div w:id="713627236">
      <w:bodyDiv w:val="1"/>
      <w:marLeft w:val="0"/>
      <w:marRight w:val="0"/>
      <w:marTop w:val="0"/>
      <w:marBottom w:val="0"/>
      <w:divBdr>
        <w:top w:val="none" w:sz="0" w:space="0" w:color="auto"/>
        <w:left w:val="none" w:sz="0" w:space="0" w:color="auto"/>
        <w:bottom w:val="none" w:sz="0" w:space="0" w:color="auto"/>
        <w:right w:val="none" w:sz="0" w:space="0" w:color="auto"/>
      </w:divBdr>
    </w:div>
    <w:div w:id="714625663">
      <w:bodyDiv w:val="1"/>
      <w:marLeft w:val="0"/>
      <w:marRight w:val="0"/>
      <w:marTop w:val="0"/>
      <w:marBottom w:val="0"/>
      <w:divBdr>
        <w:top w:val="none" w:sz="0" w:space="0" w:color="auto"/>
        <w:left w:val="none" w:sz="0" w:space="0" w:color="auto"/>
        <w:bottom w:val="none" w:sz="0" w:space="0" w:color="auto"/>
        <w:right w:val="none" w:sz="0" w:space="0" w:color="auto"/>
      </w:divBdr>
    </w:div>
    <w:div w:id="715159453">
      <w:bodyDiv w:val="1"/>
      <w:marLeft w:val="0"/>
      <w:marRight w:val="0"/>
      <w:marTop w:val="0"/>
      <w:marBottom w:val="0"/>
      <w:divBdr>
        <w:top w:val="none" w:sz="0" w:space="0" w:color="auto"/>
        <w:left w:val="none" w:sz="0" w:space="0" w:color="auto"/>
        <w:bottom w:val="none" w:sz="0" w:space="0" w:color="auto"/>
        <w:right w:val="none" w:sz="0" w:space="0" w:color="auto"/>
      </w:divBdr>
    </w:div>
    <w:div w:id="715855199">
      <w:bodyDiv w:val="1"/>
      <w:marLeft w:val="0"/>
      <w:marRight w:val="0"/>
      <w:marTop w:val="0"/>
      <w:marBottom w:val="0"/>
      <w:divBdr>
        <w:top w:val="none" w:sz="0" w:space="0" w:color="auto"/>
        <w:left w:val="none" w:sz="0" w:space="0" w:color="auto"/>
        <w:bottom w:val="none" w:sz="0" w:space="0" w:color="auto"/>
        <w:right w:val="none" w:sz="0" w:space="0" w:color="auto"/>
      </w:divBdr>
    </w:div>
    <w:div w:id="716929633">
      <w:bodyDiv w:val="1"/>
      <w:marLeft w:val="0"/>
      <w:marRight w:val="0"/>
      <w:marTop w:val="0"/>
      <w:marBottom w:val="0"/>
      <w:divBdr>
        <w:top w:val="none" w:sz="0" w:space="0" w:color="auto"/>
        <w:left w:val="none" w:sz="0" w:space="0" w:color="auto"/>
        <w:bottom w:val="none" w:sz="0" w:space="0" w:color="auto"/>
        <w:right w:val="none" w:sz="0" w:space="0" w:color="auto"/>
      </w:divBdr>
    </w:div>
    <w:div w:id="719940375">
      <w:bodyDiv w:val="1"/>
      <w:marLeft w:val="0"/>
      <w:marRight w:val="0"/>
      <w:marTop w:val="0"/>
      <w:marBottom w:val="0"/>
      <w:divBdr>
        <w:top w:val="none" w:sz="0" w:space="0" w:color="auto"/>
        <w:left w:val="none" w:sz="0" w:space="0" w:color="auto"/>
        <w:bottom w:val="none" w:sz="0" w:space="0" w:color="auto"/>
        <w:right w:val="none" w:sz="0" w:space="0" w:color="auto"/>
      </w:divBdr>
    </w:div>
    <w:div w:id="720132445">
      <w:bodyDiv w:val="1"/>
      <w:marLeft w:val="0"/>
      <w:marRight w:val="0"/>
      <w:marTop w:val="0"/>
      <w:marBottom w:val="0"/>
      <w:divBdr>
        <w:top w:val="none" w:sz="0" w:space="0" w:color="auto"/>
        <w:left w:val="none" w:sz="0" w:space="0" w:color="auto"/>
        <w:bottom w:val="none" w:sz="0" w:space="0" w:color="auto"/>
        <w:right w:val="none" w:sz="0" w:space="0" w:color="auto"/>
      </w:divBdr>
    </w:div>
    <w:div w:id="721563329">
      <w:bodyDiv w:val="1"/>
      <w:marLeft w:val="0"/>
      <w:marRight w:val="0"/>
      <w:marTop w:val="0"/>
      <w:marBottom w:val="0"/>
      <w:divBdr>
        <w:top w:val="none" w:sz="0" w:space="0" w:color="auto"/>
        <w:left w:val="none" w:sz="0" w:space="0" w:color="auto"/>
        <w:bottom w:val="none" w:sz="0" w:space="0" w:color="auto"/>
        <w:right w:val="none" w:sz="0" w:space="0" w:color="auto"/>
      </w:divBdr>
    </w:div>
    <w:div w:id="721751035">
      <w:bodyDiv w:val="1"/>
      <w:marLeft w:val="0"/>
      <w:marRight w:val="0"/>
      <w:marTop w:val="0"/>
      <w:marBottom w:val="0"/>
      <w:divBdr>
        <w:top w:val="none" w:sz="0" w:space="0" w:color="auto"/>
        <w:left w:val="none" w:sz="0" w:space="0" w:color="auto"/>
        <w:bottom w:val="none" w:sz="0" w:space="0" w:color="auto"/>
        <w:right w:val="none" w:sz="0" w:space="0" w:color="auto"/>
      </w:divBdr>
    </w:div>
    <w:div w:id="721950116">
      <w:bodyDiv w:val="1"/>
      <w:marLeft w:val="0"/>
      <w:marRight w:val="0"/>
      <w:marTop w:val="0"/>
      <w:marBottom w:val="0"/>
      <w:divBdr>
        <w:top w:val="none" w:sz="0" w:space="0" w:color="auto"/>
        <w:left w:val="none" w:sz="0" w:space="0" w:color="auto"/>
        <w:bottom w:val="none" w:sz="0" w:space="0" w:color="auto"/>
        <w:right w:val="none" w:sz="0" w:space="0" w:color="auto"/>
      </w:divBdr>
    </w:div>
    <w:div w:id="722215674">
      <w:bodyDiv w:val="1"/>
      <w:marLeft w:val="0"/>
      <w:marRight w:val="0"/>
      <w:marTop w:val="0"/>
      <w:marBottom w:val="0"/>
      <w:divBdr>
        <w:top w:val="none" w:sz="0" w:space="0" w:color="auto"/>
        <w:left w:val="none" w:sz="0" w:space="0" w:color="auto"/>
        <w:bottom w:val="none" w:sz="0" w:space="0" w:color="auto"/>
        <w:right w:val="none" w:sz="0" w:space="0" w:color="auto"/>
      </w:divBdr>
    </w:div>
    <w:div w:id="722364288">
      <w:bodyDiv w:val="1"/>
      <w:marLeft w:val="0"/>
      <w:marRight w:val="0"/>
      <w:marTop w:val="0"/>
      <w:marBottom w:val="0"/>
      <w:divBdr>
        <w:top w:val="none" w:sz="0" w:space="0" w:color="auto"/>
        <w:left w:val="none" w:sz="0" w:space="0" w:color="auto"/>
        <w:bottom w:val="none" w:sz="0" w:space="0" w:color="auto"/>
        <w:right w:val="none" w:sz="0" w:space="0" w:color="auto"/>
      </w:divBdr>
    </w:div>
    <w:div w:id="722603244">
      <w:bodyDiv w:val="1"/>
      <w:marLeft w:val="0"/>
      <w:marRight w:val="0"/>
      <w:marTop w:val="0"/>
      <w:marBottom w:val="0"/>
      <w:divBdr>
        <w:top w:val="none" w:sz="0" w:space="0" w:color="auto"/>
        <w:left w:val="none" w:sz="0" w:space="0" w:color="auto"/>
        <w:bottom w:val="none" w:sz="0" w:space="0" w:color="auto"/>
        <w:right w:val="none" w:sz="0" w:space="0" w:color="auto"/>
      </w:divBdr>
    </w:div>
    <w:div w:id="722799920">
      <w:bodyDiv w:val="1"/>
      <w:marLeft w:val="0"/>
      <w:marRight w:val="0"/>
      <w:marTop w:val="0"/>
      <w:marBottom w:val="0"/>
      <w:divBdr>
        <w:top w:val="none" w:sz="0" w:space="0" w:color="auto"/>
        <w:left w:val="none" w:sz="0" w:space="0" w:color="auto"/>
        <w:bottom w:val="none" w:sz="0" w:space="0" w:color="auto"/>
        <w:right w:val="none" w:sz="0" w:space="0" w:color="auto"/>
      </w:divBdr>
    </w:div>
    <w:div w:id="723793138">
      <w:bodyDiv w:val="1"/>
      <w:marLeft w:val="0"/>
      <w:marRight w:val="0"/>
      <w:marTop w:val="0"/>
      <w:marBottom w:val="0"/>
      <w:divBdr>
        <w:top w:val="none" w:sz="0" w:space="0" w:color="auto"/>
        <w:left w:val="none" w:sz="0" w:space="0" w:color="auto"/>
        <w:bottom w:val="none" w:sz="0" w:space="0" w:color="auto"/>
        <w:right w:val="none" w:sz="0" w:space="0" w:color="auto"/>
      </w:divBdr>
    </w:div>
    <w:div w:id="724110806">
      <w:bodyDiv w:val="1"/>
      <w:marLeft w:val="0"/>
      <w:marRight w:val="0"/>
      <w:marTop w:val="0"/>
      <w:marBottom w:val="0"/>
      <w:divBdr>
        <w:top w:val="none" w:sz="0" w:space="0" w:color="auto"/>
        <w:left w:val="none" w:sz="0" w:space="0" w:color="auto"/>
        <w:bottom w:val="none" w:sz="0" w:space="0" w:color="auto"/>
        <w:right w:val="none" w:sz="0" w:space="0" w:color="auto"/>
      </w:divBdr>
    </w:div>
    <w:div w:id="724380482">
      <w:bodyDiv w:val="1"/>
      <w:marLeft w:val="0"/>
      <w:marRight w:val="0"/>
      <w:marTop w:val="0"/>
      <w:marBottom w:val="0"/>
      <w:divBdr>
        <w:top w:val="none" w:sz="0" w:space="0" w:color="auto"/>
        <w:left w:val="none" w:sz="0" w:space="0" w:color="auto"/>
        <w:bottom w:val="none" w:sz="0" w:space="0" w:color="auto"/>
        <w:right w:val="none" w:sz="0" w:space="0" w:color="auto"/>
      </w:divBdr>
    </w:div>
    <w:div w:id="724573577">
      <w:bodyDiv w:val="1"/>
      <w:marLeft w:val="0"/>
      <w:marRight w:val="0"/>
      <w:marTop w:val="0"/>
      <w:marBottom w:val="0"/>
      <w:divBdr>
        <w:top w:val="none" w:sz="0" w:space="0" w:color="auto"/>
        <w:left w:val="none" w:sz="0" w:space="0" w:color="auto"/>
        <w:bottom w:val="none" w:sz="0" w:space="0" w:color="auto"/>
        <w:right w:val="none" w:sz="0" w:space="0" w:color="auto"/>
      </w:divBdr>
    </w:div>
    <w:div w:id="724836113">
      <w:bodyDiv w:val="1"/>
      <w:marLeft w:val="0"/>
      <w:marRight w:val="0"/>
      <w:marTop w:val="0"/>
      <w:marBottom w:val="0"/>
      <w:divBdr>
        <w:top w:val="none" w:sz="0" w:space="0" w:color="auto"/>
        <w:left w:val="none" w:sz="0" w:space="0" w:color="auto"/>
        <w:bottom w:val="none" w:sz="0" w:space="0" w:color="auto"/>
        <w:right w:val="none" w:sz="0" w:space="0" w:color="auto"/>
      </w:divBdr>
    </w:div>
    <w:div w:id="726681009">
      <w:bodyDiv w:val="1"/>
      <w:marLeft w:val="0"/>
      <w:marRight w:val="0"/>
      <w:marTop w:val="0"/>
      <w:marBottom w:val="0"/>
      <w:divBdr>
        <w:top w:val="none" w:sz="0" w:space="0" w:color="auto"/>
        <w:left w:val="none" w:sz="0" w:space="0" w:color="auto"/>
        <w:bottom w:val="none" w:sz="0" w:space="0" w:color="auto"/>
        <w:right w:val="none" w:sz="0" w:space="0" w:color="auto"/>
      </w:divBdr>
    </w:div>
    <w:div w:id="726800038">
      <w:bodyDiv w:val="1"/>
      <w:marLeft w:val="0"/>
      <w:marRight w:val="0"/>
      <w:marTop w:val="0"/>
      <w:marBottom w:val="0"/>
      <w:divBdr>
        <w:top w:val="none" w:sz="0" w:space="0" w:color="auto"/>
        <w:left w:val="none" w:sz="0" w:space="0" w:color="auto"/>
        <w:bottom w:val="none" w:sz="0" w:space="0" w:color="auto"/>
        <w:right w:val="none" w:sz="0" w:space="0" w:color="auto"/>
      </w:divBdr>
    </w:div>
    <w:div w:id="726806949">
      <w:bodyDiv w:val="1"/>
      <w:marLeft w:val="0"/>
      <w:marRight w:val="0"/>
      <w:marTop w:val="0"/>
      <w:marBottom w:val="0"/>
      <w:divBdr>
        <w:top w:val="none" w:sz="0" w:space="0" w:color="auto"/>
        <w:left w:val="none" w:sz="0" w:space="0" w:color="auto"/>
        <w:bottom w:val="none" w:sz="0" w:space="0" w:color="auto"/>
        <w:right w:val="none" w:sz="0" w:space="0" w:color="auto"/>
      </w:divBdr>
    </w:div>
    <w:div w:id="727799288">
      <w:bodyDiv w:val="1"/>
      <w:marLeft w:val="0"/>
      <w:marRight w:val="0"/>
      <w:marTop w:val="0"/>
      <w:marBottom w:val="0"/>
      <w:divBdr>
        <w:top w:val="none" w:sz="0" w:space="0" w:color="auto"/>
        <w:left w:val="none" w:sz="0" w:space="0" w:color="auto"/>
        <w:bottom w:val="none" w:sz="0" w:space="0" w:color="auto"/>
        <w:right w:val="none" w:sz="0" w:space="0" w:color="auto"/>
      </w:divBdr>
    </w:div>
    <w:div w:id="728386217">
      <w:bodyDiv w:val="1"/>
      <w:marLeft w:val="0"/>
      <w:marRight w:val="0"/>
      <w:marTop w:val="0"/>
      <w:marBottom w:val="0"/>
      <w:divBdr>
        <w:top w:val="none" w:sz="0" w:space="0" w:color="auto"/>
        <w:left w:val="none" w:sz="0" w:space="0" w:color="auto"/>
        <w:bottom w:val="none" w:sz="0" w:space="0" w:color="auto"/>
        <w:right w:val="none" w:sz="0" w:space="0" w:color="auto"/>
      </w:divBdr>
    </w:div>
    <w:div w:id="729768283">
      <w:bodyDiv w:val="1"/>
      <w:marLeft w:val="0"/>
      <w:marRight w:val="0"/>
      <w:marTop w:val="0"/>
      <w:marBottom w:val="0"/>
      <w:divBdr>
        <w:top w:val="none" w:sz="0" w:space="0" w:color="auto"/>
        <w:left w:val="none" w:sz="0" w:space="0" w:color="auto"/>
        <w:bottom w:val="none" w:sz="0" w:space="0" w:color="auto"/>
        <w:right w:val="none" w:sz="0" w:space="0" w:color="auto"/>
      </w:divBdr>
    </w:div>
    <w:div w:id="732462578">
      <w:bodyDiv w:val="1"/>
      <w:marLeft w:val="0"/>
      <w:marRight w:val="0"/>
      <w:marTop w:val="0"/>
      <w:marBottom w:val="0"/>
      <w:divBdr>
        <w:top w:val="none" w:sz="0" w:space="0" w:color="auto"/>
        <w:left w:val="none" w:sz="0" w:space="0" w:color="auto"/>
        <w:bottom w:val="none" w:sz="0" w:space="0" w:color="auto"/>
        <w:right w:val="none" w:sz="0" w:space="0" w:color="auto"/>
      </w:divBdr>
    </w:div>
    <w:div w:id="732772760">
      <w:bodyDiv w:val="1"/>
      <w:marLeft w:val="0"/>
      <w:marRight w:val="0"/>
      <w:marTop w:val="0"/>
      <w:marBottom w:val="0"/>
      <w:divBdr>
        <w:top w:val="none" w:sz="0" w:space="0" w:color="auto"/>
        <w:left w:val="none" w:sz="0" w:space="0" w:color="auto"/>
        <w:bottom w:val="none" w:sz="0" w:space="0" w:color="auto"/>
        <w:right w:val="none" w:sz="0" w:space="0" w:color="auto"/>
      </w:divBdr>
    </w:div>
    <w:div w:id="735737109">
      <w:bodyDiv w:val="1"/>
      <w:marLeft w:val="0"/>
      <w:marRight w:val="0"/>
      <w:marTop w:val="0"/>
      <w:marBottom w:val="0"/>
      <w:divBdr>
        <w:top w:val="none" w:sz="0" w:space="0" w:color="auto"/>
        <w:left w:val="none" w:sz="0" w:space="0" w:color="auto"/>
        <w:bottom w:val="none" w:sz="0" w:space="0" w:color="auto"/>
        <w:right w:val="none" w:sz="0" w:space="0" w:color="auto"/>
      </w:divBdr>
    </w:div>
    <w:div w:id="736586187">
      <w:bodyDiv w:val="1"/>
      <w:marLeft w:val="0"/>
      <w:marRight w:val="0"/>
      <w:marTop w:val="0"/>
      <w:marBottom w:val="0"/>
      <w:divBdr>
        <w:top w:val="none" w:sz="0" w:space="0" w:color="auto"/>
        <w:left w:val="none" w:sz="0" w:space="0" w:color="auto"/>
        <w:bottom w:val="none" w:sz="0" w:space="0" w:color="auto"/>
        <w:right w:val="none" w:sz="0" w:space="0" w:color="auto"/>
      </w:divBdr>
    </w:div>
    <w:div w:id="738945996">
      <w:bodyDiv w:val="1"/>
      <w:marLeft w:val="0"/>
      <w:marRight w:val="0"/>
      <w:marTop w:val="0"/>
      <w:marBottom w:val="0"/>
      <w:divBdr>
        <w:top w:val="none" w:sz="0" w:space="0" w:color="auto"/>
        <w:left w:val="none" w:sz="0" w:space="0" w:color="auto"/>
        <w:bottom w:val="none" w:sz="0" w:space="0" w:color="auto"/>
        <w:right w:val="none" w:sz="0" w:space="0" w:color="auto"/>
      </w:divBdr>
    </w:div>
    <w:div w:id="739792308">
      <w:bodyDiv w:val="1"/>
      <w:marLeft w:val="0"/>
      <w:marRight w:val="0"/>
      <w:marTop w:val="0"/>
      <w:marBottom w:val="0"/>
      <w:divBdr>
        <w:top w:val="none" w:sz="0" w:space="0" w:color="auto"/>
        <w:left w:val="none" w:sz="0" w:space="0" w:color="auto"/>
        <w:bottom w:val="none" w:sz="0" w:space="0" w:color="auto"/>
        <w:right w:val="none" w:sz="0" w:space="0" w:color="auto"/>
      </w:divBdr>
    </w:div>
    <w:div w:id="740443084">
      <w:bodyDiv w:val="1"/>
      <w:marLeft w:val="0"/>
      <w:marRight w:val="0"/>
      <w:marTop w:val="0"/>
      <w:marBottom w:val="0"/>
      <w:divBdr>
        <w:top w:val="none" w:sz="0" w:space="0" w:color="auto"/>
        <w:left w:val="none" w:sz="0" w:space="0" w:color="auto"/>
        <w:bottom w:val="none" w:sz="0" w:space="0" w:color="auto"/>
        <w:right w:val="none" w:sz="0" w:space="0" w:color="auto"/>
      </w:divBdr>
    </w:div>
    <w:div w:id="742220341">
      <w:bodyDiv w:val="1"/>
      <w:marLeft w:val="0"/>
      <w:marRight w:val="0"/>
      <w:marTop w:val="0"/>
      <w:marBottom w:val="0"/>
      <w:divBdr>
        <w:top w:val="none" w:sz="0" w:space="0" w:color="auto"/>
        <w:left w:val="none" w:sz="0" w:space="0" w:color="auto"/>
        <w:bottom w:val="none" w:sz="0" w:space="0" w:color="auto"/>
        <w:right w:val="none" w:sz="0" w:space="0" w:color="auto"/>
      </w:divBdr>
    </w:div>
    <w:div w:id="743376771">
      <w:bodyDiv w:val="1"/>
      <w:marLeft w:val="0"/>
      <w:marRight w:val="0"/>
      <w:marTop w:val="0"/>
      <w:marBottom w:val="0"/>
      <w:divBdr>
        <w:top w:val="none" w:sz="0" w:space="0" w:color="auto"/>
        <w:left w:val="none" w:sz="0" w:space="0" w:color="auto"/>
        <w:bottom w:val="none" w:sz="0" w:space="0" w:color="auto"/>
        <w:right w:val="none" w:sz="0" w:space="0" w:color="auto"/>
      </w:divBdr>
    </w:div>
    <w:div w:id="743643233">
      <w:bodyDiv w:val="1"/>
      <w:marLeft w:val="0"/>
      <w:marRight w:val="0"/>
      <w:marTop w:val="0"/>
      <w:marBottom w:val="0"/>
      <w:divBdr>
        <w:top w:val="none" w:sz="0" w:space="0" w:color="auto"/>
        <w:left w:val="none" w:sz="0" w:space="0" w:color="auto"/>
        <w:bottom w:val="none" w:sz="0" w:space="0" w:color="auto"/>
        <w:right w:val="none" w:sz="0" w:space="0" w:color="auto"/>
      </w:divBdr>
    </w:div>
    <w:div w:id="745031863">
      <w:bodyDiv w:val="1"/>
      <w:marLeft w:val="0"/>
      <w:marRight w:val="0"/>
      <w:marTop w:val="0"/>
      <w:marBottom w:val="0"/>
      <w:divBdr>
        <w:top w:val="none" w:sz="0" w:space="0" w:color="auto"/>
        <w:left w:val="none" w:sz="0" w:space="0" w:color="auto"/>
        <w:bottom w:val="none" w:sz="0" w:space="0" w:color="auto"/>
        <w:right w:val="none" w:sz="0" w:space="0" w:color="auto"/>
      </w:divBdr>
    </w:div>
    <w:div w:id="745108415">
      <w:bodyDiv w:val="1"/>
      <w:marLeft w:val="0"/>
      <w:marRight w:val="0"/>
      <w:marTop w:val="0"/>
      <w:marBottom w:val="0"/>
      <w:divBdr>
        <w:top w:val="none" w:sz="0" w:space="0" w:color="auto"/>
        <w:left w:val="none" w:sz="0" w:space="0" w:color="auto"/>
        <w:bottom w:val="none" w:sz="0" w:space="0" w:color="auto"/>
        <w:right w:val="none" w:sz="0" w:space="0" w:color="auto"/>
      </w:divBdr>
    </w:div>
    <w:div w:id="745344344">
      <w:bodyDiv w:val="1"/>
      <w:marLeft w:val="0"/>
      <w:marRight w:val="0"/>
      <w:marTop w:val="0"/>
      <w:marBottom w:val="0"/>
      <w:divBdr>
        <w:top w:val="none" w:sz="0" w:space="0" w:color="auto"/>
        <w:left w:val="none" w:sz="0" w:space="0" w:color="auto"/>
        <w:bottom w:val="none" w:sz="0" w:space="0" w:color="auto"/>
        <w:right w:val="none" w:sz="0" w:space="0" w:color="auto"/>
      </w:divBdr>
    </w:div>
    <w:div w:id="745419939">
      <w:bodyDiv w:val="1"/>
      <w:marLeft w:val="0"/>
      <w:marRight w:val="0"/>
      <w:marTop w:val="0"/>
      <w:marBottom w:val="0"/>
      <w:divBdr>
        <w:top w:val="none" w:sz="0" w:space="0" w:color="auto"/>
        <w:left w:val="none" w:sz="0" w:space="0" w:color="auto"/>
        <w:bottom w:val="none" w:sz="0" w:space="0" w:color="auto"/>
        <w:right w:val="none" w:sz="0" w:space="0" w:color="auto"/>
      </w:divBdr>
    </w:div>
    <w:div w:id="745807582">
      <w:bodyDiv w:val="1"/>
      <w:marLeft w:val="0"/>
      <w:marRight w:val="0"/>
      <w:marTop w:val="0"/>
      <w:marBottom w:val="0"/>
      <w:divBdr>
        <w:top w:val="none" w:sz="0" w:space="0" w:color="auto"/>
        <w:left w:val="none" w:sz="0" w:space="0" w:color="auto"/>
        <w:bottom w:val="none" w:sz="0" w:space="0" w:color="auto"/>
        <w:right w:val="none" w:sz="0" w:space="0" w:color="auto"/>
      </w:divBdr>
    </w:div>
    <w:div w:id="745998198">
      <w:bodyDiv w:val="1"/>
      <w:marLeft w:val="0"/>
      <w:marRight w:val="0"/>
      <w:marTop w:val="0"/>
      <w:marBottom w:val="0"/>
      <w:divBdr>
        <w:top w:val="none" w:sz="0" w:space="0" w:color="auto"/>
        <w:left w:val="none" w:sz="0" w:space="0" w:color="auto"/>
        <w:bottom w:val="none" w:sz="0" w:space="0" w:color="auto"/>
        <w:right w:val="none" w:sz="0" w:space="0" w:color="auto"/>
      </w:divBdr>
    </w:div>
    <w:div w:id="747000113">
      <w:bodyDiv w:val="1"/>
      <w:marLeft w:val="0"/>
      <w:marRight w:val="0"/>
      <w:marTop w:val="0"/>
      <w:marBottom w:val="0"/>
      <w:divBdr>
        <w:top w:val="none" w:sz="0" w:space="0" w:color="auto"/>
        <w:left w:val="none" w:sz="0" w:space="0" w:color="auto"/>
        <w:bottom w:val="none" w:sz="0" w:space="0" w:color="auto"/>
        <w:right w:val="none" w:sz="0" w:space="0" w:color="auto"/>
      </w:divBdr>
    </w:div>
    <w:div w:id="750126841">
      <w:bodyDiv w:val="1"/>
      <w:marLeft w:val="0"/>
      <w:marRight w:val="0"/>
      <w:marTop w:val="0"/>
      <w:marBottom w:val="0"/>
      <w:divBdr>
        <w:top w:val="none" w:sz="0" w:space="0" w:color="auto"/>
        <w:left w:val="none" w:sz="0" w:space="0" w:color="auto"/>
        <w:bottom w:val="none" w:sz="0" w:space="0" w:color="auto"/>
        <w:right w:val="none" w:sz="0" w:space="0" w:color="auto"/>
      </w:divBdr>
    </w:div>
    <w:div w:id="750740603">
      <w:bodyDiv w:val="1"/>
      <w:marLeft w:val="0"/>
      <w:marRight w:val="0"/>
      <w:marTop w:val="0"/>
      <w:marBottom w:val="0"/>
      <w:divBdr>
        <w:top w:val="none" w:sz="0" w:space="0" w:color="auto"/>
        <w:left w:val="none" w:sz="0" w:space="0" w:color="auto"/>
        <w:bottom w:val="none" w:sz="0" w:space="0" w:color="auto"/>
        <w:right w:val="none" w:sz="0" w:space="0" w:color="auto"/>
      </w:divBdr>
    </w:div>
    <w:div w:id="750781306">
      <w:bodyDiv w:val="1"/>
      <w:marLeft w:val="0"/>
      <w:marRight w:val="0"/>
      <w:marTop w:val="0"/>
      <w:marBottom w:val="0"/>
      <w:divBdr>
        <w:top w:val="none" w:sz="0" w:space="0" w:color="auto"/>
        <w:left w:val="none" w:sz="0" w:space="0" w:color="auto"/>
        <w:bottom w:val="none" w:sz="0" w:space="0" w:color="auto"/>
        <w:right w:val="none" w:sz="0" w:space="0" w:color="auto"/>
      </w:divBdr>
    </w:div>
    <w:div w:id="751050959">
      <w:bodyDiv w:val="1"/>
      <w:marLeft w:val="0"/>
      <w:marRight w:val="0"/>
      <w:marTop w:val="0"/>
      <w:marBottom w:val="0"/>
      <w:divBdr>
        <w:top w:val="none" w:sz="0" w:space="0" w:color="auto"/>
        <w:left w:val="none" w:sz="0" w:space="0" w:color="auto"/>
        <w:bottom w:val="none" w:sz="0" w:space="0" w:color="auto"/>
        <w:right w:val="none" w:sz="0" w:space="0" w:color="auto"/>
      </w:divBdr>
    </w:div>
    <w:div w:id="751849634">
      <w:bodyDiv w:val="1"/>
      <w:marLeft w:val="0"/>
      <w:marRight w:val="0"/>
      <w:marTop w:val="0"/>
      <w:marBottom w:val="0"/>
      <w:divBdr>
        <w:top w:val="none" w:sz="0" w:space="0" w:color="auto"/>
        <w:left w:val="none" w:sz="0" w:space="0" w:color="auto"/>
        <w:bottom w:val="none" w:sz="0" w:space="0" w:color="auto"/>
        <w:right w:val="none" w:sz="0" w:space="0" w:color="auto"/>
      </w:divBdr>
    </w:div>
    <w:div w:id="752163328">
      <w:bodyDiv w:val="1"/>
      <w:marLeft w:val="0"/>
      <w:marRight w:val="0"/>
      <w:marTop w:val="0"/>
      <w:marBottom w:val="0"/>
      <w:divBdr>
        <w:top w:val="none" w:sz="0" w:space="0" w:color="auto"/>
        <w:left w:val="none" w:sz="0" w:space="0" w:color="auto"/>
        <w:bottom w:val="none" w:sz="0" w:space="0" w:color="auto"/>
        <w:right w:val="none" w:sz="0" w:space="0" w:color="auto"/>
      </w:divBdr>
    </w:div>
    <w:div w:id="753353364">
      <w:bodyDiv w:val="1"/>
      <w:marLeft w:val="0"/>
      <w:marRight w:val="0"/>
      <w:marTop w:val="0"/>
      <w:marBottom w:val="0"/>
      <w:divBdr>
        <w:top w:val="none" w:sz="0" w:space="0" w:color="auto"/>
        <w:left w:val="none" w:sz="0" w:space="0" w:color="auto"/>
        <w:bottom w:val="none" w:sz="0" w:space="0" w:color="auto"/>
        <w:right w:val="none" w:sz="0" w:space="0" w:color="auto"/>
      </w:divBdr>
    </w:div>
    <w:div w:id="753623806">
      <w:bodyDiv w:val="1"/>
      <w:marLeft w:val="0"/>
      <w:marRight w:val="0"/>
      <w:marTop w:val="0"/>
      <w:marBottom w:val="0"/>
      <w:divBdr>
        <w:top w:val="none" w:sz="0" w:space="0" w:color="auto"/>
        <w:left w:val="none" w:sz="0" w:space="0" w:color="auto"/>
        <w:bottom w:val="none" w:sz="0" w:space="0" w:color="auto"/>
        <w:right w:val="none" w:sz="0" w:space="0" w:color="auto"/>
      </w:divBdr>
    </w:div>
    <w:div w:id="754667176">
      <w:bodyDiv w:val="1"/>
      <w:marLeft w:val="0"/>
      <w:marRight w:val="0"/>
      <w:marTop w:val="0"/>
      <w:marBottom w:val="0"/>
      <w:divBdr>
        <w:top w:val="none" w:sz="0" w:space="0" w:color="auto"/>
        <w:left w:val="none" w:sz="0" w:space="0" w:color="auto"/>
        <w:bottom w:val="none" w:sz="0" w:space="0" w:color="auto"/>
        <w:right w:val="none" w:sz="0" w:space="0" w:color="auto"/>
      </w:divBdr>
    </w:div>
    <w:div w:id="755712097">
      <w:bodyDiv w:val="1"/>
      <w:marLeft w:val="0"/>
      <w:marRight w:val="0"/>
      <w:marTop w:val="0"/>
      <w:marBottom w:val="0"/>
      <w:divBdr>
        <w:top w:val="none" w:sz="0" w:space="0" w:color="auto"/>
        <w:left w:val="none" w:sz="0" w:space="0" w:color="auto"/>
        <w:bottom w:val="none" w:sz="0" w:space="0" w:color="auto"/>
        <w:right w:val="none" w:sz="0" w:space="0" w:color="auto"/>
      </w:divBdr>
    </w:div>
    <w:div w:id="755828250">
      <w:bodyDiv w:val="1"/>
      <w:marLeft w:val="0"/>
      <w:marRight w:val="0"/>
      <w:marTop w:val="0"/>
      <w:marBottom w:val="0"/>
      <w:divBdr>
        <w:top w:val="none" w:sz="0" w:space="0" w:color="auto"/>
        <w:left w:val="none" w:sz="0" w:space="0" w:color="auto"/>
        <w:bottom w:val="none" w:sz="0" w:space="0" w:color="auto"/>
        <w:right w:val="none" w:sz="0" w:space="0" w:color="auto"/>
      </w:divBdr>
    </w:div>
    <w:div w:id="756169484">
      <w:bodyDiv w:val="1"/>
      <w:marLeft w:val="0"/>
      <w:marRight w:val="0"/>
      <w:marTop w:val="0"/>
      <w:marBottom w:val="0"/>
      <w:divBdr>
        <w:top w:val="none" w:sz="0" w:space="0" w:color="auto"/>
        <w:left w:val="none" w:sz="0" w:space="0" w:color="auto"/>
        <w:bottom w:val="none" w:sz="0" w:space="0" w:color="auto"/>
        <w:right w:val="none" w:sz="0" w:space="0" w:color="auto"/>
      </w:divBdr>
    </w:div>
    <w:div w:id="757601027">
      <w:bodyDiv w:val="1"/>
      <w:marLeft w:val="0"/>
      <w:marRight w:val="0"/>
      <w:marTop w:val="0"/>
      <w:marBottom w:val="0"/>
      <w:divBdr>
        <w:top w:val="none" w:sz="0" w:space="0" w:color="auto"/>
        <w:left w:val="none" w:sz="0" w:space="0" w:color="auto"/>
        <w:bottom w:val="none" w:sz="0" w:space="0" w:color="auto"/>
        <w:right w:val="none" w:sz="0" w:space="0" w:color="auto"/>
      </w:divBdr>
    </w:div>
    <w:div w:id="757601446">
      <w:bodyDiv w:val="1"/>
      <w:marLeft w:val="0"/>
      <w:marRight w:val="0"/>
      <w:marTop w:val="0"/>
      <w:marBottom w:val="0"/>
      <w:divBdr>
        <w:top w:val="none" w:sz="0" w:space="0" w:color="auto"/>
        <w:left w:val="none" w:sz="0" w:space="0" w:color="auto"/>
        <w:bottom w:val="none" w:sz="0" w:space="0" w:color="auto"/>
        <w:right w:val="none" w:sz="0" w:space="0" w:color="auto"/>
      </w:divBdr>
    </w:div>
    <w:div w:id="758063282">
      <w:bodyDiv w:val="1"/>
      <w:marLeft w:val="0"/>
      <w:marRight w:val="0"/>
      <w:marTop w:val="0"/>
      <w:marBottom w:val="0"/>
      <w:divBdr>
        <w:top w:val="none" w:sz="0" w:space="0" w:color="auto"/>
        <w:left w:val="none" w:sz="0" w:space="0" w:color="auto"/>
        <w:bottom w:val="none" w:sz="0" w:space="0" w:color="auto"/>
        <w:right w:val="none" w:sz="0" w:space="0" w:color="auto"/>
      </w:divBdr>
    </w:div>
    <w:div w:id="758143291">
      <w:bodyDiv w:val="1"/>
      <w:marLeft w:val="0"/>
      <w:marRight w:val="0"/>
      <w:marTop w:val="0"/>
      <w:marBottom w:val="0"/>
      <w:divBdr>
        <w:top w:val="none" w:sz="0" w:space="0" w:color="auto"/>
        <w:left w:val="none" w:sz="0" w:space="0" w:color="auto"/>
        <w:bottom w:val="none" w:sz="0" w:space="0" w:color="auto"/>
        <w:right w:val="none" w:sz="0" w:space="0" w:color="auto"/>
      </w:divBdr>
    </w:div>
    <w:div w:id="758215317">
      <w:bodyDiv w:val="1"/>
      <w:marLeft w:val="0"/>
      <w:marRight w:val="0"/>
      <w:marTop w:val="0"/>
      <w:marBottom w:val="0"/>
      <w:divBdr>
        <w:top w:val="none" w:sz="0" w:space="0" w:color="auto"/>
        <w:left w:val="none" w:sz="0" w:space="0" w:color="auto"/>
        <w:bottom w:val="none" w:sz="0" w:space="0" w:color="auto"/>
        <w:right w:val="none" w:sz="0" w:space="0" w:color="auto"/>
      </w:divBdr>
    </w:div>
    <w:div w:id="759057542">
      <w:bodyDiv w:val="1"/>
      <w:marLeft w:val="0"/>
      <w:marRight w:val="0"/>
      <w:marTop w:val="0"/>
      <w:marBottom w:val="0"/>
      <w:divBdr>
        <w:top w:val="none" w:sz="0" w:space="0" w:color="auto"/>
        <w:left w:val="none" w:sz="0" w:space="0" w:color="auto"/>
        <w:bottom w:val="none" w:sz="0" w:space="0" w:color="auto"/>
        <w:right w:val="none" w:sz="0" w:space="0" w:color="auto"/>
      </w:divBdr>
    </w:div>
    <w:div w:id="759837217">
      <w:bodyDiv w:val="1"/>
      <w:marLeft w:val="0"/>
      <w:marRight w:val="0"/>
      <w:marTop w:val="0"/>
      <w:marBottom w:val="0"/>
      <w:divBdr>
        <w:top w:val="none" w:sz="0" w:space="0" w:color="auto"/>
        <w:left w:val="none" w:sz="0" w:space="0" w:color="auto"/>
        <w:bottom w:val="none" w:sz="0" w:space="0" w:color="auto"/>
        <w:right w:val="none" w:sz="0" w:space="0" w:color="auto"/>
      </w:divBdr>
    </w:div>
    <w:div w:id="761336520">
      <w:bodyDiv w:val="1"/>
      <w:marLeft w:val="0"/>
      <w:marRight w:val="0"/>
      <w:marTop w:val="0"/>
      <w:marBottom w:val="0"/>
      <w:divBdr>
        <w:top w:val="none" w:sz="0" w:space="0" w:color="auto"/>
        <w:left w:val="none" w:sz="0" w:space="0" w:color="auto"/>
        <w:bottom w:val="none" w:sz="0" w:space="0" w:color="auto"/>
        <w:right w:val="none" w:sz="0" w:space="0" w:color="auto"/>
      </w:divBdr>
    </w:div>
    <w:div w:id="761411603">
      <w:bodyDiv w:val="1"/>
      <w:marLeft w:val="0"/>
      <w:marRight w:val="0"/>
      <w:marTop w:val="0"/>
      <w:marBottom w:val="0"/>
      <w:divBdr>
        <w:top w:val="none" w:sz="0" w:space="0" w:color="auto"/>
        <w:left w:val="none" w:sz="0" w:space="0" w:color="auto"/>
        <w:bottom w:val="none" w:sz="0" w:space="0" w:color="auto"/>
        <w:right w:val="none" w:sz="0" w:space="0" w:color="auto"/>
      </w:divBdr>
    </w:div>
    <w:div w:id="761680976">
      <w:bodyDiv w:val="1"/>
      <w:marLeft w:val="0"/>
      <w:marRight w:val="0"/>
      <w:marTop w:val="0"/>
      <w:marBottom w:val="0"/>
      <w:divBdr>
        <w:top w:val="none" w:sz="0" w:space="0" w:color="auto"/>
        <w:left w:val="none" w:sz="0" w:space="0" w:color="auto"/>
        <w:bottom w:val="none" w:sz="0" w:space="0" w:color="auto"/>
        <w:right w:val="none" w:sz="0" w:space="0" w:color="auto"/>
      </w:divBdr>
    </w:div>
    <w:div w:id="766081912">
      <w:bodyDiv w:val="1"/>
      <w:marLeft w:val="0"/>
      <w:marRight w:val="0"/>
      <w:marTop w:val="0"/>
      <w:marBottom w:val="0"/>
      <w:divBdr>
        <w:top w:val="none" w:sz="0" w:space="0" w:color="auto"/>
        <w:left w:val="none" w:sz="0" w:space="0" w:color="auto"/>
        <w:bottom w:val="none" w:sz="0" w:space="0" w:color="auto"/>
        <w:right w:val="none" w:sz="0" w:space="0" w:color="auto"/>
      </w:divBdr>
    </w:div>
    <w:div w:id="769009364">
      <w:bodyDiv w:val="1"/>
      <w:marLeft w:val="0"/>
      <w:marRight w:val="0"/>
      <w:marTop w:val="0"/>
      <w:marBottom w:val="0"/>
      <w:divBdr>
        <w:top w:val="none" w:sz="0" w:space="0" w:color="auto"/>
        <w:left w:val="none" w:sz="0" w:space="0" w:color="auto"/>
        <w:bottom w:val="none" w:sz="0" w:space="0" w:color="auto"/>
        <w:right w:val="none" w:sz="0" w:space="0" w:color="auto"/>
      </w:divBdr>
    </w:div>
    <w:div w:id="769817834">
      <w:bodyDiv w:val="1"/>
      <w:marLeft w:val="0"/>
      <w:marRight w:val="0"/>
      <w:marTop w:val="0"/>
      <w:marBottom w:val="0"/>
      <w:divBdr>
        <w:top w:val="none" w:sz="0" w:space="0" w:color="auto"/>
        <w:left w:val="none" w:sz="0" w:space="0" w:color="auto"/>
        <w:bottom w:val="none" w:sz="0" w:space="0" w:color="auto"/>
        <w:right w:val="none" w:sz="0" w:space="0" w:color="auto"/>
      </w:divBdr>
    </w:div>
    <w:div w:id="769860359">
      <w:bodyDiv w:val="1"/>
      <w:marLeft w:val="0"/>
      <w:marRight w:val="0"/>
      <w:marTop w:val="0"/>
      <w:marBottom w:val="0"/>
      <w:divBdr>
        <w:top w:val="none" w:sz="0" w:space="0" w:color="auto"/>
        <w:left w:val="none" w:sz="0" w:space="0" w:color="auto"/>
        <w:bottom w:val="none" w:sz="0" w:space="0" w:color="auto"/>
        <w:right w:val="none" w:sz="0" w:space="0" w:color="auto"/>
      </w:divBdr>
    </w:div>
    <w:div w:id="770978995">
      <w:bodyDiv w:val="1"/>
      <w:marLeft w:val="0"/>
      <w:marRight w:val="0"/>
      <w:marTop w:val="0"/>
      <w:marBottom w:val="0"/>
      <w:divBdr>
        <w:top w:val="none" w:sz="0" w:space="0" w:color="auto"/>
        <w:left w:val="none" w:sz="0" w:space="0" w:color="auto"/>
        <w:bottom w:val="none" w:sz="0" w:space="0" w:color="auto"/>
        <w:right w:val="none" w:sz="0" w:space="0" w:color="auto"/>
      </w:divBdr>
    </w:div>
    <w:div w:id="772631715">
      <w:bodyDiv w:val="1"/>
      <w:marLeft w:val="0"/>
      <w:marRight w:val="0"/>
      <w:marTop w:val="0"/>
      <w:marBottom w:val="0"/>
      <w:divBdr>
        <w:top w:val="none" w:sz="0" w:space="0" w:color="auto"/>
        <w:left w:val="none" w:sz="0" w:space="0" w:color="auto"/>
        <w:bottom w:val="none" w:sz="0" w:space="0" w:color="auto"/>
        <w:right w:val="none" w:sz="0" w:space="0" w:color="auto"/>
      </w:divBdr>
    </w:div>
    <w:div w:id="772702018">
      <w:bodyDiv w:val="1"/>
      <w:marLeft w:val="0"/>
      <w:marRight w:val="0"/>
      <w:marTop w:val="0"/>
      <w:marBottom w:val="0"/>
      <w:divBdr>
        <w:top w:val="none" w:sz="0" w:space="0" w:color="auto"/>
        <w:left w:val="none" w:sz="0" w:space="0" w:color="auto"/>
        <w:bottom w:val="none" w:sz="0" w:space="0" w:color="auto"/>
        <w:right w:val="none" w:sz="0" w:space="0" w:color="auto"/>
      </w:divBdr>
    </w:div>
    <w:div w:id="775101843">
      <w:bodyDiv w:val="1"/>
      <w:marLeft w:val="0"/>
      <w:marRight w:val="0"/>
      <w:marTop w:val="0"/>
      <w:marBottom w:val="0"/>
      <w:divBdr>
        <w:top w:val="none" w:sz="0" w:space="0" w:color="auto"/>
        <w:left w:val="none" w:sz="0" w:space="0" w:color="auto"/>
        <w:bottom w:val="none" w:sz="0" w:space="0" w:color="auto"/>
        <w:right w:val="none" w:sz="0" w:space="0" w:color="auto"/>
      </w:divBdr>
    </w:div>
    <w:div w:id="775179046">
      <w:bodyDiv w:val="1"/>
      <w:marLeft w:val="0"/>
      <w:marRight w:val="0"/>
      <w:marTop w:val="0"/>
      <w:marBottom w:val="0"/>
      <w:divBdr>
        <w:top w:val="none" w:sz="0" w:space="0" w:color="auto"/>
        <w:left w:val="none" w:sz="0" w:space="0" w:color="auto"/>
        <w:bottom w:val="none" w:sz="0" w:space="0" w:color="auto"/>
        <w:right w:val="none" w:sz="0" w:space="0" w:color="auto"/>
      </w:divBdr>
    </w:div>
    <w:div w:id="775910059">
      <w:bodyDiv w:val="1"/>
      <w:marLeft w:val="0"/>
      <w:marRight w:val="0"/>
      <w:marTop w:val="0"/>
      <w:marBottom w:val="0"/>
      <w:divBdr>
        <w:top w:val="none" w:sz="0" w:space="0" w:color="auto"/>
        <w:left w:val="none" w:sz="0" w:space="0" w:color="auto"/>
        <w:bottom w:val="none" w:sz="0" w:space="0" w:color="auto"/>
        <w:right w:val="none" w:sz="0" w:space="0" w:color="auto"/>
      </w:divBdr>
    </w:div>
    <w:div w:id="778641708">
      <w:bodyDiv w:val="1"/>
      <w:marLeft w:val="0"/>
      <w:marRight w:val="0"/>
      <w:marTop w:val="0"/>
      <w:marBottom w:val="0"/>
      <w:divBdr>
        <w:top w:val="none" w:sz="0" w:space="0" w:color="auto"/>
        <w:left w:val="none" w:sz="0" w:space="0" w:color="auto"/>
        <w:bottom w:val="none" w:sz="0" w:space="0" w:color="auto"/>
        <w:right w:val="none" w:sz="0" w:space="0" w:color="auto"/>
      </w:divBdr>
    </w:div>
    <w:div w:id="779229789">
      <w:bodyDiv w:val="1"/>
      <w:marLeft w:val="0"/>
      <w:marRight w:val="0"/>
      <w:marTop w:val="0"/>
      <w:marBottom w:val="0"/>
      <w:divBdr>
        <w:top w:val="none" w:sz="0" w:space="0" w:color="auto"/>
        <w:left w:val="none" w:sz="0" w:space="0" w:color="auto"/>
        <w:bottom w:val="none" w:sz="0" w:space="0" w:color="auto"/>
        <w:right w:val="none" w:sz="0" w:space="0" w:color="auto"/>
      </w:divBdr>
    </w:div>
    <w:div w:id="779301830">
      <w:bodyDiv w:val="1"/>
      <w:marLeft w:val="0"/>
      <w:marRight w:val="0"/>
      <w:marTop w:val="0"/>
      <w:marBottom w:val="0"/>
      <w:divBdr>
        <w:top w:val="none" w:sz="0" w:space="0" w:color="auto"/>
        <w:left w:val="none" w:sz="0" w:space="0" w:color="auto"/>
        <w:bottom w:val="none" w:sz="0" w:space="0" w:color="auto"/>
        <w:right w:val="none" w:sz="0" w:space="0" w:color="auto"/>
      </w:divBdr>
    </w:div>
    <w:div w:id="779757413">
      <w:bodyDiv w:val="1"/>
      <w:marLeft w:val="0"/>
      <w:marRight w:val="0"/>
      <w:marTop w:val="0"/>
      <w:marBottom w:val="0"/>
      <w:divBdr>
        <w:top w:val="none" w:sz="0" w:space="0" w:color="auto"/>
        <w:left w:val="none" w:sz="0" w:space="0" w:color="auto"/>
        <w:bottom w:val="none" w:sz="0" w:space="0" w:color="auto"/>
        <w:right w:val="none" w:sz="0" w:space="0" w:color="auto"/>
      </w:divBdr>
    </w:div>
    <w:div w:id="779909177">
      <w:bodyDiv w:val="1"/>
      <w:marLeft w:val="0"/>
      <w:marRight w:val="0"/>
      <w:marTop w:val="0"/>
      <w:marBottom w:val="0"/>
      <w:divBdr>
        <w:top w:val="none" w:sz="0" w:space="0" w:color="auto"/>
        <w:left w:val="none" w:sz="0" w:space="0" w:color="auto"/>
        <w:bottom w:val="none" w:sz="0" w:space="0" w:color="auto"/>
        <w:right w:val="none" w:sz="0" w:space="0" w:color="auto"/>
      </w:divBdr>
    </w:div>
    <w:div w:id="781146721">
      <w:bodyDiv w:val="1"/>
      <w:marLeft w:val="0"/>
      <w:marRight w:val="0"/>
      <w:marTop w:val="0"/>
      <w:marBottom w:val="0"/>
      <w:divBdr>
        <w:top w:val="none" w:sz="0" w:space="0" w:color="auto"/>
        <w:left w:val="none" w:sz="0" w:space="0" w:color="auto"/>
        <w:bottom w:val="none" w:sz="0" w:space="0" w:color="auto"/>
        <w:right w:val="none" w:sz="0" w:space="0" w:color="auto"/>
      </w:divBdr>
    </w:div>
    <w:div w:id="781456243">
      <w:bodyDiv w:val="1"/>
      <w:marLeft w:val="0"/>
      <w:marRight w:val="0"/>
      <w:marTop w:val="0"/>
      <w:marBottom w:val="0"/>
      <w:divBdr>
        <w:top w:val="none" w:sz="0" w:space="0" w:color="auto"/>
        <w:left w:val="none" w:sz="0" w:space="0" w:color="auto"/>
        <w:bottom w:val="none" w:sz="0" w:space="0" w:color="auto"/>
        <w:right w:val="none" w:sz="0" w:space="0" w:color="auto"/>
      </w:divBdr>
    </w:div>
    <w:div w:id="781803834">
      <w:bodyDiv w:val="1"/>
      <w:marLeft w:val="0"/>
      <w:marRight w:val="0"/>
      <w:marTop w:val="0"/>
      <w:marBottom w:val="0"/>
      <w:divBdr>
        <w:top w:val="none" w:sz="0" w:space="0" w:color="auto"/>
        <w:left w:val="none" w:sz="0" w:space="0" w:color="auto"/>
        <w:bottom w:val="none" w:sz="0" w:space="0" w:color="auto"/>
        <w:right w:val="none" w:sz="0" w:space="0" w:color="auto"/>
      </w:divBdr>
    </w:div>
    <w:div w:id="782311143">
      <w:bodyDiv w:val="1"/>
      <w:marLeft w:val="0"/>
      <w:marRight w:val="0"/>
      <w:marTop w:val="0"/>
      <w:marBottom w:val="0"/>
      <w:divBdr>
        <w:top w:val="none" w:sz="0" w:space="0" w:color="auto"/>
        <w:left w:val="none" w:sz="0" w:space="0" w:color="auto"/>
        <w:bottom w:val="none" w:sz="0" w:space="0" w:color="auto"/>
        <w:right w:val="none" w:sz="0" w:space="0" w:color="auto"/>
      </w:divBdr>
    </w:div>
    <w:div w:id="783381352">
      <w:bodyDiv w:val="1"/>
      <w:marLeft w:val="0"/>
      <w:marRight w:val="0"/>
      <w:marTop w:val="0"/>
      <w:marBottom w:val="0"/>
      <w:divBdr>
        <w:top w:val="none" w:sz="0" w:space="0" w:color="auto"/>
        <w:left w:val="none" w:sz="0" w:space="0" w:color="auto"/>
        <w:bottom w:val="none" w:sz="0" w:space="0" w:color="auto"/>
        <w:right w:val="none" w:sz="0" w:space="0" w:color="auto"/>
      </w:divBdr>
    </w:div>
    <w:div w:id="784496563">
      <w:bodyDiv w:val="1"/>
      <w:marLeft w:val="0"/>
      <w:marRight w:val="0"/>
      <w:marTop w:val="0"/>
      <w:marBottom w:val="0"/>
      <w:divBdr>
        <w:top w:val="none" w:sz="0" w:space="0" w:color="auto"/>
        <w:left w:val="none" w:sz="0" w:space="0" w:color="auto"/>
        <w:bottom w:val="none" w:sz="0" w:space="0" w:color="auto"/>
        <w:right w:val="none" w:sz="0" w:space="0" w:color="auto"/>
      </w:divBdr>
    </w:div>
    <w:div w:id="785780191">
      <w:bodyDiv w:val="1"/>
      <w:marLeft w:val="0"/>
      <w:marRight w:val="0"/>
      <w:marTop w:val="0"/>
      <w:marBottom w:val="0"/>
      <w:divBdr>
        <w:top w:val="none" w:sz="0" w:space="0" w:color="auto"/>
        <w:left w:val="none" w:sz="0" w:space="0" w:color="auto"/>
        <w:bottom w:val="none" w:sz="0" w:space="0" w:color="auto"/>
        <w:right w:val="none" w:sz="0" w:space="0" w:color="auto"/>
      </w:divBdr>
    </w:div>
    <w:div w:id="788356187">
      <w:bodyDiv w:val="1"/>
      <w:marLeft w:val="0"/>
      <w:marRight w:val="0"/>
      <w:marTop w:val="0"/>
      <w:marBottom w:val="0"/>
      <w:divBdr>
        <w:top w:val="none" w:sz="0" w:space="0" w:color="auto"/>
        <w:left w:val="none" w:sz="0" w:space="0" w:color="auto"/>
        <w:bottom w:val="none" w:sz="0" w:space="0" w:color="auto"/>
        <w:right w:val="none" w:sz="0" w:space="0" w:color="auto"/>
      </w:divBdr>
    </w:div>
    <w:div w:id="788940080">
      <w:bodyDiv w:val="1"/>
      <w:marLeft w:val="0"/>
      <w:marRight w:val="0"/>
      <w:marTop w:val="0"/>
      <w:marBottom w:val="0"/>
      <w:divBdr>
        <w:top w:val="none" w:sz="0" w:space="0" w:color="auto"/>
        <w:left w:val="none" w:sz="0" w:space="0" w:color="auto"/>
        <w:bottom w:val="none" w:sz="0" w:space="0" w:color="auto"/>
        <w:right w:val="none" w:sz="0" w:space="0" w:color="auto"/>
      </w:divBdr>
    </w:div>
    <w:div w:id="789054728">
      <w:bodyDiv w:val="1"/>
      <w:marLeft w:val="0"/>
      <w:marRight w:val="0"/>
      <w:marTop w:val="0"/>
      <w:marBottom w:val="0"/>
      <w:divBdr>
        <w:top w:val="none" w:sz="0" w:space="0" w:color="auto"/>
        <w:left w:val="none" w:sz="0" w:space="0" w:color="auto"/>
        <w:bottom w:val="none" w:sz="0" w:space="0" w:color="auto"/>
        <w:right w:val="none" w:sz="0" w:space="0" w:color="auto"/>
      </w:divBdr>
    </w:div>
    <w:div w:id="793405326">
      <w:bodyDiv w:val="1"/>
      <w:marLeft w:val="0"/>
      <w:marRight w:val="0"/>
      <w:marTop w:val="0"/>
      <w:marBottom w:val="0"/>
      <w:divBdr>
        <w:top w:val="none" w:sz="0" w:space="0" w:color="auto"/>
        <w:left w:val="none" w:sz="0" w:space="0" w:color="auto"/>
        <w:bottom w:val="none" w:sz="0" w:space="0" w:color="auto"/>
        <w:right w:val="none" w:sz="0" w:space="0" w:color="auto"/>
      </w:divBdr>
    </w:div>
    <w:div w:id="793518975">
      <w:bodyDiv w:val="1"/>
      <w:marLeft w:val="0"/>
      <w:marRight w:val="0"/>
      <w:marTop w:val="0"/>
      <w:marBottom w:val="0"/>
      <w:divBdr>
        <w:top w:val="none" w:sz="0" w:space="0" w:color="auto"/>
        <w:left w:val="none" w:sz="0" w:space="0" w:color="auto"/>
        <w:bottom w:val="none" w:sz="0" w:space="0" w:color="auto"/>
        <w:right w:val="none" w:sz="0" w:space="0" w:color="auto"/>
      </w:divBdr>
    </w:div>
    <w:div w:id="793523654">
      <w:bodyDiv w:val="1"/>
      <w:marLeft w:val="0"/>
      <w:marRight w:val="0"/>
      <w:marTop w:val="0"/>
      <w:marBottom w:val="0"/>
      <w:divBdr>
        <w:top w:val="none" w:sz="0" w:space="0" w:color="auto"/>
        <w:left w:val="none" w:sz="0" w:space="0" w:color="auto"/>
        <w:bottom w:val="none" w:sz="0" w:space="0" w:color="auto"/>
        <w:right w:val="none" w:sz="0" w:space="0" w:color="auto"/>
      </w:divBdr>
    </w:div>
    <w:div w:id="793790134">
      <w:bodyDiv w:val="1"/>
      <w:marLeft w:val="0"/>
      <w:marRight w:val="0"/>
      <w:marTop w:val="0"/>
      <w:marBottom w:val="0"/>
      <w:divBdr>
        <w:top w:val="none" w:sz="0" w:space="0" w:color="auto"/>
        <w:left w:val="none" w:sz="0" w:space="0" w:color="auto"/>
        <w:bottom w:val="none" w:sz="0" w:space="0" w:color="auto"/>
        <w:right w:val="none" w:sz="0" w:space="0" w:color="auto"/>
      </w:divBdr>
    </w:div>
    <w:div w:id="796946264">
      <w:bodyDiv w:val="1"/>
      <w:marLeft w:val="0"/>
      <w:marRight w:val="0"/>
      <w:marTop w:val="0"/>
      <w:marBottom w:val="0"/>
      <w:divBdr>
        <w:top w:val="none" w:sz="0" w:space="0" w:color="auto"/>
        <w:left w:val="none" w:sz="0" w:space="0" w:color="auto"/>
        <w:bottom w:val="none" w:sz="0" w:space="0" w:color="auto"/>
        <w:right w:val="none" w:sz="0" w:space="0" w:color="auto"/>
      </w:divBdr>
    </w:div>
    <w:div w:id="796993940">
      <w:bodyDiv w:val="1"/>
      <w:marLeft w:val="0"/>
      <w:marRight w:val="0"/>
      <w:marTop w:val="0"/>
      <w:marBottom w:val="0"/>
      <w:divBdr>
        <w:top w:val="none" w:sz="0" w:space="0" w:color="auto"/>
        <w:left w:val="none" w:sz="0" w:space="0" w:color="auto"/>
        <w:bottom w:val="none" w:sz="0" w:space="0" w:color="auto"/>
        <w:right w:val="none" w:sz="0" w:space="0" w:color="auto"/>
      </w:divBdr>
    </w:div>
    <w:div w:id="798570022">
      <w:bodyDiv w:val="1"/>
      <w:marLeft w:val="0"/>
      <w:marRight w:val="0"/>
      <w:marTop w:val="0"/>
      <w:marBottom w:val="0"/>
      <w:divBdr>
        <w:top w:val="none" w:sz="0" w:space="0" w:color="auto"/>
        <w:left w:val="none" w:sz="0" w:space="0" w:color="auto"/>
        <w:bottom w:val="none" w:sz="0" w:space="0" w:color="auto"/>
        <w:right w:val="none" w:sz="0" w:space="0" w:color="auto"/>
      </w:divBdr>
    </w:div>
    <w:div w:id="799155549">
      <w:bodyDiv w:val="1"/>
      <w:marLeft w:val="0"/>
      <w:marRight w:val="0"/>
      <w:marTop w:val="0"/>
      <w:marBottom w:val="0"/>
      <w:divBdr>
        <w:top w:val="none" w:sz="0" w:space="0" w:color="auto"/>
        <w:left w:val="none" w:sz="0" w:space="0" w:color="auto"/>
        <w:bottom w:val="none" w:sz="0" w:space="0" w:color="auto"/>
        <w:right w:val="none" w:sz="0" w:space="0" w:color="auto"/>
      </w:divBdr>
    </w:div>
    <w:div w:id="800223678">
      <w:bodyDiv w:val="1"/>
      <w:marLeft w:val="0"/>
      <w:marRight w:val="0"/>
      <w:marTop w:val="0"/>
      <w:marBottom w:val="0"/>
      <w:divBdr>
        <w:top w:val="none" w:sz="0" w:space="0" w:color="auto"/>
        <w:left w:val="none" w:sz="0" w:space="0" w:color="auto"/>
        <w:bottom w:val="none" w:sz="0" w:space="0" w:color="auto"/>
        <w:right w:val="none" w:sz="0" w:space="0" w:color="auto"/>
      </w:divBdr>
    </w:div>
    <w:div w:id="803230925">
      <w:bodyDiv w:val="1"/>
      <w:marLeft w:val="0"/>
      <w:marRight w:val="0"/>
      <w:marTop w:val="0"/>
      <w:marBottom w:val="0"/>
      <w:divBdr>
        <w:top w:val="none" w:sz="0" w:space="0" w:color="auto"/>
        <w:left w:val="none" w:sz="0" w:space="0" w:color="auto"/>
        <w:bottom w:val="none" w:sz="0" w:space="0" w:color="auto"/>
        <w:right w:val="none" w:sz="0" w:space="0" w:color="auto"/>
      </w:divBdr>
    </w:div>
    <w:div w:id="805857610">
      <w:bodyDiv w:val="1"/>
      <w:marLeft w:val="0"/>
      <w:marRight w:val="0"/>
      <w:marTop w:val="0"/>
      <w:marBottom w:val="0"/>
      <w:divBdr>
        <w:top w:val="none" w:sz="0" w:space="0" w:color="auto"/>
        <w:left w:val="none" w:sz="0" w:space="0" w:color="auto"/>
        <w:bottom w:val="none" w:sz="0" w:space="0" w:color="auto"/>
        <w:right w:val="none" w:sz="0" w:space="0" w:color="auto"/>
      </w:divBdr>
    </w:div>
    <w:div w:id="807868371">
      <w:bodyDiv w:val="1"/>
      <w:marLeft w:val="0"/>
      <w:marRight w:val="0"/>
      <w:marTop w:val="0"/>
      <w:marBottom w:val="0"/>
      <w:divBdr>
        <w:top w:val="none" w:sz="0" w:space="0" w:color="auto"/>
        <w:left w:val="none" w:sz="0" w:space="0" w:color="auto"/>
        <w:bottom w:val="none" w:sz="0" w:space="0" w:color="auto"/>
        <w:right w:val="none" w:sz="0" w:space="0" w:color="auto"/>
      </w:divBdr>
    </w:div>
    <w:div w:id="808207778">
      <w:bodyDiv w:val="1"/>
      <w:marLeft w:val="0"/>
      <w:marRight w:val="0"/>
      <w:marTop w:val="0"/>
      <w:marBottom w:val="0"/>
      <w:divBdr>
        <w:top w:val="none" w:sz="0" w:space="0" w:color="auto"/>
        <w:left w:val="none" w:sz="0" w:space="0" w:color="auto"/>
        <w:bottom w:val="none" w:sz="0" w:space="0" w:color="auto"/>
        <w:right w:val="none" w:sz="0" w:space="0" w:color="auto"/>
      </w:divBdr>
    </w:div>
    <w:div w:id="809597141">
      <w:bodyDiv w:val="1"/>
      <w:marLeft w:val="0"/>
      <w:marRight w:val="0"/>
      <w:marTop w:val="0"/>
      <w:marBottom w:val="0"/>
      <w:divBdr>
        <w:top w:val="none" w:sz="0" w:space="0" w:color="auto"/>
        <w:left w:val="none" w:sz="0" w:space="0" w:color="auto"/>
        <w:bottom w:val="none" w:sz="0" w:space="0" w:color="auto"/>
        <w:right w:val="none" w:sz="0" w:space="0" w:color="auto"/>
      </w:divBdr>
    </w:div>
    <w:div w:id="810093147">
      <w:bodyDiv w:val="1"/>
      <w:marLeft w:val="0"/>
      <w:marRight w:val="0"/>
      <w:marTop w:val="0"/>
      <w:marBottom w:val="0"/>
      <w:divBdr>
        <w:top w:val="none" w:sz="0" w:space="0" w:color="auto"/>
        <w:left w:val="none" w:sz="0" w:space="0" w:color="auto"/>
        <w:bottom w:val="none" w:sz="0" w:space="0" w:color="auto"/>
        <w:right w:val="none" w:sz="0" w:space="0" w:color="auto"/>
      </w:divBdr>
    </w:div>
    <w:div w:id="810168571">
      <w:bodyDiv w:val="1"/>
      <w:marLeft w:val="0"/>
      <w:marRight w:val="0"/>
      <w:marTop w:val="0"/>
      <w:marBottom w:val="0"/>
      <w:divBdr>
        <w:top w:val="none" w:sz="0" w:space="0" w:color="auto"/>
        <w:left w:val="none" w:sz="0" w:space="0" w:color="auto"/>
        <w:bottom w:val="none" w:sz="0" w:space="0" w:color="auto"/>
        <w:right w:val="none" w:sz="0" w:space="0" w:color="auto"/>
      </w:divBdr>
    </w:div>
    <w:div w:id="811211604">
      <w:bodyDiv w:val="1"/>
      <w:marLeft w:val="0"/>
      <w:marRight w:val="0"/>
      <w:marTop w:val="0"/>
      <w:marBottom w:val="0"/>
      <w:divBdr>
        <w:top w:val="none" w:sz="0" w:space="0" w:color="auto"/>
        <w:left w:val="none" w:sz="0" w:space="0" w:color="auto"/>
        <w:bottom w:val="none" w:sz="0" w:space="0" w:color="auto"/>
        <w:right w:val="none" w:sz="0" w:space="0" w:color="auto"/>
      </w:divBdr>
    </w:div>
    <w:div w:id="812135521">
      <w:bodyDiv w:val="1"/>
      <w:marLeft w:val="0"/>
      <w:marRight w:val="0"/>
      <w:marTop w:val="0"/>
      <w:marBottom w:val="0"/>
      <w:divBdr>
        <w:top w:val="none" w:sz="0" w:space="0" w:color="auto"/>
        <w:left w:val="none" w:sz="0" w:space="0" w:color="auto"/>
        <w:bottom w:val="none" w:sz="0" w:space="0" w:color="auto"/>
        <w:right w:val="none" w:sz="0" w:space="0" w:color="auto"/>
      </w:divBdr>
    </w:div>
    <w:div w:id="813915610">
      <w:bodyDiv w:val="1"/>
      <w:marLeft w:val="0"/>
      <w:marRight w:val="0"/>
      <w:marTop w:val="0"/>
      <w:marBottom w:val="0"/>
      <w:divBdr>
        <w:top w:val="none" w:sz="0" w:space="0" w:color="auto"/>
        <w:left w:val="none" w:sz="0" w:space="0" w:color="auto"/>
        <w:bottom w:val="none" w:sz="0" w:space="0" w:color="auto"/>
        <w:right w:val="none" w:sz="0" w:space="0" w:color="auto"/>
      </w:divBdr>
    </w:div>
    <w:div w:id="813983584">
      <w:bodyDiv w:val="1"/>
      <w:marLeft w:val="0"/>
      <w:marRight w:val="0"/>
      <w:marTop w:val="0"/>
      <w:marBottom w:val="0"/>
      <w:divBdr>
        <w:top w:val="none" w:sz="0" w:space="0" w:color="auto"/>
        <w:left w:val="none" w:sz="0" w:space="0" w:color="auto"/>
        <w:bottom w:val="none" w:sz="0" w:space="0" w:color="auto"/>
        <w:right w:val="none" w:sz="0" w:space="0" w:color="auto"/>
      </w:divBdr>
    </w:div>
    <w:div w:id="814877857">
      <w:bodyDiv w:val="1"/>
      <w:marLeft w:val="0"/>
      <w:marRight w:val="0"/>
      <w:marTop w:val="0"/>
      <w:marBottom w:val="0"/>
      <w:divBdr>
        <w:top w:val="none" w:sz="0" w:space="0" w:color="auto"/>
        <w:left w:val="none" w:sz="0" w:space="0" w:color="auto"/>
        <w:bottom w:val="none" w:sz="0" w:space="0" w:color="auto"/>
        <w:right w:val="none" w:sz="0" w:space="0" w:color="auto"/>
      </w:divBdr>
    </w:div>
    <w:div w:id="817500699">
      <w:bodyDiv w:val="1"/>
      <w:marLeft w:val="0"/>
      <w:marRight w:val="0"/>
      <w:marTop w:val="0"/>
      <w:marBottom w:val="0"/>
      <w:divBdr>
        <w:top w:val="none" w:sz="0" w:space="0" w:color="auto"/>
        <w:left w:val="none" w:sz="0" w:space="0" w:color="auto"/>
        <w:bottom w:val="none" w:sz="0" w:space="0" w:color="auto"/>
        <w:right w:val="none" w:sz="0" w:space="0" w:color="auto"/>
      </w:divBdr>
    </w:div>
    <w:div w:id="818305915">
      <w:bodyDiv w:val="1"/>
      <w:marLeft w:val="0"/>
      <w:marRight w:val="0"/>
      <w:marTop w:val="0"/>
      <w:marBottom w:val="0"/>
      <w:divBdr>
        <w:top w:val="none" w:sz="0" w:space="0" w:color="auto"/>
        <w:left w:val="none" w:sz="0" w:space="0" w:color="auto"/>
        <w:bottom w:val="none" w:sz="0" w:space="0" w:color="auto"/>
        <w:right w:val="none" w:sz="0" w:space="0" w:color="auto"/>
      </w:divBdr>
    </w:div>
    <w:div w:id="819075857">
      <w:bodyDiv w:val="1"/>
      <w:marLeft w:val="0"/>
      <w:marRight w:val="0"/>
      <w:marTop w:val="0"/>
      <w:marBottom w:val="0"/>
      <w:divBdr>
        <w:top w:val="none" w:sz="0" w:space="0" w:color="auto"/>
        <w:left w:val="none" w:sz="0" w:space="0" w:color="auto"/>
        <w:bottom w:val="none" w:sz="0" w:space="0" w:color="auto"/>
        <w:right w:val="none" w:sz="0" w:space="0" w:color="auto"/>
      </w:divBdr>
    </w:div>
    <w:div w:id="819730179">
      <w:bodyDiv w:val="1"/>
      <w:marLeft w:val="0"/>
      <w:marRight w:val="0"/>
      <w:marTop w:val="0"/>
      <w:marBottom w:val="0"/>
      <w:divBdr>
        <w:top w:val="none" w:sz="0" w:space="0" w:color="auto"/>
        <w:left w:val="none" w:sz="0" w:space="0" w:color="auto"/>
        <w:bottom w:val="none" w:sz="0" w:space="0" w:color="auto"/>
        <w:right w:val="none" w:sz="0" w:space="0" w:color="auto"/>
      </w:divBdr>
    </w:div>
    <w:div w:id="819738530">
      <w:bodyDiv w:val="1"/>
      <w:marLeft w:val="0"/>
      <w:marRight w:val="0"/>
      <w:marTop w:val="0"/>
      <w:marBottom w:val="0"/>
      <w:divBdr>
        <w:top w:val="none" w:sz="0" w:space="0" w:color="auto"/>
        <w:left w:val="none" w:sz="0" w:space="0" w:color="auto"/>
        <w:bottom w:val="none" w:sz="0" w:space="0" w:color="auto"/>
        <w:right w:val="none" w:sz="0" w:space="0" w:color="auto"/>
      </w:divBdr>
    </w:div>
    <w:div w:id="820267646">
      <w:bodyDiv w:val="1"/>
      <w:marLeft w:val="0"/>
      <w:marRight w:val="0"/>
      <w:marTop w:val="0"/>
      <w:marBottom w:val="0"/>
      <w:divBdr>
        <w:top w:val="none" w:sz="0" w:space="0" w:color="auto"/>
        <w:left w:val="none" w:sz="0" w:space="0" w:color="auto"/>
        <w:bottom w:val="none" w:sz="0" w:space="0" w:color="auto"/>
        <w:right w:val="none" w:sz="0" w:space="0" w:color="auto"/>
      </w:divBdr>
    </w:div>
    <w:div w:id="820268870">
      <w:bodyDiv w:val="1"/>
      <w:marLeft w:val="0"/>
      <w:marRight w:val="0"/>
      <w:marTop w:val="0"/>
      <w:marBottom w:val="0"/>
      <w:divBdr>
        <w:top w:val="none" w:sz="0" w:space="0" w:color="auto"/>
        <w:left w:val="none" w:sz="0" w:space="0" w:color="auto"/>
        <w:bottom w:val="none" w:sz="0" w:space="0" w:color="auto"/>
        <w:right w:val="none" w:sz="0" w:space="0" w:color="auto"/>
      </w:divBdr>
    </w:div>
    <w:div w:id="820462094">
      <w:bodyDiv w:val="1"/>
      <w:marLeft w:val="0"/>
      <w:marRight w:val="0"/>
      <w:marTop w:val="0"/>
      <w:marBottom w:val="0"/>
      <w:divBdr>
        <w:top w:val="none" w:sz="0" w:space="0" w:color="auto"/>
        <w:left w:val="none" w:sz="0" w:space="0" w:color="auto"/>
        <w:bottom w:val="none" w:sz="0" w:space="0" w:color="auto"/>
        <w:right w:val="none" w:sz="0" w:space="0" w:color="auto"/>
      </w:divBdr>
    </w:div>
    <w:div w:id="820777848">
      <w:bodyDiv w:val="1"/>
      <w:marLeft w:val="0"/>
      <w:marRight w:val="0"/>
      <w:marTop w:val="0"/>
      <w:marBottom w:val="0"/>
      <w:divBdr>
        <w:top w:val="none" w:sz="0" w:space="0" w:color="auto"/>
        <w:left w:val="none" w:sz="0" w:space="0" w:color="auto"/>
        <w:bottom w:val="none" w:sz="0" w:space="0" w:color="auto"/>
        <w:right w:val="none" w:sz="0" w:space="0" w:color="auto"/>
      </w:divBdr>
    </w:div>
    <w:div w:id="823470219">
      <w:bodyDiv w:val="1"/>
      <w:marLeft w:val="0"/>
      <w:marRight w:val="0"/>
      <w:marTop w:val="0"/>
      <w:marBottom w:val="0"/>
      <w:divBdr>
        <w:top w:val="none" w:sz="0" w:space="0" w:color="auto"/>
        <w:left w:val="none" w:sz="0" w:space="0" w:color="auto"/>
        <w:bottom w:val="none" w:sz="0" w:space="0" w:color="auto"/>
        <w:right w:val="none" w:sz="0" w:space="0" w:color="auto"/>
      </w:divBdr>
    </w:div>
    <w:div w:id="827593877">
      <w:bodyDiv w:val="1"/>
      <w:marLeft w:val="0"/>
      <w:marRight w:val="0"/>
      <w:marTop w:val="0"/>
      <w:marBottom w:val="0"/>
      <w:divBdr>
        <w:top w:val="none" w:sz="0" w:space="0" w:color="auto"/>
        <w:left w:val="none" w:sz="0" w:space="0" w:color="auto"/>
        <w:bottom w:val="none" w:sz="0" w:space="0" w:color="auto"/>
        <w:right w:val="none" w:sz="0" w:space="0" w:color="auto"/>
      </w:divBdr>
    </w:div>
    <w:div w:id="828593051">
      <w:bodyDiv w:val="1"/>
      <w:marLeft w:val="0"/>
      <w:marRight w:val="0"/>
      <w:marTop w:val="0"/>
      <w:marBottom w:val="0"/>
      <w:divBdr>
        <w:top w:val="none" w:sz="0" w:space="0" w:color="auto"/>
        <w:left w:val="none" w:sz="0" w:space="0" w:color="auto"/>
        <w:bottom w:val="none" w:sz="0" w:space="0" w:color="auto"/>
        <w:right w:val="none" w:sz="0" w:space="0" w:color="auto"/>
      </w:divBdr>
    </w:div>
    <w:div w:id="830564145">
      <w:bodyDiv w:val="1"/>
      <w:marLeft w:val="0"/>
      <w:marRight w:val="0"/>
      <w:marTop w:val="0"/>
      <w:marBottom w:val="0"/>
      <w:divBdr>
        <w:top w:val="none" w:sz="0" w:space="0" w:color="auto"/>
        <w:left w:val="none" w:sz="0" w:space="0" w:color="auto"/>
        <w:bottom w:val="none" w:sz="0" w:space="0" w:color="auto"/>
        <w:right w:val="none" w:sz="0" w:space="0" w:color="auto"/>
      </w:divBdr>
    </w:div>
    <w:div w:id="831214138">
      <w:bodyDiv w:val="1"/>
      <w:marLeft w:val="0"/>
      <w:marRight w:val="0"/>
      <w:marTop w:val="0"/>
      <w:marBottom w:val="0"/>
      <w:divBdr>
        <w:top w:val="none" w:sz="0" w:space="0" w:color="auto"/>
        <w:left w:val="none" w:sz="0" w:space="0" w:color="auto"/>
        <w:bottom w:val="none" w:sz="0" w:space="0" w:color="auto"/>
        <w:right w:val="none" w:sz="0" w:space="0" w:color="auto"/>
      </w:divBdr>
    </w:div>
    <w:div w:id="831532560">
      <w:bodyDiv w:val="1"/>
      <w:marLeft w:val="0"/>
      <w:marRight w:val="0"/>
      <w:marTop w:val="0"/>
      <w:marBottom w:val="0"/>
      <w:divBdr>
        <w:top w:val="none" w:sz="0" w:space="0" w:color="auto"/>
        <w:left w:val="none" w:sz="0" w:space="0" w:color="auto"/>
        <w:bottom w:val="none" w:sz="0" w:space="0" w:color="auto"/>
        <w:right w:val="none" w:sz="0" w:space="0" w:color="auto"/>
      </w:divBdr>
    </w:div>
    <w:div w:id="831723582">
      <w:bodyDiv w:val="1"/>
      <w:marLeft w:val="0"/>
      <w:marRight w:val="0"/>
      <w:marTop w:val="0"/>
      <w:marBottom w:val="0"/>
      <w:divBdr>
        <w:top w:val="none" w:sz="0" w:space="0" w:color="auto"/>
        <w:left w:val="none" w:sz="0" w:space="0" w:color="auto"/>
        <w:bottom w:val="none" w:sz="0" w:space="0" w:color="auto"/>
        <w:right w:val="none" w:sz="0" w:space="0" w:color="auto"/>
      </w:divBdr>
    </w:div>
    <w:div w:id="831987491">
      <w:bodyDiv w:val="1"/>
      <w:marLeft w:val="0"/>
      <w:marRight w:val="0"/>
      <w:marTop w:val="0"/>
      <w:marBottom w:val="0"/>
      <w:divBdr>
        <w:top w:val="none" w:sz="0" w:space="0" w:color="auto"/>
        <w:left w:val="none" w:sz="0" w:space="0" w:color="auto"/>
        <w:bottom w:val="none" w:sz="0" w:space="0" w:color="auto"/>
        <w:right w:val="none" w:sz="0" w:space="0" w:color="auto"/>
      </w:divBdr>
    </w:div>
    <w:div w:id="832263494">
      <w:bodyDiv w:val="1"/>
      <w:marLeft w:val="0"/>
      <w:marRight w:val="0"/>
      <w:marTop w:val="0"/>
      <w:marBottom w:val="0"/>
      <w:divBdr>
        <w:top w:val="none" w:sz="0" w:space="0" w:color="auto"/>
        <w:left w:val="none" w:sz="0" w:space="0" w:color="auto"/>
        <w:bottom w:val="none" w:sz="0" w:space="0" w:color="auto"/>
        <w:right w:val="none" w:sz="0" w:space="0" w:color="auto"/>
      </w:divBdr>
    </w:div>
    <w:div w:id="832331860">
      <w:bodyDiv w:val="1"/>
      <w:marLeft w:val="0"/>
      <w:marRight w:val="0"/>
      <w:marTop w:val="0"/>
      <w:marBottom w:val="0"/>
      <w:divBdr>
        <w:top w:val="none" w:sz="0" w:space="0" w:color="auto"/>
        <w:left w:val="none" w:sz="0" w:space="0" w:color="auto"/>
        <w:bottom w:val="none" w:sz="0" w:space="0" w:color="auto"/>
        <w:right w:val="none" w:sz="0" w:space="0" w:color="auto"/>
      </w:divBdr>
    </w:div>
    <w:div w:id="833647138">
      <w:bodyDiv w:val="1"/>
      <w:marLeft w:val="0"/>
      <w:marRight w:val="0"/>
      <w:marTop w:val="0"/>
      <w:marBottom w:val="0"/>
      <w:divBdr>
        <w:top w:val="none" w:sz="0" w:space="0" w:color="auto"/>
        <w:left w:val="none" w:sz="0" w:space="0" w:color="auto"/>
        <w:bottom w:val="none" w:sz="0" w:space="0" w:color="auto"/>
        <w:right w:val="none" w:sz="0" w:space="0" w:color="auto"/>
      </w:divBdr>
    </w:div>
    <w:div w:id="834302668">
      <w:bodyDiv w:val="1"/>
      <w:marLeft w:val="0"/>
      <w:marRight w:val="0"/>
      <w:marTop w:val="0"/>
      <w:marBottom w:val="0"/>
      <w:divBdr>
        <w:top w:val="none" w:sz="0" w:space="0" w:color="auto"/>
        <w:left w:val="none" w:sz="0" w:space="0" w:color="auto"/>
        <w:bottom w:val="none" w:sz="0" w:space="0" w:color="auto"/>
        <w:right w:val="none" w:sz="0" w:space="0" w:color="auto"/>
      </w:divBdr>
    </w:div>
    <w:div w:id="835344653">
      <w:bodyDiv w:val="1"/>
      <w:marLeft w:val="0"/>
      <w:marRight w:val="0"/>
      <w:marTop w:val="0"/>
      <w:marBottom w:val="0"/>
      <w:divBdr>
        <w:top w:val="none" w:sz="0" w:space="0" w:color="auto"/>
        <w:left w:val="none" w:sz="0" w:space="0" w:color="auto"/>
        <w:bottom w:val="none" w:sz="0" w:space="0" w:color="auto"/>
        <w:right w:val="none" w:sz="0" w:space="0" w:color="auto"/>
      </w:divBdr>
    </w:div>
    <w:div w:id="838933503">
      <w:bodyDiv w:val="1"/>
      <w:marLeft w:val="0"/>
      <w:marRight w:val="0"/>
      <w:marTop w:val="0"/>
      <w:marBottom w:val="0"/>
      <w:divBdr>
        <w:top w:val="none" w:sz="0" w:space="0" w:color="auto"/>
        <w:left w:val="none" w:sz="0" w:space="0" w:color="auto"/>
        <w:bottom w:val="none" w:sz="0" w:space="0" w:color="auto"/>
        <w:right w:val="none" w:sz="0" w:space="0" w:color="auto"/>
      </w:divBdr>
    </w:div>
    <w:div w:id="843007712">
      <w:bodyDiv w:val="1"/>
      <w:marLeft w:val="0"/>
      <w:marRight w:val="0"/>
      <w:marTop w:val="0"/>
      <w:marBottom w:val="0"/>
      <w:divBdr>
        <w:top w:val="none" w:sz="0" w:space="0" w:color="auto"/>
        <w:left w:val="none" w:sz="0" w:space="0" w:color="auto"/>
        <w:bottom w:val="none" w:sz="0" w:space="0" w:color="auto"/>
        <w:right w:val="none" w:sz="0" w:space="0" w:color="auto"/>
      </w:divBdr>
    </w:div>
    <w:div w:id="843589787">
      <w:bodyDiv w:val="1"/>
      <w:marLeft w:val="0"/>
      <w:marRight w:val="0"/>
      <w:marTop w:val="0"/>
      <w:marBottom w:val="0"/>
      <w:divBdr>
        <w:top w:val="none" w:sz="0" w:space="0" w:color="auto"/>
        <w:left w:val="none" w:sz="0" w:space="0" w:color="auto"/>
        <w:bottom w:val="none" w:sz="0" w:space="0" w:color="auto"/>
        <w:right w:val="none" w:sz="0" w:space="0" w:color="auto"/>
      </w:divBdr>
    </w:div>
    <w:div w:id="843786899">
      <w:bodyDiv w:val="1"/>
      <w:marLeft w:val="0"/>
      <w:marRight w:val="0"/>
      <w:marTop w:val="0"/>
      <w:marBottom w:val="0"/>
      <w:divBdr>
        <w:top w:val="none" w:sz="0" w:space="0" w:color="auto"/>
        <w:left w:val="none" w:sz="0" w:space="0" w:color="auto"/>
        <w:bottom w:val="none" w:sz="0" w:space="0" w:color="auto"/>
        <w:right w:val="none" w:sz="0" w:space="0" w:color="auto"/>
      </w:divBdr>
    </w:div>
    <w:div w:id="844706998">
      <w:bodyDiv w:val="1"/>
      <w:marLeft w:val="0"/>
      <w:marRight w:val="0"/>
      <w:marTop w:val="0"/>
      <w:marBottom w:val="0"/>
      <w:divBdr>
        <w:top w:val="none" w:sz="0" w:space="0" w:color="auto"/>
        <w:left w:val="none" w:sz="0" w:space="0" w:color="auto"/>
        <w:bottom w:val="none" w:sz="0" w:space="0" w:color="auto"/>
        <w:right w:val="none" w:sz="0" w:space="0" w:color="auto"/>
      </w:divBdr>
    </w:div>
    <w:div w:id="845825987">
      <w:bodyDiv w:val="1"/>
      <w:marLeft w:val="0"/>
      <w:marRight w:val="0"/>
      <w:marTop w:val="0"/>
      <w:marBottom w:val="0"/>
      <w:divBdr>
        <w:top w:val="none" w:sz="0" w:space="0" w:color="auto"/>
        <w:left w:val="none" w:sz="0" w:space="0" w:color="auto"/>
        <w:bottom w:val="none" w:sz="0" w:space="0" w:color="auto"/>
        <w:right w:val="none" w:sz="0" w:space="0" w:color="auto"/>
      </w:divBdr>
    </w:div>
    <w:div w:id="846332839">
      <w:bodyDiv w:val="1"/>
      <w:marLeft w:val="0"/>
      <w:marRight w:val="0"/>
      <w:marTop w:val="0"/>
      <w:marBottom w:val="0"/>
      <w:divBdr>
        <w:top w:val="none" w:sz="0" w:space="0" w:color="auto"/>
        <w:left w:val="none" w:sz="0" w:space="0" w:color="auto"/>
        <w:bottom w:val="none" w:sz="0" w:space="0" w:color="auto"/>
        <w:right w:val="none" w:sz="0" w:space="0" w:color="auto"/>
      </w:divBdr>
    </w:div>
    <w:div w:id="846362063">
      <w:bodyDiv w:val="1"/>
      <w:marLeft w:val="0"/>
      <w:marRight w:val="0"/>
      <w:marTop w:val="0"/>
      <w:marBottom w:val="0"/>
      <w:divBdr>
        <w:top w:val="none" w:sz="0" w:space="0" w:color="auto"/>
        <w:left w:val="none" w:sz="0" w:space="0" w:color="auto"/>
        <w:bottom w:val="none" w:sz="0" w:space="0" w:color="auto"/>
        <w:right w:val="none" w:sz="0" w:space="0" w:color="auto"/>
      </w:divBdr>
    </w:div>
    <w:div w:id="846868532">
      <w:bodyDiv w:val="1"/>
      <w:marLeft w:val="0"/>
      <w:marRight w:val="0"/>
      <w:marTop w:val="0"/>
      <w:marBottom w:val="0"/>
      <w:divBdr>
        <w:top w:val="none" w:sz="0" w:space="0" w:color="auto"/>
        <w:left w:val="none" w:sz="0" w:space="0" w:color="auto"/>
        <w:bottom w:val="none" w:sz="0" w:space="0" w:color="auto"/>
        <w:right w:val="none" w:sz="0" w:space="0" w:color="auto"/>
      </w:divBdr>
    </w:div>
    <w:div w:id="846871510">
      <w:bodyDiv w:val="1"/>
      <w:marLeft w:val="0"/>
      <w:marRight w:val="0"/>
      <w:marTop w:val="0"/>
      <w:marBottom w:val="0"/>
      <w:divBdr>
        <w:top w:val="none" w:sz="0" w:space="0" w:color="auto"/>
        <w:left w:val="none" w:sz="0" w:space="0" w:color="auto"/>
        <w:bottom w:val="none" w:sz="0" w:space="0" w:color="auto"/>
        <w:right w:val="none" w:sz="0" w:space="0" w:color="auto"/>
      </w:divBdr>
    </w:div>
    <w:div w:id="847720774">
      <w:bodyDiv w:val="1"/>
      <w:marLeft w:val="0"/>
      <w:marRight w:val="0"/>
      <w:marTop w:val="0"/>
      <w:marBottom w:val="0"/>
      <w:divBdr>
        <w:top w:val="none" w:sz="0" w:space="0" w:color="auto"/>
        <w:left w:val="none" w:sz="0" w:space="0" w:color="auto"/>
        <w:bottom w:val="none" w:sz="0" w:space="0" w:color="auto"/>
        <w:right w:val="none" w:sz="0" w:space="0" w:color="auto"/>
      </w:divBdr>
    </w:div>
    <w:div w:id="848368948">
      <w:bodyDiv w:val="1"/>
      <w:marLeft w:val="0"/>
      <w:marRight w:val="0"/>
      <w:marTop w:val="0"/>
      <w:marBottom w:val="0"/>
      <w:divBdr>
        <w:top w:val="none" w:sz="0" w:space="0" w:color="auto"/>
        <w:left w:val="none" w:sz="0" w:space="0" w:color="auto"/>
        <w:bottom w:val="none" w:sz="0" w:space="0" w:color="auto"/>
        <w:right w:val="none" w:sz="0" w:space="0" w:color="auto"/>
      </w:divBdr>
    </w:div>
    <w:div w:id="850491494">
      <w:bodyDiv w:val="1"/>
      <w:marLeft w:val="0"/>
      <w:marRight w:val="0"/>
      <w:marTop w:val="0"/>
      <w:marBottom w:val="0"/>
      <w:divBdr>
        <w:top w:val="none" w:sz="0" w:space="0" w:color="auto"/>
        <w:left w:val="none" w:sz="0" w:space="0" w:color="auto"/>
        <w:bottom w:val="none" w:sz="0" w:space="0" w:color="auto"/>
        <w:right w:val="none" w:sz="0" w:space="0" w:color="auto"/>
      </w:divBdr>
    </w:div>
    <w:div w:id="852572077">
      <w:bodyDiv w:val="1"/>
      <w:marLeft w:val="0"/>
      <w:marRight w:val="0"/>
      <w:marTop w:val="0"/>
      <w:marBottom w:val="0"/>
      <w:divBdr>
        <w:top w:val="none" w:sz="0" w:space="0" w:color="auto"/>
        <w:left w:val="none" w:sz="0" w:space="0" w:color="auto"/>
        <w:bottom w:val="none" w:sz="0" w:space="0" w:color="auto"/>
        <w:right w:val="none" w:sz="0" w:space="0" w:color="auto"/>
      </w:divBdr>
    </w:div>
    <w:div w:id="853424865">
      <w:bodyDiv w:val="1"/>
      <w:marLeft w:val="0"/>
      <w:marRight w:val="0"/>
      <w:marTop w:val="0"/>
      <w:marBottom w:val="0"/>
      <w:divBdr>
        <w:top w:val="none" w:sz="0" w:space="0" w:color="auto"/>
        <w:left w:val="none" w:sz="0" w:space="0" w:color="auto"/>
        <w:bottom w:val="none" w:sz="0" w:space="0" w:color="auto"/>
        <w:right w:val="none" w:sz="0" w:space="0" w:color="auto"/>
      </w:divBdr>
    </w:div>
    <w:div w:id="854927823">
      <w:bodyDiv w:val="1"/>
      <w:marLeft w:val="0"/>
      <w:marRight w:val="0"/>
      <w:marTop w:val="0"/>
      <w:marBottom w:val="0"/>
      <w:divBdr>
        <w:top w:val="none" w:sz="0" w:space="0" w:color="auto"/>
        <w:left w:val="none" w:sz="0" w:space="0" w:color="auto"/>
        <w:bottom w:val="none" w:sz="0" w:space="0" w:color="auto"/>
        <w:right w:val="none" w:sz="0" w:space="0" w:color="auto"/>
      </w:divBdr>
    </w:div>
    <w:div w:id="855730299">
      <w:bodyDiv w:val="1"/>
      <w:marLeft w:val="0"/>
      <w:marRight w:val="0"/>
      <w:marTop w:val="0"/>
      <w:marBottom w:val="0"/>
      <w:divBdr>
        <w:top w:val="none" w:sz="0" w:space="0" w:color="auto"/>
        <w:left w:val="none" w:sz="0" w:space="0" w:color="auto"/>
        <w:bottom w:val="none" w:sz="0" w:space="0" w:color="auto"/>
        <w:right w:val="none" w:sz="0" w:space="0" w:color="auto"/>
      </w:divBdr>
    </w:div>
    <w:div w:id="856117146">
      <w:bodyDiv w:val="1"/>
      <w:marLeft w:val="0"/>
      <w:marRight w:val="0"/>
      <w:marTop w:val="0"/>
      <w:marBottom w:val="0"/>
      <w:divBdr>
        <w:top w:val="none" w:sz="0" w:space="0" w:color="auto"/>
        <w:left w:val="none" w:sz="0" w:space="0" w:color="auto"/>
        <w:bottom w:val="none" w:sz="0" w:space="0" w:color="auto"/>
        <w:right w:val="none" w:sz="0" w:space="0" w:color="auto"/>
      </w:divBdr>
    </w:div>
    <w:div w:id="862480085">
      <w:bodyDiv w:val="1"/>
      <w:marLeft w:val="0"/>
      <w:marRight w:val="0"/>
      <w:marTop w:val="0"/>
      <w:marBottom w:val="0"/>
      <w:divBdr>
        <w:top w:val="none" w:sz="0" w:space="0" w:color="auto"/>
        <w:left w:val="none" w:sz="0" w:space="0" w:color="auto"/>
        <w:bottom w:val="none" w:sz="0" w:space="0" w:color="auto"/>
        <w:right w:val="none" w:sz="0" w:space="0" w:color="auto"/>
      </w:divBdr>
    </w:div>
    <w:div w:id="863130979">
      <w:bodyDiv w:val="1"/>
      <w:marLeft w:val="0"/>
      <w:marRight w:val="0"/>
      <w:marTop w:val="0"/>
      <w:marBottom w:val="0"/>
      <w:divBdr>
        <w:top w:val="none" w:sz="0" w:space="0" w:color="auto"/>
        <w:left w:val="none" w:sz="0" w:space="0" w:color="auto"/>
        <w:bottom w:val="none" w:sz="0" w:space="0" w:color="auto"/>
        <w:right w:val="none" w:sz="0" w:space="0" w:color="auto"/>
      </w:divBdr>
    </w:div>
    <w:div w:id="863910127">
      <w:bodyDiv w:val="1"/>
      <w:marLeft w:val="0"/>
      <w:marRight w:val="0"/>
      <w:marTop w:val="0"/>
      <w:marBottom w:val="0"/>
      <w:divBdr>
        <w:top w:val="none" w:sz="0" w:space="0" w:color="auto"/>
        <w:left w:val="none" w:sz="0" w:space="0" w:color="auto"/>
        <w:bottom w:val="none" w:sz="0" w:space="0" w:color="auto"/>
        <w:right w:val="none" w:sz="0" w:space="0" w:color="auto"/>
      </w:divBdr>
    </w:div>
    <w:div w:id="864439081">
      <w:bodyDiv w:val="1"/>
      <w:marLeft w:val="0"/>
      <w:marRight w:val="0"/>
      <w:marTop w:val="0"/>
      <w:marBottom w:val="0"/>
      <w:divBdr>
        <w:top w:val="none" w:sz="0" w:space="0" w:color="auto"/>
        <w:left w:val="none" w:sz="0" w:space="0" w:color="auto"/>
        <w:bottom w:val="none" w:sz="0" w:space="0" w:color="auto"/>
        <w:right w:val="none" w:sz="0" w:space="0" w:color="auto"/>
      </w:divBdr>
    </w:div>
    <w:div w:id="865564368">
      <w:bodyDiv w:val="1"/>
      <w:marLeft w:val="0"/>
      <w:marRight w:val="0"/>
      <w:marTop w:val="0"/>
      <w:marBottom w:val="0"/>
      <w:divBdr>
        <w:top w:val="none" w:sz="0" w:space="0" w:color="auto"/>
        <w:left w:val="none" w:sz="0" w:space="0" w:color="auto"/>
        <w:bottom w:val="none" w:sz="0" w:space="0" w:color="auto"/>
        <w:right w:val="none" w:sz="0" w:space="0" w:color="auto"/>
      </w:divBdr>
    </w:div>
    <w:div w:id="868109612">
      <w:bodyDiv w:val="1"/>
      <w:marLeft w:val="0"/>
      <w:marRight w:val="0"/>
      <w:marTop w:val="0"/>
      <w:marBottom w:val="0"/>
      <w:divBdr>
        <w:top w:val="none" w:sz="0" w:space="0" w:color="auto"/>
        <w:left w:val="none" w:sz="0" w:space="0" w:color="auto"/>
        <w:bottom w:val="none" w:sz="0" w:space="0" w:color="auto"/>
        <w:right w:val="none" w:sz="0" w:space="0" w:color="auto"/>
      </w:divBdr>
    </w:div>
    <w:div w:id="868253037">
      <w:bodyDiv w:val="1"/>
      <w:marLeft w:val="0"/>
      <w:marRight w:val="0"/>
      <w:marTop w:val="0"/>
      <w:marBottom w:val="0"/>
      <w:divBdr>
        <w:top w:val="none" w:sz="0" w:space="0" w:color="auto"/>
        <w:left w:val="none" w:sz="0" w:space="0" w:color="auto"/>
        <w:bottom w:val="none" w:sz="0" w:space="0" w:color="auto"/>
        <w:right w:val="none" w:sz="0" w:space="0" w:color="auto"/>
      </w:divBdr>
    </w:div>
    <w:div w:id="868447971">
      <w:bodyDiv w:val="1"/>
      <w:marLeft w:val="0"/>
      <w:marRight w:val="0"/>
      <w:marTop w:val="0"/>
      <w:marBottom w:val="0"/>
      <w:divBdr>
        <w:top w:val="none" w:sz="0" w:space="0" w:color="auto"/>
        <w:left w:val="none" w:sz="0" w:space="0" w:color="auto"/>
        <w:bottom w:val="none" w:sz="0" w:space="0" w:color="auto"/>
        <w:right w:val="none" w:sz="0" w:space="0" w:color="auto"/>
      </w:divBdr>
    </w:div>
    <w:div w:id="868645046">
      <w:bodyDiv w:val="1"/>
      <w:marLeft w:val="0"/>
      <w:marRight w:val="0"/>
      <w:marTop w:val="0"/>
      <w:marBottom w:val="0"/>
      <w:divBdr>
        <w:top w:val="none" w:sz="0" w:space="0" w:color="auto"/>
        <w:left w:val="none" w:sz="0" w:space="0" w:color="auto"/>
        <w:bottom w:val="none" w:sz="0" w:space="0" w:color="auto"/>
        <w:right w:val="none" w:sz="0" w:space="0" w:color="auto"/>
      </w:divBdr>
    </w:div>
    <w:div w:id="868876726">
      <w:bodyDiv w:val="1"/>
      <w:marLeft w:val="0"/>
      <w:marRight w:val="0"/>
      <w:marTop w:val="0"/>
      <w:marBottom w:val="0"/>
      <w:divBdr>
        <w:top w:val="none" w:sz="0" w:space="0" w:color="auto"/>
        <w:left w:val="none" w:sz="0" w:space="0" w:color="auto"/>
        <w:bottom w:val="none" w:sz="0" w:space="0" w:color="auto"/>
        <w:right w:val="none" w:sz="0" w:space="0" w:color="auto"/>
      </w:divBdr>
    </w:div>
    <w:div w:id="871304883">
      <w:bodyDiv w:val="1"/>
      <w:marLeft w:val="0"/>
      <w:marRight w:val="0"/>
      <w:marTop w:val="0"/>
      <w:marBottom w:val="0"/>
      <w:divBdr>
        <w:top w:val="none" w:sz="0" w:space="0" w:color="auto"/>
        <w:left w:val="none" w:sz="0" w:space="0" w:color="auto"/>
        <w:bottom w:val="none" w:sz="0" w:space="0" w:color="auto"/>
        <w:right w:val="none" w:sz="0" w:space="0" w:color="auto"/>
      </w:divBdr>
    </w:div>
    <w:div w:id="873538856">
      <w:bodyDiv w:val="1"/>
      <w:marLeft w:val="0"/>
      <w:marRight w:val="0"/>
      <w:marTop w:val="0"/>
      <w:marBottom w:val="0"/>
      <w:divBdr>
        <w:top w:val="none" w:sz="0" w:space="0" w:color="auto"/>
        <w:left w:val="none" w:sz="0" w:space="0" w:color="auto"/>
        <w:bottom w:val="none" w:sz="0" w:space="0" w:color="auto"/>
        <w:right w:val="none" w:sz="0" w:space="0" w:color="auto"/>
      </w:divBdr>
    </w:div>
    <w:div w:id="874001031">
      <w:bodyDiv w:val="1"/>
      <w:marLeft w:val="0"/>
      <w:marRight w:val="0"/>
      <w:marTop w:val="0"/>
      <w:marBottom w:val="0"/>
      <w:divBdr>
        <w:top w:val="none" w:sz="0" w:space="0" w:color="auto"/>
        <w:left w:val="none" w:sz="0" w:space="0" w:color="auto"/>
        <w:bottom w:val="none" w:sz="0" w:space="0" w:color="auto"/>
        <w:right w:val="none" w:sz="0" w:space="0" w:color="auto"/>
      </w:divBdr>
    </w:div>
    <w:div w:id="875384626">
      <w:bodyDiv w:val="1"/>
      <w:marLeft w:val="0"/>
      <w:marRight w:val="0"/>
      <w:marTop w:val="0"/>
      <w:marBottom w:val="0"/>
      <w:divBdr>
        <w:top w:val="none" w:sz="0" w:space="0" w:color="auto"/>
        <w:left w:val="none" w:sz="0" w:space="0" w:color="auto"/>
        <w:bottom w:val="none" w:sz="0" w:space="0" w:color="auto"/>
        <w:right w:val="none" w:sz="0" w:space="0" w:color="auto"/>
      </w:divBdr>
    </w:div>
    <w:div w:id="875507610">
      <w:bodyDiv w:val="1"/>
      <w:marLeft w:val="0"/>
      <w:marRight w:val="0"/>
      <w:marTop w:val="0"/>
      <w:marBottom w:val="0"/>
      <w:divBdr>
        <w:top w:val="none" w:sz="0" w:space="0" w:color="auto"/>
        <w:left w:val="none" w:sz="0" w:space="0" w:color="auto"/>
        <w:bottom w:val="none" w:sz="0" w:space="0" w:color="auto"/>
        <w:right w:val="none" w:sz="0" w:space="0" w:color="auto"/>
      </w:divBdr>
    </w:div>
    <w:div w:id="875627613">
      <w:bodyDiv w:val="1"/>
      <w:marLeft w:val="0"/>
      <w:marRight w:val="0"/>
      <w:marTop w:val="0"/>
      <w:marBottom w:val="0"/>
      <w:divBdr>
        <w:top w:val="none" w:sz="0" w:space="0" w:color="auto"/>
        <w:left w:val="none" w:sz="0" w:space="0" w:color="auto"/>
        <w:bottom w:val="none" w:sz="0" w:space="0" w:color="auto"/>
        <w:right w:val="none" w:sz="0" w:space="0" w:color="auto"/>
      </w:divBdr>
    </w:div>
    <w:div w:id="876240003">
      <w:bodyDiv w:val="1"/>
      <w:marLeft w:val="0"/>
      <w:marRight w:val="0"/>
      <w:marTop w:val="0"/>
      <w:marBottom w:val="0"/>
      <w:divBdr>
        <w:top w:val="none" w:sz="0" w:space="0" w:color="auto"/>
        <w:left w:val="none" w:sz="0" w:space="0" w:color="auto"/>
        <w:bottom w:val="none" w:sz="0" w:space="0" w:color="auto"/>
        <w:right w:val="none" w:sz="0" w:space="0" w:color="auto"/>
      </w:divBdr>
    </w:div>
    <w:div w:id="876888118">
      <w:bodyDiv w:val="1"/>
      <w:marLeft w:val="0"/>
      <w:marRight w:val="0"/>
      <w:marTop w:val="0"/>
      <w:marBottom w:val="0"/>
      <w:divBdr>
        <w:top w:val="none" w:sz="0" w:space="0" w:color="auto"/>
        <w:left w:val="none" w:sz="0" w:space="0" w:color="auto"/>
        <w:bottom w:val="none" w:sz="0" w:space="0" w:color="auto"/>
        <w:right w:val="none" w:sz="0" w:space="0" w:color="auto"/>
      </w:divBdr>
    </w:div>
    <w:div w:id="876896048">
      <w:bodyDiv w:val="1"/>
      <w:marLeft w:val="0"/>
      <w:marRight w:val="0"/>
      <w:marTop w:val="0"/>
      <w:marBottom w:val="0"/>
      <w:divBdr>
        <w:top w:val="none" w:sz="0" w:space="0" w:color="auto"/>
        <w:left w:val="none" w:sz="0" w:space="0" w:color="auto"/>
        <w:bottom w:val="none" w:sz="0" w:space="0" w:color="auto"/>
        <w:right w:val="none" w:sz="0" w:space="0" w:color="auto"/>
      </w:divBdr>
    </w:div>
    <w:div w:id="878933303">
      <w:bodyDiv w:val="1"/>
      <w:marLeft w:val="0"/>
      <w:marRight w:val="0"/>
      <w:marTop w:val="0"/>
      <w:marBottom w:val="0"/>
      <w:divBdr>
        <w:top w:val="none" w:sz="0" w:space="0" w:color="auto"/>
        <w:left w:val="none" w:sz="0" w:space="0" w:color="auto"/>
        <w:bottom w:val="none" w:sz="0" w:space="0" w:color="auto"/>
        <w:right w:val="none" w:sz="0" w:space="0" w:color="auto"/>
      </w:divBdr>
    </w:div>
    <w:div w:id="879435039">
      <w:bodyDiv w:val="1"/>
      <w:marLeft w:val="0"/>
      <w:marRight w:val="0"/>
      <w:marTop w:val="0"/>
      <w:marBottom w:val="0"/>
      <w:divBdr>
        <w:top w:val="none" w:sz="0" w:space="0" w:color="auto"/>
        <w:left w:val="none" w:sz="0" w:space="0" w:color="auto"/>
        <w:bottom w:val="none" w:sz="0" w:space="0" w:color="auto"/>
        <w:right w:val="none" w:sz="0" w:space="0" w:color="auto"/>
      </w:divBdr>
    </w:div>
    <w:div w:id="879972978">
      <w:bodyDiv w:val="1"/>
      <w:marLeft w:val="0"/>
      <w:marRight w:val="0"/>
      <w:marTop w:val="0"/>
      <w:marBottom w:val="0"/>
      <w:divBdr>
        <w:top w:val="none" w:sz="0" w:space="0" w:color="auto"/>
        <w:left w:val="none" w:sz="0" w:space="0" w:color="auto"/>
        <w:bottom w:val="none" w:sz="0" w:space="0" w:color="auto"/>
        <w:right w:val="none" w:sz="0" w:space="0" w:color="auto"/>
      </w:divBdr>
    </w:div>
    <w:div w:id="880286366">
      <w:bodyDiv w:val="1"/>
      <w:marLeft w:val="0"/>
      <w:marRight w:val="0"/>
      <w:marTop w:val="0"/>
      <w:marBottom w:val="0"/>
      <w:divBdr>
        <w:top w:val="none" w:sz="0" w:space="0" w:color="auto"/>
        <w:left w:val="none" w:sz="0" w:space="0" w:color="auto"/>
        <w:bottom w:val="none" w:sz="0" w:space="0" w:color="auto"/>
        <w:right w:val="none" w:sz="0" w:space="0" w:color="auto"/>
      </w:divBdr>
    </w:div>
    <w:div w:id="880360497">
      <w:bodyDiv w:val="1"/>
      <w:marLeft w:val="0"/>
      <w:marRight w:val="0"/>
      <w:marTop w:val="0"/>
      <w:marBottom w:val="0"/>
      <w:divBdr>
        <w:top w:val="none" w:sz="0" w:space="0" w:color="auto"/>
        <w:left w:val="none" w:sz="0" w:space="0" w:color="auto"/>
        <w:bottom w:val="none" w:sz="0" w:space="0" w:color="auto"/>
        <w:right w:val="none" w:sz="0" w:space="0" w:color="auto"/>
      </w:divBdr>
    </w:div>
    <w:div w:id="881988656">
      <w:bodyDiv w:val="1"/>
      <w:marLeft w:val="0"/>
      <w:marRight w:val="0"/>
      <w:marTop w:val="0"/>
      <w:marBottom w:val="0"/>
      <w:divBdr>
        <w:top w:val="none" w:sz="0" w:space="0" w:color="auto"/>
        <w:left w:val="none" w:sz="0" w:space="0" w:color="auto"/>
        <w:bottom w:val="none" w:sz="0" w:space="0" w:color="auto"/>
        <w:right w:val="none" w:sz="0" w:space="0" w:color="auto"/>
      </w:divBdr>
    </w:div>
    <w:div w:id="882059368">
      <w:bodyDiv w:val="1"/>
      <w:marLeft w:val="0"/>
      <w:marRight w:val="0"/>
      <w:marTop w:val="0"/>
      <w:marBottom w:val="0"/>
      <w:divBdr>
        <w:top w:val="none" w:sz="0" w:space="0" w:color="auto"/>
        <w:left w:val="none" w:sz="0" w:space="0" w:color="auto"/>
        <w:bottom w:val="none" w:sz="0" w:space="0" w:color="auto"/>
        <w:right w:val="none" w:sz="0" w:space="0" w:color="auto"/>
      </w:divBdr>
    </w:div>
    <w:div w:id="882254175">
      <w:bodyDiv w:val="1"/>
      <w:marLeft w:val="0"/>
      <w:marRight w:val="0"/>
      <w:marTop w:val="0"/>
      <w:marBottom w:val="0"/>
      <w:divBdr>
        <w:top w:val="none" w:sz="0" w:space="0" w:color="auto"/>
        <w:left w:val="none" w:sz="0" w:space="0" w:color="auto"/>
        <w:bottom w:val="none" w:sz="0" w:space="0" w:color="auto"/>
        <w:right w:val="none" w:sz="0" w:space="0" w:color="auto"/>
      </w:divBdr>
    </w:div>
    <w:div w:id="885142663">
      <w:bodyDiv w:val="1"/>
      <w:marLeft w:val="0"/>
      <w:marRight w:val="0"/>
      <w:marTop w:val="0"/>
      <w:marBottom w:val="0"/>
      <w:divBdr>
        <w:top w:val="none" w:sz="0" w:space="0" w:color="auto"/>
        <w:left w:val="none" w:sz="0" w:space="0" w:color="auto"/>
        <w:bottom w:val="none" w:sz="0" w:space="0" w:color="auto"/>
        <w:right w:val="none" w:sz="0" w:space="0" w:color="auto"/>
      </w:divBdr>
    </w:div>
    <w:div w:id="885722234">
      <w:bodyDiv w:val="1"/>
      <w:marLeft w:val="0"/>
      <w:marRight w:val="0"/>
      <w:marTop w:val="0"/>
      <w:marBottom w:val="0"/>
      <w:divBdr>
        <w:top w:val="none" w:sz="0" w:space="0" w:color="auto"/>
        <w:left w:val="none" w:sz="0" w:space="0" w:color="auto"/>
        <w:bottom w:val="none" w:sz="0" w:space="0" w:color="auto"/>
        <w:right w:val="none" w:sz="0" w:space="0" w:color="auto"/>
      </w:divBdr>
    </w:div>
    <w:div w:id="886264727">
      <w:bodyDiv w:val="1"/>
      <w:marLeft w:val="0"/>
      <w:marRight w:val="0"/>
      <w:marTop w:val="0"/>
      <w:marBottom w:val="0"/>
      <w:divBdr>
        <w:top w:val="none" w:sz="0" w:space="0" w:color="auto"/>
        <w:left w:val="none" w:sz="0" w:space="0" w:color="auto"/>
        <w:bottom w:val="none" w:sz="0" w:space="0" w:color="auto"/>
        <w:right w:val="none" w:sz="0" w:space="0" w:color="auto"/>
      </w:divBdr>
    </w:div>
    <w:div w:id="886380138">
      <w:bodyDiv w:val="1"/>
      <w:marLeft w:val="0"/>
      <w:marRight w:val="0"/>
      <w:marTop w:val="0"/>
      <w:marBottom w:val="0"/>
      <w:divBdr>
        <w:top w:val="none" w:sz="0" w:space="0" w:color="auto"/>
        <w:left w:val="none" w:sz="0" w:space="0" w:color="auto"/>
        <w:bottom w:val="none" w:sz="0" w:space="0" w:color="auto"/>
        <w:right w:val="none" w:sz="0" w:space="0" w:color="auto"/>
      </w:divBdr>
    </w:div>
    <w:div w:id="886915265">
      <w:bodyDiv w:val="1"/>
      <w:marLeft w:val="0"/>
      <w:marRight w:val="0"/>
      <w:marTop w:val="0"/>
      <w:marBottom w:val="0"/>
      <w:divBdr>
        <w:top w:val="none" w:sz="0" w:space="0" w:color="auto"/>
        <w:left w:val="none" w:sz="0" w:space="0" w:color="auto"/>
        <w:bottom w:val="none" w:sz="0" w:space="0" w:color="auto"/>
        <w:right w:val="none" w:sz="0" w:space="0" w:color="auto"/>
      </w:divBdr>
    </w:div>
    <w:div w:id="887495965">
      <w:bodyDiv w:val="1"/>
      <w:marLeft w:val="0"/>
      <w:marRight w:val="0"/>
      <w:marTop w:val="0"/>
      <w:marBottom w:val="0"/>
      <w:divBdr>
        <w:top w:val="none" w:sz="0" w:space="0" w:color="auto"/>
        <w:left w:val="none" w:sz="0" w:space="0" w:color="auto"/>
        <w:bottom w:val="none" w:sz="0" w:space="0" w:color="auto"/>
        <w:right w:val="none" w:sz="0" w:space="0" w:color="auto"/>
      </w:divBdr>
    </w:div>
    <w:div w:id="888034510">
      <w:bodyDiv w:val="1"/>
      <w:marLeft w:val="0"/>
      <w:marRight w:val="0"/>
      <w:marTop w:val="0"/>
      <w:marBottom w:val="0"/>
      <w:divBdr>
        <w:top w:val="none" w:sz="0" w:space="0" w:color="auto"/>
        <w:left w:val="none" w:sz="0" w:space="0" w:color="auto"/>
        <w:bottom w:val="none" w:sz="0" w:space="0" w:color="auto"/>
        <w:right w:val="none" w:sz="0" w:space="0" w:color="auto"/>
      </w:divBdr>
    </w:div>
    <w:div w:id="888106043">
      <w:bodyDiv w:val="1"/>
      <w:marLeft w:val="0"/>
      <w:marRight w:val="0"/>
      <w:marTop w:val="0"/>
      <w:marBottom w:val="0"/>
      <w:divBdr>
        <w:top w:val="none" w:sz="0" w:space="0" w:color="auto"/>
        <w:left w:val="none" w:sz="0" w:space="0" w:color="auto"/>
        <w:bottom w:val="none" w:sz="0" w:space="0" w:color="auto"/>
        <w:right w:val="none" w:sz="0" w:space="0" w:color="auto"/>
      </w:divBdr>
    </w:div>
    <w:div w:id="888373119">
      <w:bodyDiv w:val="1"/>
      <w:marLeft w:val="0"/>
      <w:marRight w:val="0"/>
      <w:marTop w:val="0"/>
      <w:marBottom w:val="0"/>
      <w:divBdr>
        <w:top w:val="none" w:sz="0" w:space="0" w:color="auto"/>
        <w:left w:val="none" w:sz="0" w:space="0" w:color="auto"/>
        <w:bottom w:val="none" w:sz="0" w:space="0" w:color="auto"/>
        <w:right w:val="none" w:sz="0" w:space="0" w:color="auto"/>
      </w:divBdr>
    </w:div>
    <w:div w:id="888419218">
      <w:bodyDiv w:val="1"/>
      <w:marLeft w:val="0"/>
      <w:marRight w:val="0"/>
      <w:marTop w:val="0"/>
      <w:marBottom w:val="0"/>
      <w:divBdr>
        <w:top w:val="none" w:sz="0" w:space="0" w:color="auto"/>
        <w:left w:val="none" w:sz="0" w:space="0" w:color="auto"/>
        <w:bottom w:val="none" w:sz="0" w:space="0" w:color="auto"/>
        <w:right w:val="none" w:sz="0" w:space="0" w:color="auto"/>
      </w:divBdr>
    </w:div>
    <w:div w:id="889028036">
      <w:bodyDiv w:val="1"/>
      <w:marLeft w:val="0"/>
      <w:marRight w:val="0"/>
      <w:marTop w:val="0"/>
      <w:marBottom w:val="0"/>
      <w:divBdr>
        <w:top w:val="none" w:sz="0" w:space="0" w:color="auto"/>
        <w:left w:val="none" w:sz="0" w:space="0" w:color="auto"/>
        <w:bottom w:val="none" w:sz="0" w:space="0" w:color="auto"/>
        <w:right w:val="none" w:sz="0" w:space="0" w:color="auto"/>
      </w:divBdr>
    </w:div>
    <w:div w:id="889459690">
      <w:bodyDiv w:val="1"/>
      <w:marLeft w:val="0"/>
      <w:marRight w:val="0"/>
      <w:marTop w:val="0"/>
      <w:marBottom w:val="0"/>
      <w:divBdr>
        <w:top w:val="none" w:sz="0" w:space="0" w:color="auto"/>
        <w:left w:val="none" w:sz="0" w:space="0" w:color="auto"/>
        <w:bottom w:val="none" w:sz="0" w:space="0" w:color="auto"/>
        <w:right w:val="none" w:sz="0" w:space="0" w:color="auto"/>
      </w:divBdr>
    </w:div>
    <w:div w:id="892350663">
      <w:bodyDiv w:val="1"/>
      <w:marLeft w:val="0"/>
      <w:marRight w:val="0"/>
      <w:marTop w:val="0"/>
      <w:marBottom w:val="0"/>
      <w:divBdr>
        <w:top w:val="none" w:sz="0" w:space="0" w:color="auto"/>
        <w:left w:val="none" w:sz="0" w:space="0" w:color="auto"/>
        <w:bottom w:val="none" w:sz="0" w:space="0" w:color="auto"/>
        <w:right w:val="none" w:sz="0" w:space="0" w:color="auto"/>
      </w:divBdr>
    </w:div>
    <w:div w:id="894046444">
      <w:bodyDiv w:val="1"/>
      <w:marLeft w:val="0"/>
      <w:marRight w:val="0"/>
      <w:marTop w:val="0"/>
      <w:marBottom w:val="0"/>
      <w:divBdr>
        <w:top w:val="none" w:sz="0" w:space="0" w:color="auto"/>
        <w:left w:val="none" w:sz="0" w:space="0" w:color="auto"/>
        <w:bottom w:val="none" w:sz="0" w:space="0" w:color="auto"/>
        <w:right w:val="none" w:sz="0" w:space="0" w:color="auto"/>
      </w:divBdr>
    </w:div>
    <w:div w:id="894700455">
      <w:bodyDiv w:val="1"/>
      <w:marLeft w:val="0"/>
      <w:marRight w:val="0"/>
      <w:marTop w:val="0"/>
      <w:marBottom w:val="0"/>
      <w:divBdr>
        <w:top w:val="none" w:sz="0" w:space="0" w:color="auto"/>
        <w:left w:val="none" w:sz="0" w:space="0" w:color="auto"/>
        <w:bottom w:val="none" w:sz="0" w:space="0" w:color="auto"/>
        <w:right w:val="none" w:sz="0" w:space="0" w:color="auto"/>
      </w:divBdr>
    </w:div>
    <w:div w:id="895428924">
      <w:bodyDiv w:val="1"/>
      <w:marLeft w:val="0"/>
      <w:marRight w:val="0"/>
      <w:marTop w:val="0"/>
      <w:marBottom w:val="0"/>
      <w:divBdr>
        <w:top w:val="none" w:sz="0" w:space="0" w:color="auto"/>
        <w:left w:val="none" w:sz="0" w:space="0" w:color="auto"/>
        <w:bottom w:val="none" w:sz="0" w:space="0" w:color="auto"/>
        <w:right w:val="none" w:sz="0" w:space="0" w:color="auto"/>
      </w:divBdr>
    </w:div>
    <w:div w:id="895972726">
      <w:bodyDiv w:val="1"/>
      <w:marLeft w:val="0"/>
      <w:marRight w:val="0"/>
      <w:marTop w:val="0"/>
      <w:marBottom w:val="0"/>
      <w:divBdr>
        <w:top w:val="none" w:sz="0" w:space="0" w:color="auto"/>
        <w:left w:val="none" w:sz="0" w:space="0" w:color="auto"/>
        <w:bottom w:val="none" w:sz="0" w:space="0" w:color="auto"/>
        <w:right w:val="none" w:sz="0" w:space="0" w:color="auto"/>
      </w:divBdr>
    </w:div>
    <w:div w:id="896434101">
      <w:bodyDiv w:val="1"/>
      <w:marLeft w:val="0"/>
      <w:marRight w:val="0"/>
      <w:marTop w:val="0"/>
      <w:marBottom w:val="0"/>
      <w:divBdr>
        <w:top w:val="none" w:sz="0" w:space="0" w:color="auto"/>
        <w:left w:val="none" w:sz="0" w:space="0" w:color="auto"/>
        <w:bottom w:val="none" w:sz="0" w:space="0" w:color="auto"/>
        <w:right w:val="none" w:sz="0" w:space="0" w:color="auto"/>
      </w:divBdr>
    </w:div>
    <w:div w:id="896936618">
      <w:bodyDiv w:val="1"/>
      <w:marLeft w:val="0"/>
      <w:marRight w:val="0"/>
      <w:marTop w:val="0"/>
      <w:marBottom w:val="0"/>
      <w:divBdr>
        <w:top w:val="none" w:sz="0" w:space="0" w:color="auto"/>
        <w:left w:val="none" w:sz="0" w:space="0" w:color="auto"/>
        <w:bottom w:val="none" w:sz="0" w:space="0" w:color="auto"/>
        <w:right w:val="none" w:sz="0" w:space="0" w:color="auto"/>
      </w:divBdr>
    </w:div>
    <w:div w:id="897519047">
      <w:bodyDiv w:val="1"/>
      <w:marLeft w:val="0"/>
      <w:marRight w:val="0"/>
      <w:marTop w:val="0"/>
      <w:marBottom w:val="0"/>
      <w:divBdr>
        <w:top w:val="none" w:sz="0" w:space="0" w:color="auto"/>
        <w:left w:val="none" w:sz="0" w:space="0" w:color="auto"/>
        <w:bottom w:val="none" w:sz="0" w:space="0" w:color="auto"/>
        <w:right w:val="none" w:sz="0" w:space="0" w:color="auto"/>
      </w:divBdr>
    </w:div>
    <w:div w:id="897741346">
      <w:bodyDiv w:val="1"/>
      <w:marLeft w:val="0"/>
      <w:marRight w:val="0"/>
      <w:marTop w:val="0"/>
      <w:marBottom w:val="0"/>
      <w:divBdr>
        <w:top w:val="none" w:sz="0" w:space="0" w:color="auto"/>
        <w:left w:val="none" w:sz="0" w:space="0" w:color="auto"/>
        <w:bottom w:val="none" w:sz="0" w:space="0" w:color="auto"/>
        <w:right w:val="none" w:sz="0" w:space="0" w:color="auto"/>
      </w:divBdr>
    </w:div>
    <w:div w:id="898396623">
      <w:bodyDiv w:val="1"/>
      <w:marLeft w:val="0"/>
      <w:marRight w:val="0"/>
      <w:marTop w:val="0"/>
      <w:marBottom w:val="0"/>
      <w:divBdr>
        <w:top w:val="none" w:sz="0" w:space="0" w:color="auto"/>
        <w:left w:val="none" w:sz="0" w:space="0" w:color="auto"/>
        <w:bottom w:val="none" w:sz="0" w:space="0" w:color="auto"/>
        <w:right w:val="none" w:sz="0" w:space="0" w:color="auto"/>
      </w:divBdr>
    </w:div>
    <w:div w:id="899167959">
      <w:bodyDiv w:val="1"/>
      <w:marLeft w:val="0"/>
      <w:marRight w:val="0"/>
      <w:marTop w:val="0"/>
      <w:marBottom w:val="0"/>
      <w:divBdr>
        <w:top w:val="none" w:sz="0" w:space="0" w:color="auto"/>
        <w:left w:val="none" w:sz="0" w:space="0" w:color="auto"/>
        <w:bottom w:val="none" w:sz="0" w:space="0" w:color="auto"/>
        <w:right w:val="none" w:sz="0" w:space="0" w:color="auto"/>
      </w:divBdr>
    </w:div>
    <w:div w:id="900990769">
      <w:bodyDiv w:val="1"/>
      <w:marLeft w:val="0"/>
      <w:marRight w:val="0"/>
      <w:marTop w:val="0"/>
      <w:marBottom w:val="0"/>
      <w:divBdr>
        <w:top w:val="none" w:sz="0" w:space="0" w:color="auto"/>
        <w:left w:val="none" w:sz="0" w:space="0" w:color="auto"/>
        <w:bottom w:val="none" w:sz="0" w:space="0" w:color="auto"/>
        <w:right w:val="none" w:sz="0" w:space="0" w:color="auto"/>
      </w:divBdr>
    </w:div>
    <w:div w:id="901867912">
      <w:bodyDiv w:val="1"/>
      <w:marLeft w:val="0"/>
      <w:marRight w:val="0"/>
      <w:marTop w:val="0"/>
      <w:marBottom w:val="0"/>
      <w:divBdr>
        <w:top w:val="none" w:sz="0" w:space="0" w:color="auto"/>
        <w:left w:val="none" w:sz="0" w:space="0" w:color="auto"/>
        <w:bottom w:val="none" w:sz="0" w:space="0" w:color="auto"/>
        <w:right w:val="none" w:sz="0" w:space="0" w:color="auto"/>
      </w:divBdr>
    </w:div>
    <w:div w:id="902066041">
      <w:bodyDiv w:val="1"/>
      <w:marLeft w:val="0"/>
      <w:marRight w:val="0"/>
      <w:marTop w:val="0"/>
      <w:marBottom w:val="0"/>
      <w:divBdr>
        <w:top w:val="none" w:sz="0" w:space="0" w:color="auto"/>
        <w:left w:val="none" w:sz="0" w:space="0" w:color="auto"/>
        <w:bottom w:val="none" w:sz="0" w:space="0" w:color="auto"/>
        <w:right w:val="none" w:sz="0" w:space="0" w:color="auto"/>
      </w:divBdr>
    </w:div>
    <w:div w:id="902107638">
      <w:bodyDiv w:val="1"/>
      <w:marLeft w:val="0"/>
      <w:marRight w:val="0"/>
      <w:marTop w:val="0"/>
      <w:marBottom w:val="0"/>
      <w:divBdr>
        <w:top w:val="none" w:sz="0" w:space="0" w:color="auto"/>
        <w:left w:val="none" w:sz="0" w:space="0" w:color="auto"/>
        <w:bottom w:val="none" w:sz="0" w:space="0" w:color="auto"/>
        <w:right w:val="none" w:sz="0" w:space="0" w:color="auto"/>
      </w:divBdr>
    </w:div>
    <w:div w:id="902955057">
      <w:bodyDiv w:val="1"/>
      <w:marLeft w:val="0"/>
      <w:marRight w:val="0"/>
      <w:marTop w:val="0"/>
      <w:marBottom w:val="0"/>
      <w:divBdr>
        <w:top w:val="none" w:sz="0" w:space="0" w:color="auto"/>
        <w:left w:val="none" w:sz="0" w:space="0" w:color="auto"/>
        <w:bottom w:val="none" w:sz="0" w:space="0" w:color="auto"/>
        <w:right w:val="none" w:sz="0" w:space="0" w:color="auto"/>
      </w:divBdr>
    </w:div>
    <w:div w:id="903224224">
      <w:bodyDiv w:val="1"/>
      <w:marLeft w:val="0"/>
      <w:marRight w:val="0"/>
      <w:marTop w:val="0"/>
      <w:marBottom w:val="0"/>
      <w:divBdr>
        <w:top w:val="none" w:sz="0" w:space="0" w:color="auto"/>
        <w:left w:val="none" w:sz="0" w:space="0" w:color="auto"/>
        <w:bottom w:val="none" w:sz="0" w:space="0" w:color="auto"/>
        <w:right w:val="none" w:sz="0" w:space="0" w:color="auto"/>
      </w:divBdr>
    </w:div>
    <w:div w:id="904031777">
      <w:bodyDiv w:val="1"/>
      <w:marLeft w:val="0"/>
      <w:marRight w:val="0"/>
      <w:marTop w:val="0"/>
      <w:marBottom w:val="0"/>
      <w:divBdr>
        <w:top w:val="none" w:sz="0" w:space="0" w:color="auto"/>
        <w:left w:val="none" w:sz="0" w:space="0" w:color="auto"/>
        <w:bottom w:val="none" w:sz="0" w:space="0" w:color="auto"/>
        <w:right w:val="none" w:sz="0" w:space="0" w:color="auto"/>
      </w:divBdr>
    </w:div>
    <w:div w:id="904725453">
      <w:bodyDiv w:val="1"/>
      <w:marLeft w:val="0"/>
      <w:marRight w:val="0"/>
      <w:marTop w:val="0"/>
      <w:marBottom w:val="0"/>
      <w:divBdr>
        <w:top w:val="none" w:sz="0" w:space="0" w:color="auto"/>
        <w:left w:val="none" w:sz="0" w:space="0" w:color="auto"/>
        <w:bottom w:val="none" w:sz="0" w:space="0" w:color="auto"/>
        <w:right w:val="none" w:sz="0" w:space="0" w:color="auto"/>
      </w:divBdr>
    </w:div>
    <w:div w:id="905266430">
      <w:bodyDiv w:val="1"/>
      <w:marLeft w:val="0"/>
      <w:marRight w:val="0"/>
      <w:marTop w:val="0"/>
      <w:marBottom w:val="0"/>
      <w:divBdr>
        <w:top w:val="none" w:sz="0" w:space="0" w:color="auto"/>
        <w:left w:val="none" w:sz="0" w:space="0" w:color="auto"/>
        <w:bottom w:val="none" w:sz="0" w:space="0" w:color="auto"/>
        <w:right w:val="none" w:sz="0" w:space="0" w:color="auto"/>
      </w:divBdr>
    </w:div>
    <w:div w:id="905409113">
      <w:bodyDiv w:val="1"/>
      <w:marLeft w:val="0"/>
      <w:marRight w:val="0"/>
      <w:marTop w:val="0"/>
      <w:marBottom w:val="0"/>
      <w:divBdr>
        <w:top w:val="none" w:sz="0" w:space="0" w:color="auto"/>
        <w:left w:val="none" w:sz="0" w:space="0" w:color="auto"/>
        <w:bottom w:val="none" w:sz="0" w:space="0" w:color="auto"/>
        <w:right w:val="none" w:sz="0" w:space="0" w:color="auto"/>
      </w:divBdr>
    </w:div>
    <w:div w:id="905843480">
      <w:bodyDiv w:val="1"/>
      <w:marLeft w:val="0"/>
      <w:marRight w:val="0"/>
      <w:marTop w:val="0"/>
      <w:marBottom w:val="0"/>
      <w:divBdr>
        <w:top w:val="none" w:sz="0" w:space="0" w:color="auto"/>
        <w:left w:val="none" w:sz="0" w:space="0" w:color="auto"/>
        <w:bottom w:val="none" w:sz="0" w:space="0" w:color="auto"/>
        <w:right w:val="none" w:sz="0" w:space="0" w:color="auto"/>
      </w:divBdr>
    </w:div>
    <w:div w:id="905997024">
      <w:bodyDiv w:val="1"/>
      <w:marLeft w:val="0"/>
      <w:marRight w:val="0"/>
      <w:marTop w:val="0"/>
      <w:marBottom w:val="0"/>
      <w:divBdr>
        <w:top w:val="none" w:sz="0" w:space="0" w:color="auto"/>
        <w:left w:val="none" w:sz="0" w:space="0" w:color="auto"/>
        <w:bottom w:val="none" w:sz="0" w:space="0" w:color="auto"/>
        <w:right w:val="none" w:sz="0" w:space="0" w:color="auto"/>
      </w:divBdr>
    </w:div>
    <w:div w:id="905997648">
      <w:bodyDiv w:val="1"/>
      <w:marLeft w:val="0"/>
      <w:marRight w:val="0"/>
      <w:marTop w:val="0"/>
      <w:marBottom w:val="0"/>
      <w:divBdr>
        <w:top w:val="none" w:sz="0" w:space="0" w:color="auto"/>
        <w:left w:val="none" w:sz="0" w:space="0" w:color="auto"/>
        <w:bottom w:val="none" w:sz="0" w:space="0" w:color="auto"/>
        <w:right w:val="none" w:sz="0" w:space="0" w:color="auto"/>
      </w:divBdr>
    </w:div>
    <w:div w:id="906183087">
      <w:bodyDiv w:val="1"/>
      <w:marLeft w:val="0"/>
      <w:marRight w:val="0"/>
      <w:marTop w:val="0"/>
      <w:marBottom w:val="0"/>
      <w:divBdr>
        <w:top w:val="none" w:sz="0" w:space="0" w:color="auto"/>
        <w:left w:val="none" w:sz="0" w:space="0" w:color="auto"/>
        <w:bottom w:val="none" w:sz="0" w:space="0" w:color="auto"/>
        <w:right w:val="none" w:sz="0" w:space="0" w:color="auto"/>
      </w:divBdr>
    </w:div>
    <w:div w:id="906839426">
      <w:bodyDiv w:val="1"/>
      <w:marLeft w:val="0"/>
      <w:marRight w:val="0"/>
      <w:marTop w:val="0"/>
      <w:marBottom w:val="0"/>
      <w:divBdr>
        <w:top w:val="none" w:sz="0" w:space="0" w:color="auto"/>
        <w:left w:val="none" w:sz="0" w:space="0" w:color="auto"/>
        <w:bottom w:val="none" w:sz="0" w:space="0" w:color="auto"/>
        <w:right w:val="none" w:sz="0" w:space="0" w:color="auto"/>
      </w:divBdr>
    </w:div>
    <w:div w:id="907958088">
      <w:bodyDiv w:val="1"/>
      <w:marLeft w:val="0"/>
      <w:marRight w:val="0"/>
      <w:marTop w:val="0"/>
      <w:marBottom w:val="0"/>
      <w:divBdr>
        <w:top w:val="none" w:sz="0" w:space="0" w:color="auto"/>
        <w:left w:val="none" w:sz="0" w:space="0" w:color="auto"/>
        <w:bottom w:val="none" w:sz="0" w:space="0" w:color="auto"/>
        <w:right w:val="none" w:sz="0" w:space="0" w:color="auto"/>
      </w:divBdr>
    </w:div>
    <w:div w:id="909998491">
      <w:bodyDiv w:val="1"/>
      <w:marLeft w:val="0"/>
      <w:marRight w:val="0"/>
      <w:marTop w:val="0"/>
      <w:marBottom w:val="0"/>
      <w:divBdr>
        <w:top w:val="none" w:sz="0" w:space="0" w:color="auto"/>
        <w:left w:val="none" w:sz="0" w:space="0" w:color="auto"/>
        <w:bottom w:val="none" w:sz="0" w:space="0" w:color="auto"/>
        <w:right w:val="none" w:sz="0" w:space="0" w:color="auto"/>
      </w:divBdr>
    </w:div>
    <w:div w:id="912353260">
      <w:bodyDiv w:val="1"/>
      <w:marLeft w:val="0"/>
      <w:marRight w:val="0"/>
      <w:marTop w:val="0"/>
      <w:marBottom w:val="0"/>
      <w:divBdr>
        <w:top w:val="none" w:sz="0" w:space="0" w:color="auto"/>
        <w:left w:val="none" w:sz="0" w:space="0" w:color="auto"/>
        <w:bottom w:val="none" w:sz="0" w:space="0" w:color="auto"/>
        <w:right w:val="none" w:sz="0" w:space="0" w:color="auto"/>
      </w:divBdr>
    </w:div>
    <w:div w:id="914625606">
      <w:bodyDiv w:val="1"/>
      <w:marLeft w:val="0"/>
      <w:marRight w:val="0"/>
      <w:marTop w:val="0"/>
      <w:marBottom w:val="0"/>
      <w:divBdr>
        <w:top w:val="none" w:sz="0" w:space="0" w:color="auto"/>
        <w:left w:val="none" w:sz="0" w:space="0" w:color="auto"/>
        <w:bottom w:val="none" w:sz="0" w:space="0" w:color="auto"/>
        <w:right w:val="none" w:sz="0" w:space="0" w:color="auto"/>
      </w:divBdr>
    </w:div>
    <w:div w:id="914782501">
      <w:bodyDiv w:val="1"/>
      <w:marLeft w:val="0"/>
      <w:marRight w:val="0"/>
      <w:marTop w:val="0"/>
      <w:marBottom w:val="0"/>
      <w:divBdr>
        <w:top w:val="none" w:sz="0" w:space="0" w:color="auto"/>
        <w:left w:val="none" w:sz="0" w:space="0" w:color="auto"/>
        <w:bottom w:val="none" w:sz="0" w:space="0" w:color="auto"/>
        <w:right w:val="none" w:sz="0" w:space="0" w:color="auto"/>
      </w:divBdr>
    </w:div>
    <w:div w:id="915944627">
      <w:bodyDiv w:val="1"/>
      <w:marLeft w:val="0"/>
      <w:marRight w:val="0"/>
      <w:marTop w:val="0"/>
      <w:marBottom w:val="0"/>
      <w:divBdr>
        <w:top w:val="none" w:sz="0" w:space="0" w:color="auto"/>
        <w:left w:val="none" w:sz="0" w:space="0" w:color="auto"/>
        <w:bottom w:val="none" w:sz="0" w:space="0" w:color="auto"/>
        <w:right w:val="none" w:sz="0" w:space="0" w:color="auto"/>
      </w:divBdr>
    </w:div>
    <w:div w:id="916286831">
      <w:bodyDiv w:val="1"/>
      <w:marLeft w:val="0"/>
      <w:marRight w:val="0"/>
      <w:marTop w:val="0"/>
      <w:marBottom w:val="0"/>
      <w:divBdr>
        <w:top w:val="none" w:sz="0" w:space="0" w:color="auto"/>
        <w:left w:val="none" w:sz="0" w:space="0" w:color="auto"/>
        <w:bottom w:val="none" w:sz="0" w:space="0" w:color="auto"/>
        <w:right w:val="none" w:sz="0" w:space="0" w:color="auto"/>
      </w:divBdr>
    </w:div>
    <w:div w:id="916331702">
      <w:bodyDiv w:val="1"/>
      <w:marLeft w:val="0"/>
      <w:marRight w:val="0"/>
      <w:marTop w:val="0"/>
      <w:marBottom w:val="0"/>
      <w:divBdr>
        <w:top w:val="none" w:sz="0" w:space="0" w:color="auto"/>
        <w:left w:val="none" w:sz="0" w:space="0" w:color="auto"/>
        <w:bottom w:val="none" w:sz="0" w:space="0" w:color="auto"/>
        <w:right w:val="none" w:sz="0" w:space="0" w:color="auto"/>
      </w:divBdr>
    </w:div>
    <w:div w:id="918487785">
      <w:bodyDiv w:val="1"/>
      <w:marLeft w:val="0"/>
      <w:marRight w:val="0"/>
      <w:marTop w:val="0"/>
      <w:marBottom w:val="0"/>
      <w:divBdr>
        <w:top w:val="none" w:sz="0" w:space="0" w:color="auto"/>
        <w:left w:val="none" w:sz="0" w:space="0" w:color="auto"/>
        <w:bottom w:val="none" w:sz="0" w:space="0" w:color="auto"/>
        <w:right w:val="none" w:sz="0" w:space="0" w:color="auto"/>
      </w:divBdr>
    </w:div>
    <w:div w:id="918710536">
      <w:bodyDiv w:val="1"/>
      <w:marLeft w:val="0"/>
      <w:marRight w:val="0"/>
      <w:marTop w:val="0"/>
      <w:marBottom w:val="0"/>
      <w:divBdr>
        <w:top w:val="none" w:sz="0" w:space="0" w:color="auto"/>
        <w:left w:val="none" w:sz="0" w:space="0" w:color="auto"/>
        <w:bottom w:val="none" w:sz="0" w:space="0" w:color="auto"/>
        <w:right w:val="none" w:sz="0" w:space="0" w:color="auto"/>
      </w:divBdr>
    </w:div>
    <w:div w:id="918759196">
      <w:bodyDiv w:val="1"/>
      <w:marLeft w:val="0"/>
      <w:marRight w:val="0"/>
      <w:marTop w:val="0"/>
      <w:marBottom w:val="0"/>
      <w:divBdr>
        <w:top w:val="none" w:sz="0" w:space="0" w:color="auto"/>
        <w:left w:val="none" w:sz="0" w:space="0" w:color="auto"/>
        <w:bottom w:val="none" w:sz="0" w:space="0" w:color="auto"/>
        <w:right w:val="none" w:sz="0" w:space="0" w:color="auto"/>
      </w:divBdr>
    </w:div>
    <w:div w:id="919288857">
      <w:bodyDiv w:val="1"/>
      <w:marLeft w:val="0"/>
      <w:marRight w:val="0"/>
      <w:marTop w:val="0"/>
      <w:marBottom w:val="0"/>
      <w:divBdr>
        <w:top w:val="none" w:sz="0" w:space="0" w:color="auto"/>
        <w:left w:val="none" w:sz="0" w:space="0" w:color="auto"/>
        <w:bottom w:val="none" w:sz="0" w:space="0" w:color="auto"/>
        <w:right w:val="none" w:sz="0" w:space="0" w:color="auto"/>
      </w:divBdr>
    </w:div>
    <w:div w:id="919556281">
      <w:bodyDiv w:val="1"/>
      <w:marLeft w:val="0"/>
      <w:marRight w:val="0"/>
      <w:marTop w:val="0"/>
      <w:marBottom w:val="0"/>
      <w:divBdr>
        <w:top w:val="none" w:sz="0" w:space="0" w:color="auto"/>
        <w:left w:val="none" w:sz="0" w:space="0" w:color="auto"/>
        <w:bottom w:val="none" w:sz="0" w:space="0" w:color="auto"/>
        <w:right w:val="none" w:sz="0" w:space="0" w:color="auto"/>
      </w:divBdr>
    </w:div>
    <w:div w:id="919757600">
      <w:bodyDiv w:val="1"/>
      <w:marLeft w:val="0"/>
      <w:marRight w:val="0"/>
      <w:marTop w:val="0"/>
      <w:marBottom w:val="0"/>
      <w:divBdr>
        <w:top w:val="none" w:sz="0" w:space="0" w:color="auto"/>
        <w:left w:val="none" w:sz="0" w:space="0" w:color="auto"/>
        <w:bottom w:val="none" w:sz="0" w:space="0" w:color="auto"/>
        <w:right w:val="none" w:sz="0" w:space="0" w:color="auto"/>
      </w:divBdr>
    </w:div>
    <w:div w:id="920990047">
      <w:bodyDiv w:val="1"/>
      <w:marLeft w:val="0"/>
      <w:marRight w:val="0"/>
      <w:marTop w:val="0"/>
      <w:marBottom w:val="0"/>
      <w:divBdr>
        <w:top w:val="none" w:sz="0" w:space="0" w:color="auto"/>
        <w:left w:val="none" w:sz="0" w:space="0" w:color="auto"/>
        <w:bottom w:val="none" w:sz="0" w:space="0" w:color="auto"/>
        <w:right w:val="none" w:sz="0" w:space="0" w:color="auto"/>
      </w:divBdr>
    </w:div>
    <w:div w:id="922186648">
      <w:bodyDiv w:val="1"/>
      <w:marLeft w:val="0"/>
      <w:marRight w:val="0"/>
      <w:marTop w:val="0"/>
      <w:marBottom w:val="0"/>
      <w:divBdr>
        <w:top w:val="none" w:sz="0" w:space="0" w:color="auto"/>
        <w:left w:val="none" w:sz="0" w:space="0" w:color="auto"/>
        <w:bottom w:val="none" w:sz="0" w:space="0" w:color="auto"/>
        <w:right w:val="none" w:sz="0" w:space="0" w:color="auto"/>
      </w:divBdr>
    </w:div>
    <w:div w:id="923337064">
      <w:bodyDiv w:val="1"/>
      <w:marLeft w:val="0"/>
      <w:marRight w:val="0"/>
      <w:marTop w:val="0"/>
      <w:marBottom w:val="0"/>
      <w:divBdr>
        <w:top w:val="none" w:sz="0" w:space="0" w:color="auto"/>
        <w:left w:val="none" w:sz="0" w:space="0" w:color="auto"/>
        <w:bottom w:val="none" w:sz="0" w:space="0" w:color="auto"/>
        <w:right w:val="none" w:sz="0" w:space="0" w:color="auto"/>
      </w:divBdr>
    </w:div>
    <w:div w:id="923537095">
      <w:bodyDiv w:val="1"/>
      <w:marLeft w:val="0"/>
      <w:marRight w:val="0"/>
      <w:marTop w:val="0"/>
      <w:marBottom w:val="0"/>
      <w:divBdr>
        <w:top w:val="none" w:sz="0" w:space="0" w:color="auto"/>
        <w:left w:val="none" w:sz="0" w:space="0" w:color="auto"/>
        <w:bottom w:val="none" w:sz="0" w:space="0" w:color="auto"/>
        <w:right w:val="none" w:sz="0" w:space="0" w:color="auto"/>
      </w:divBdr>
    </w:div>
    <w:div w:id="924538024">
      <w:bodyDiv w:val="1"/>
      <w:marLeft w:val="0"/>
      <w:marRight w:val="0"/>
      <w:marTop w:val="0"/>
      <w:marBottom w:val="0"/>
      <w:divBdr>
        <w:top w:val="none" w:sz="0" w:space="0" w:color="auto"/>
        <w:left w:val="none" w:sz="0" w:space="0" w:color="auto"/>
        <w:bottom w:val="none" w:sz="0" w:space="0" w:color="auto"/>
        <w:right w:val="none" w:sz="0" w:space="0" w:color="auto"/>
      </w:divBdr>
    </w:div>
    <w:div w:id="924614379">
      <w:bodyDiv w:val="1"/>
      <w:marLeft w:val="0"/>
      <w:marRight w:val="0"/>
      <w:marTop w:val="0"/>
      <w:marBottom w:val="0"/>
      <w:divBdr>
        <w:top w:val="none" w:sz="0" w:space="0" w:color="auto"/>
        <w:left w:val="none" w:sz="0" w:space="0" w:color="auto"/>
        <w:bottom w:val="none" w:sz="0" w:space="0" w:color="auto"/>
        <w:right w:val="none" w:sz="0" w:space="0" w:color="auto"/>
      </w:divBdr>
    </w:div>
    <w:div w:id="924649088">
      <w:bodyDiv w:val="1"/>
      <w:marLeft w:val="0"/>
      <w:marRight w:val="0"/>
      <w:marTop w:val="0"/>
      <w:marBottom w:val="0"/>
      <w:divBdr>
        <w:top w:val="none" w:sz="0" w:space="0" w:color="auto"/>
        <w:left w:val="none" w:sz="0" w:space="0" w:color="auto"/>
        <w:bottom w:val="none" w:sz="0" w:space="0" w:color="auto"/>
        <w:right w:val="none" w:sz="0" w:space="0" w:color="auto"/>
      </w:divBdr>
    </w:div>
    <w:div w:id="925462392">
      <w:bodyDiv w:val="1"/>
      <w:marLeft w:val="0"/>
      <w:marRight w:val="0"/>
      <w:marTop w:val="0"/>
      <w:marBottom w:val="0"/>
      <w:divBdr>
        <w:top w:val="none" w:sz="0" w:space="0" w:color="auto"/>
        <w:left w:val="none" w:sz="0" w:space="0" w:color="auto"/>
        <w:bottom w:val="none" w:sz="0" w:space="0" w:color="auto"/>
        <w:right w:val="none" w:sz="0" w:space="0" w:color="auto"/>
      </w:divBdr>
    </w:div>
    <w:div w:id="925647570">
      <w:bodyDiv w:val="1"/>
      <w:marLeft w:val="0"/>
      <w:marRight w:val="0"/>
      <w:marTop w:val="0"/>
      <w:marBottom w:val="0"/>
      <w:divBdr>
        <w:top w:val="none" w:sz="0" w:space="0" w:color="auto"/>
        <w:left w:val="none" w:sz="0" w:space="0" w:color="auto"/>
        <w:bottom w:val="none" w:sz="0" w:space="0" w:color="auto"/>
        <w:right w:val="none" w:sz="0" w:space="0" w:color="auto"/>
      </w:divBdr>
    </w:div>
    <w:div w:id="926772607">
      <w:bodyDiv w:val="1"/>
      <w:marLeft w:val="0"/>
      <w:marRight w:val="0"/>
      <w:marTop w:val="0"/>
      <w:marBottom w:val="0"/>
      <w:divBdr>
        <w:top w:val="none" w:sz="0" w:space="0" w:color="auto"/>
        <w:left w:val="none" w:sz="0" w:space="0" w:color="auto"/>
        <w:bottom w:val="none" w:sz="0" w:space="0" w:color="auto"/>
        <w:right w:val="none" w:sz="0" w:space="0" w:color="auto"/>
      </w:divBdr>
    </w:div>
    <w:div w:id="928463101">
      <w:bodyDiv w:val="1"/>
      <w:marLeft w:val="0"/>
      <w:marRight w:val="0"/>
      <w:marTop w:val="0"/>
      <w:marBottom w:val="0"/>
      <w:divBdr>
        <w:top w:val="none" w:sz="0" w:space="0" w:color="auto"/>
        <w:left w:val="none" w:sz="0" w:space="0" w:color="auto"/>
        <w:bottom w:val="none" w:sz="0" w:space="0" w:color="auto"/>
        <w:right w:val="none" w:sz="0" w:space="0" w:color="auto"/>
      </w:divBdr>
    </w:div>
    <w:div w:id="929657727">
      <w:bodyDiv w:val="1"/>
      <w:marLeft w:val="0"/>
      <w:marRight w:val="0"/>
      <w:marTop w:val="0"/>
      <w:marBottom w:val="0"/>
      <w:divBdr>
        <w:top w:val="none" w:sz="0" w:space="0" w:color="auto"/>
        <w:left w:val="none" w:sz="0" w:space="0" w:color="auto"/>
        <w:bottom w:val="none" w:sz="0" w:space="0" w:color="auto"/>
        <w:right w:val="none" w:sz="0" w:space="0" w:color="auto"/>
      </w:divBdr>
    </w:div>
    <w:div w:id="929972273">
      <w:bodyDiv w:val="1"/>
      <w:marLeft w:val="0"/>
      <w:marRight w:val="0"/>
      <w:marTop w:val="0"/>
      <w:marBottom w:val="0"/>
      <w:divBdr>
        <w:top w:val="none" w:sz="0" w:space="0" w:color="auto"/>
        <w:left w:val="none" w:sz="0" w:space="0" w:color="auto"/>
        <w:bottom w:val="none" w:sz="0" w:space="0" w:color="auto"/>
        <w:right w:val="none" w:sz="0" w:space="0" w:color="auto"/>
      </w:divBdr>
    </w:div>
    <w:div w:id="932979560">
      <w:bodyDiv w:val="1"/>
      <w:marLeft w:val="0"/>
      <w:marRight w:val="0"/>
      <w:marTop w:val="0"/>
      <w:marBottom w:val="0"/>
      <w:divBdr>
        <w:top w:val="none" w:sz="0" w:space="0" w:color="auto"/>
        <w:left w:val="none" w:sz="0" w:space="0" w:color="auto"/>
        <w:bottom w:val="none" w:sz="0" w:space="0" w:color="auto"/>
        <w:right w:val="none" w:sz="0" w:space="0" w:color="auto"/>
      </w:divBdr>
    </w:div>
    <w:div w:id="935207693">
      <w:bodyDiv w:val="1"/>
      <w:marLeft w:val="0"/>
      <w:marRight w:val="0"/>
      <w:marTop w:val="0"/>
      <w:marBottom w:val="0"/>
      <w:divBdr>
        <w:top w:val="none" w:sz="0" w:space="0" w:color="auto"/>
        <w:left w:val="none" w:sz="0" w:space="0" w:color="auto"/>
        <w:bottom w:val="none" w:sz="0" w:space="0" w:color="auto"/>
        <w:right w:val="none" w:sz="0" w:space="0" w:color="auto"/>
      </w:divBdr>
    </w:div>
    <w:div w:id="935598701">
      <w:bodyDiv w:val="1"/>
      <w:marLeft w:val="0"/>
      <w:marRight w:val="0"/>
      <w:marTop w:val="0"/>
      <w:marBottom w:val="0"/>
      <w:divBdr>
        <w:top w:val="none" w:sz="0" w:space="0" w:color="auto"/>
        <w:left w:val="none" w:sz="0" w:space="0" w:color="auto"/>
        <w:bottom w:val="none" w:sz="0" w:space="0" w:color="auto"/>
        <w:right w:val="none" w:sz="0" w:space="0" w:color="auto"/>
      </w:divBdr>
    </w:div>
    <w:div w:id="936868982">
      <w:bodyDiv w:val="1"/>
      <w:marLeft w:val="0"/>
      <w:marRight w:val="0"/>
      <w:marTop w:val="0"/>
      <w:marBottom w:val="0"/>
      <w:divBdr>
        <w:top w:val="none" w:sz="0" w:space="0" w:color="auto"/>
        <w:left w:val="none" w:sz="0" w:space="0" w:color="auto"/>
        <w:bottom w:val="none" w:sz="0" w:space="0" w:color="auto"/>
        <w:right w:val="none" w:sz="0" w:space="0" w:color="auto"/>
      </w:divBdr>
    </w:div>
    <w:div w:id="937060748">
      <w:bodyDiv w:val="1"/>
      <w:marLeft w:val="0"/>
      <w:marRight w:val="0"/>
      <w:marTop w:val="0"/>
      <w:marBottom w:val="0"/>
      <w:divBdr>
        <w:top w:val="none" w:sz="0" w:space="0" w:color="auto"/>
        <w:left w:val="none" w:sz="0" w:space="0" w:color="auto"/>
        <w:bottom w:val="none" w:sz="0" w:space="0" w:color="auto"/>
        <w:right w:val="none" w:sz="0" w:space="0" w:color="auto"/>
      </w:divBdr>
    </w:div>
    <w:div w:id="937297815">
      <w:bodyDiv w:val="1"/>
      <w:marLeft w:val="0"/>
      <w:marRight w:val="0"/>
      <w:marTop w:val="0"/>
      <w:marBottom w:val="0"/>
      <w:divBdr>
        <w:top w:val="none" w:sz="0" w:space="0" w:color="auto"/>
        <w:left w:val="none" w:sz="0" w:space="0" w:color="auto"/>
        <w:bottom w:val="none" w:sz="0" w:space="0" w:color="auto"/>
        <w:right w:val="none" w:sz="0" w:space="0" w:color="auto"/>
      </w:divBdr>
    </w:div>
    <w:div w:id="937835411">
      <w:bodyDiv w:val="1"/>
      <w:marLeft w:val="0"/>
      <w:marRight w:val="0"/>
      <w:marTop w:val="0"/>
      <w:marBottom w:val="0"/>
      <w:divBdr>
        <w:top w:val="none" w:sz="0" w:space="0" w:color="auto"/>
        <w:left w:val="none" w:sz="0" w:space="0" w:color="auto"/>
        <w:bottom w:val="none" w:sz="0" w:space="0" w:color="auto"/>
        <w:right w:val="none" w:sz="0" w:space="0" w:color="auto"/>
      </w:divBdr>
    </w:div>
    <w:div w:id="938025589">
      <w:bodyDiv w:val="1"/>
      <w:marLeft w:val="0"/>
      <w:marRight w:val="0"/>
      <w:marTop w:val="0"/>
      <w:marBottom w:val="0"/>
      <w:divBdr>
        <w:top w:val="none" w:sz="0" w:space="0" w:color="auto"/>
        <w:left w:val="none" w:sz="0" w:space="0" w:color="auto"/>
        <w:bottom w:val="none" w:sz="0" w:space="0" w:color="auto"/>
        <w:right w:val="none" w:sz="0" w:space="0" w:color="auto"/>
      </w:divBdr>
    </w:div>
    <w:div w:id="938414061">
      <w:bodyDiv w:val="1"/>
      <w:marLeft w:val="0"/>
      <w:marRight w:val="0"/>
      <w:marTop w:val="0"/>
      <w:marBottom w:val="0"/>
      <w:divBdr>
        <w:top w:val="none" w:sz="0" w:space="0" w:color="auto"/>
        <w:left w:val="none" w:sz="0" w:space="0" w:color="auto"/>
        <w:bottom w:val="none" w:sz="0" w:space="0" w:color="auto"/>
        <w:right w:val="none" w:sz="0" w:space="0" w:color="auto"/>
      </w:divBdr>
    </w:div>
    <w:div w:id="939027570">
      <w:bodyDiv w:val="1"/>
      <w:marLeft w:val="0"/>
      <w:marRight w:val="0"/>
      <w:marTop w:val="0"/>
      <w:marBottom w:val="0"/>
      <w:divBdr>
        <w:top w:val="none" w:sz="0" w:space="0" w:color="auto"/>
        <w:left w:val="none" w:sz="0" w:space="0" w:color="auto"/>
        <w:bottom w:val="none" w:sz="0" w:space="0" w:color="auto"/>
        <w:right w:val="none" w:sz="0" w:space="0" w:color="auto"/>
      </w:divBdr>
    </w:div>
    <w:div w:id="939412164">
      <w:bodyDiv w:val="1"/>
      <w:marLeft w:val="0"/>
      <w:marRight w:val="0"/>
      <w:marTop w:val="0"/>
      <w:marBottom w:val="0"/>
      <w:divBdr>
        <w:top w:val="none" w:sz="0" w:space="0" w:color="auto"/>
        <w:left w:val="none" w:sz="0" w:space="0" w:color="auto"/>
        <w:bottom w:val="none" w:sz="0" w:space="0" w:color="auto"/>
        <w:right w:val="none" w:sz="0" w:space="0" w:color="auto"/>
      </w:divBdr>
    </w:div>
    <w:div w:id="942539628">
      <w:bodyDiv w:val="1"/>
      <w:marLeft w:val="0"/>
      <w:marRight w:val="0"/>
      <w:marTop w:val="0"/>
      <w:marBottom w:val="0"/>
      <w:divBdr>
        <w:top w:val="none" w:sz="0" w:space="0" w:color="auto"/>
        <w:left w:val="none" w:sz="0" w:space="0" w:color="auto"/>
        <w:bottom w:val="none" w:sz="0" w:space="0" w:color="auto"/>
        <w:right w:val="none" w:sz="0" w:space="0" w:color="auto"/>
      </w:divBdr>
    </w:div>
    <w:div w:id="942613963">
      <w:bodyDiv w:val="1"/>
      <w:marLeft w:val="0"/>
      <w:marRight w:val="0"/>
      <w:marTop w:val="0"/>
      <w:marBottom w:val="0"/>
      <w:divBdr>
        <w:top w:val="none" w:sz="0" w:space="0" w:color="auto"/>
        <w:left w:val="none" w:sz="0" w:space="0" w:color="auto"/>
        <w:bottom w:val="none" w:sz="0" w:space="0" w:color="auto"/>
        <w:right w:val="none" w:sz="0" w:space="0" w:color="auto"/>
      </w:divBdr>
    </w:div>
    <w:div w:id="942759641">
      <w:bodyDiv w:val="1"/>
      <w:marLeft w:val="0"/>
      <w:marRight w:val="0"/>
      <w:marTop w:val="0"/>
      <w:marBottom w:val="0"/>
      <w:divBdr>
        <w:top w:val="none" w:sz="0" w:space="0" w:color="auto"/>
        <w:left w:val="none" w:sz="0" w:space="0" w:color="auto"/>
        <w:bottom w:val="none" w:sz="0" w:space="0" w:color="auto"/>
        <w:right w:val="none" w:sz="0" w:space="0" w:color="auto"/>
      </w:divBdr>
    </w:div>
    <w:div w:id="943925523">
      <w:bodyDiv w:val="1"/>
      <w:marLeft w:val="0"/>
      <w:marRight w:val="0"/>
      <w:marTop w:val="0"/>
      <w:marBottom w:val="0"/>
      <w:divBdr>
        <w:top w:val="none" w:sz="0" w:space="0" w:color="auto"/>
        <w:left w:val="none" w:sz="0" w:space="0" w:color="auto"/>
        <w:bottom w:val="none" w:sz="0" w:space="0" w:color="auto"/>
        <w:right w:val="none" w:sz="0" w:space="0" w:color="auto"/>
      </w:divBdr>
    </w:div>
    <w:div w:id="944459748">
      <w:bodyDiv w:val="1"/>
      <w:marLeft w:val="0"/>
      <w:marRight w:val="0"/>
      <w:marTop w:val="0"/>
      <w:marBottom w:val="0"/>
      <w:divBdr>
        <w:top w:val="none" w:sz="0" w:space="0" w:color="auto"/>
        <w:left w:val="none" w:sz="0" w:space="0" w:color="auto"/>
        <w:bottom w:val="none" w:sz="0" w:space="0" w:color="auto"/>
        <w:right w:val="none" w:sz="0" w:space="0" w:color="auto"/>
      </w:divBdr>
    </w:div>
    <w:div w:id="944726619">
      <w:bodyDiv w:val="1"/>
      <w:marLeft w:val="0"/>
      <w:marRight w:val="0"/>
      <w:marTop w:val="0"/>
      <w:marBottom w:val="0"/>
      <w:divBdr>
        <w:top w:val="none" w:sz="0" w:space="0" w:color="auto"/>
        <w:left w:val="none" w:sz="0" w:space="0" w:color="auto"/>
        <w:bottom w:val="none" w:sz="0" w:space="0" w:color="auto"/>
        <w:right w:val="none" w:sz="0" w:space="0" w:color="auto"/>
      </w:divBdr>
    </w:div>
    <w:div w:id="944848320">
      <w:bodyDiv w:val="1"/>
      <w:marLeft w:val="0"/>
      <w:marRight w:val="0"/>
      <w:marTop w:val="0"/>
      <w:marBottom w:val="0"/>
      <w:divBdr>
        <w:top w:val="none" w:sz="0" w:space="0" w:color="auto"/>
        <w:left w:val="none" w:sz="0" w:space="0" w:color="auto"/>
        <w:bottom w:val="none" w:sz="0" w:space="0" w:color="auto"/>
        <w:right w:val="none" w:sz="0" w:space="0" w:color="auto"/>
      </w:divBdr>
    </w:div>
    <w:div w:id="946430128">
      <w:bodyDiv w:val="1"/>
      <w:marLeft w:val="0"/>
      <w:marRight w:val="0"/>
      <w:marTop w:val="0"/>
      <w:marBottom w:val="0"/>
      <w:divBdr>
        <w:top w:val="none" w:sz="0" w:space="0" w:color="auto"/>
        <w:left w:val="none" w:sz="0" w:space="0" w:color="auto"/>
        <w:bottom w:val="none" w:sz="0" w:space="0" w:color="auto"/>
        <w:right w:val="none" w:sz="0" w:space="0" w:color="auto"/>
      </w:divBdr>
    </w:div>
    <w:div w:id="947081462">
      <w:bodyDiv w:val="1"/>
      <w:marLeft w:val="0"/>
      <w:marRight w:val="0"/>
      <w:marTop w:val="0"/>
      <w:marBottom w:val="0"/>
      <w:divBdr>
        <w:top w:val="none" w:sz="0" w:space="0" w:color="auto"/>
        <w:left w:val="none" w:sz="0" w:space="0" w:color="auto"/>
        <w:bottom w:val="none" w:sz="0" w:space="0" w:color="auto"/>
        <w:right w:val="none" w:sz="0" w:space="0" w:color="auto"/>
      </w:divBdr>
    </w:div>
    <w:div w:id="949094445">
      <w:bodyDiv w:val="1"/>
      <w:marLeft w:val="0"/>
      <w:marRight w:val="0"/>
      <w:marTop w:val="0"/>
      <w:marBottom w:val="0"/>
      <w:divBdr>
        <w:top w:val="none" w:sz="0" w:space="0" w:color="auto"/>
        <w:left w:val="none" w:sz="0" w:space="0" w:color="auto"/>
        <w:bottom w:val="none" w:sz="0" w:space="0" w:color="auto"/>
        <w:right w:val="none" w:sz="0" w:space="0" w:color="auto"/>
      </w:divBdr>
    </w:div>
    <w:div w:id="949967408">
      <w:bodyDiv w:val="1"/>
      <w:marLeft w:val="0"/>
      <w:marRight w:val="0"/>
      <w:marTop w:val="0"/>
      <w:marBottom w:val="0"/>
      <w:divBdr>
        <w:top w:val="none" w:sz="0" w:space="0" w:color="auto"/>
        <w:left w:val="none" w:sz="0" w:space="0" w:color="auto"/>
        <w:bottom w:val="none" w:sz="0" w:space="0" w:color="auto"/>
        <w:right w:val="none" w:sz="0" w:space="0" w:color="auto"/>
      </w:divBdr>
    </w:div>
    <w:div w:id="950362797">
      <w:bodyDiv w:val="1"/>
      <w:marLeft w:val="0"/>
      <w:marRight w:val="0"/>
      <w:marTop w:val="0"/>
      <w:marBottom w:val="0"/>
      <w:divBdr>
        <w:top w:val="none" w:sz="0" w:space="0" w:color="auto"/>
        <w:left w:val="none" w:sz="0" w:space="0" w:color="auto"/>
        <w:bottom w:val="none" w:sz="0" w:space="0" w:color="auto"/>
        <w:right w:val="none" w:sz="0" w:space="0" w:color="auto"/>
      </w:divBdr>
    </w:div>
    <w:div w:id="950471872">
      <w:bodyDiv w:val="1"/>
      <w:marLeft w:val="0"/>
      <w:marRight w:val="0"/>
      <w:marTop w:val="0"/>
      <w:marBottom w:val="0"/>
      <w:divBdr>
        <w:top w:val="none" w:sz="0" w:space="0" w:color="auto"/>
        <w:left w:val="none" w:sz="0" w:space="0" w:color="auto"/>
        <w:bottom w:val="none" w:sz="0" w:space="0" w:color="auto"/>
        <w:right w:val="none" w:sz="0" w:space="0" w:color="auto"/>
      </w:divBdr>
    </w:div>
    <w:div w:id="951860311">
      <w:bodyDiv w:val="1"/>
      <w:marLeft w:val="0"/>
      <w:marRight w:val="0"/>
      <w:marTop w:val="0"/>
      <w:marBottom w:val="0"/>
      <w:divBdr>
        <w:top w:val="none" w:sz="0" w:space="0" w:color="auto"/>
        <w:left w:val="none" w:sz="0" w:space="0" w:color="auto"/>
        <w:bottom w:val="none" w:sz="0" w:space="0" w:color="auto"/>
        <w:right w:val="none" w:sz="0" w:space="0" w:color="auto"/>
      </w:divBdr>
    </w:div>
    <w:div w:id="952516200">
      <w:bodyDiv w:val="1"/>
      <w:marLeft w:val="0"/>
      <w:marRight w:val="0"/>
      <w:marTop w:val="0"/>
      <w:marBottom w:val="0"/>
      <w:divBdr>
        <w:top w:val="none" w:sz="0" w:space="0" w:color="auto"/>
        <w:left w:val="none" w:sz="0" w:space="0" w:color="auto"/>
        <w:bottom w:val="none" w:sz="0" w:space="0" w:color="auto"/>
        <w:right w:val="none" w:sz="0" w:space="0" w:color="auto"/>
      </w:divBdr>
    </w:div>
    <w:div w:id="954140344">
      <w:bodyDiv w:val="1"/>
      <w:marLeft w:val="0"/>
      <w:marRight w:val="0"/>
      <w:marTop w:val="0"/>
      <w:marBottom w:val="0"/>
      <w:divBdr>
        <w:top w:val="none" w:sz="0" w:space="0" w:color="auto"/>
        <w:left w:val="none" w:sz="0" w:space="0" w:color="auto"/>
        <w:bottom w:val="none" w:sz="0" w:space="0" w:color="auto"/>
        <w:right w:val="none" w:sz="0" w:space="0" w:color="auto"/>
      </w:divBdr>
    </w:div>
    <w:div w:id="954751326">
      <w:bodyDiv w:val="1"/>
      <w:marLeft w:val="0"/>
      <w:marRight w:val="0"/>
      <w:marTop w:val="0"/>
      <w:marBottom w:val="0"/>
      <w:divBdr>
        <w:top w:val="none" w:sz="0" w:space="0" w:color="auto"/>
        <w:left w:val="none" w:sz="0" w:space="0" w:color="auto"/>
        <w:bottom w:val="none" w:sz="0" w:space="0" w:color="auto"/>
        <w:right w:val="none" w:sz="0" w:space="0" w:color="auto"/>
      </w:divBdr>
    </w:div>
    <w:div w:id="954826224">
      <w:bodyDiv w:val="1"/>
      <w:marLeft w:val="0"/>
      <w:marRight w:val="0"/>
      <w:marTop w:val="0"/>
      <w:marBottom w:val="0"/>
      <w:divBdr>
        <w:top w:val="none" w:sz="0" w:space="0" w:color="auto"/>
        <w:left w:val="none" w:sz="0" w:space="0" w:color="auto"/>
        <w:bottom w:val="none" w:sz="0" w:space="0" w:color="auto"/>
        <w:right w:val="none" w:sz="0" w:space="0" w:color="auto"/>
      </w:divBdr>
    </w:div>
    <w:div w:id="956761135">
      <w:bodyDiv w:val="1"/>
      <w:marLeft w:val="0"/>
      <w:marRight w:val="0"/>
      <w:marTop w:val="0"/>
      <w:marBottom w:val="0"/>
      <w:divBdr>
        <w:top w:val="none" w:sz="0" w:space="0" w:color="auto"/>
        <w:left w:val="none" w:sz="0" w:space="0" w:color="auto"/>
        <w:bottom w:val="none" w:sz="0" w:space="0" w:color="auto"/>
        <w:right w:val="none" w:sz="0" w:space="0" w:color="auto"/>
      </w:divBdr>
    </w:div>
    <w:div w:id="958031491">
      <w:bodyDiv w:val="1"/>
      <w:marLeft w:val="0"/>
      <w:marRight w:val="0"/>
      <w:marTop w:val="0"/>
      <w:marBottom w:val="0"/>
      <w:divBdr>
        <w:top w:val="none" w:sz="0" w:space="0" w:color="auto"/>
        <w:left w:val="none" w:sz="0" w:space="0" w:color="auto"/>
        <w:bottom w:val="none" w:sz="0" w:space="0" w:color="auto"/>
        <w:right w:val="none" w:sz="0" w:space="0" w:color="auto"/>
      </w:divBdr>
    </w:div>
    <w:div w:id="960889061">
      <w:bodyDiv w:val="1"/>
      <w:marLeft w:val="0"/>
      <w:marRight w:val="0"/>
      <w:marTop w:val="0"/>
      <w:marBottom w:val="0"/>
      <w:divBdr>
        <w:top w:val="none" w:sz="0" w:space="0" w:color="auto"/>
        <w:left w:val="none" w:sz="0" w:space="0" w:color="auto"/>
        <w:bottom w:val="none" w:sz="0" w:space="0" w:color="auto"/>
        <w:right w:val="none" w:sz="0" w:space="0" w:color="auto"/>
      </w:divBdr>
    </w:div>
    <w:div w:id="961695288">
      <w:bodyDiv w:val="1"/>
      <w:marLeft w:val="0"/>
      <w:marRight w:val="0"/>
      <w:marTop w:val="0"/>
      <w:marBottom w:val="0"/>
      <w:divBdr>
        <w:top w:val="none" w:sz="0" w:space="0" w:color="auto"/>
        <w:left w:val="none" w:sz="0" w:space="0" w:color="auto"/>
        <w:bottom w:val="none" w:sz="0" w:space="0" w:color="auto"/>
        <w:right w:val="none" w:sz="0" w:space="0" w:color="auto"/>
      </w:divBdr>
    </w:div>
    <w:div w:id="961813870">
      <w:bodyDiv w:val="1"/>
      <w:marLeft w:val="0"/>
      <w:marRight w:val="0"/>
      <w:marTop w:val="0"/>
      <w:marBottom w:val="0"/>
      <w:divBdr>
        <w:top w:val="none" w:sz="0" w:space="0" w:color="auto"/>
        <w:left w:val="none" w:sz="0" w:space="0" w:color="auto"/>
        <w:bottom w:val="none" w:sz="0" w:space="0" w:color="auto"/>
        <w:right w:val="none" w:sz="0" w:space="0" w:color="auto"/>
      </w:divBdr>
    </w:div>
    <w:div w:id="966931947">
      <w:bodyDiv w:val="1"/>
      <w:marLeft w:val="0"/>
      <w:marRight w:val="0"/>
      <w:marTop w:val="0"/>
      <w:marBottom w:val="0"/>
      <w:divBdr>
        <w:top w:val="none" w:sz="0" w:space="0" w:color="auto"/>
        <w:left w:val="none" w:sz="0" w:space="0" w:color="auto"/>
        <w:bottom w:val="none" w:sz="0" w:space="0" w:color="auto"/>
        <w:right w:val="none" w:sz="0" w:space="0" w:color="auto"/>
      </w:divBdr>
    </w:div>
    <w:div w:id="967391535">
      <w:bodyDiv w:val="1"/>
      <w:marLeft w:val="0"/>
      <w:marRight w:val="0"/>
      <w:marTop w:val="0"/>
      <w:marBottom w:val="0"/>
      <w:divBdr>
        <w:top w:val="none" w:sz="0" w:space="0" w:color="auto"/>
        <w:left w:val="none" w:sz="0" w:space="0" w:color="auto"/>
        <w:bottom w:val="none" w:sz="0" w:space="0" w:color="auto"/>
        <w:right w:val="none" w:sz="0" w:space="0" w:color="auto"/>
      </w:divBdr>
    </w:div>
    <w:div w:id="967591009">
      <w:bodyDiv w:val="1"/>
      <w:marLeft w:val="0"/>
      <w:marRight w:val="0"/>
      <w:marTop w:val="0"/>
      <w:marBottom w:val="0"/>
      <w:divBdr>
        <w:top w:val="none" w:sz="0" w:space="0" w:color="auto"/>
        <w:left w:val="none" w:sz="0" w:space="0" w:color="auto"/>
        <w:bottom w:val="none" w:sz="0" w:space="0" w:color="auto"/>
        <w:right w:val="none" w:sz="0" w:space="0" w:color="auto"/>
      </w:divBdr>
    </w:div>
    <w:div w:id="967734982">
      <w:bodyDiv w:val="1"/>
      <w:marLeft w:val="0"/>
      <w:marRight w:val="0"/>
      <w:marTop w:val="0"/>
      <w:marBottom w:val="0"/>
      <w:divBdr>
        <w:top w:val="none" w:sz="0" w:space="0" w:color="auto"/>
        <w:left w:val="none" w:sz="0" w:space="0" w:color="auto"/>
        <w:bottom w:val="none" w:sz="0" w:space="0" w:color="auto"/>
        <w:right w:val="none" w:sz="0" w:space="0" w:color="auto"/>
      </w:divBdr>
    </w:div>
    <w:div w:id="967735832">
      <w:bodyDiv w:val="1"/>
      <w:marLeft w:val="0"/>
      <w:marRight w:val="0"/>
      <w:marTop w:val="0"/>
      <w:marBottom w:val="0"/>
      <w:divBdr>
        <w:top w:val="none" w:sz="0" w:space="0" w:color="auto"/>
        <w:left w:val="none" w:sz="0" w:space="0" w:color="auto"/>
        <w:bottom w:val="none" w:sz="0" w:space="0" w:color="auto"/>
        <w:right w:val="none" w:sz="0" w:space="0" w:color="auto"/>
      </w:divBdr>
    </w:div>
    <w:div w:id="968701956">
      <w:bodyDiv w:val="1"/>
      <w:marLeft w:val="0"/>
      <w:marRight w:val="0"/>
      <w:marTop w:val="0"/>
      <w:marBottom w:val="0"/>
      <w:divBdr>
        <w:top w:val="none" w:sz="0" w:space="0" w:color="auto"/>
        <w:left w:val="none" w:sz="0" w:space="0" w:color="auto"/>
        <w:bottom w:val="none" w:sz="0" w:space="0" w:color="auto"/>
        <w:right w:val="none" w:sz="0" w:space="0" w:color="auto"/>
      </w:divBdr>
    </w:div>
    <w:div w:id="970356858">
      <w:bodyDiv w:val="1"/>
      <w:marLeft w:val="0"/>
      <w:marRight w:val="0"/>
      <w:marTop w:val="0"/>
      <w:marBottom w:val="0"/>
      <w:divBdr>
        <w:top w:val="none" w:sz="0" w:space="0" w:color="auto"/>
        <w:left w:val="none" w:sz="0" w:space="0" w:color="auto"/>
        <w:bottom w:val="none" w:sz="0" w:space="0" w:color="auto"/>
        <w:right w:val="none" w:sz="0" w:space="0" w:color="auto"/>
      </w:divBdr>
    </w:div>
    <w:div w:id="971179543">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3146183">
      <w:bodyDiv w:val="1"/>
      <w:marLeft w:val="0"/>
      <w:marRight w:val="0"/>
      <w:marTop w:val="0"/>
      <w:marBottom w:val="0"/>
      <w:divBdr>
        <w:top w:val="none" w:sz="0" w:space="0" w:color="auto"/>
        <w:left w:val="none" w:sz="0" w:space="0" w:color="auto"/>
        <w:bottom w:val="none" w:sz="0" w:space="0" w:color="auto"/>
        <w:right w:val="none" w:sz="0" w:space="0" w:color="auto"/>
      </w:divBdr>
    </w:div>
    <w:div w:id="973214702">
      <w:bodyDiv w:val="1"/>
      <w:marLeft w:val="0"/>
      <w:marRight w:val="0"/>
      <w:marTop w:val="0"/>
      <w:marBottom w:val="0"/>
      <w:divBdr>
        <w:top w:val="none" w:sz="0" w:space="0" w:color="auto"/>
        <w:left w:val="none" w:sz="0" w:space="0" w:color="auto"/>
        <w:bottom w:val="none" w:sz="0" w:space="0" w:color="auto"/>
        <w:right w:val="none" w:sz="0" w:space="0" w:color="auto"/>
      </w:divBdr>
    </w:div>
    <w:div w:id="973801314">
      <w:bodyDiv w:val="1"/>
      <w:marLeft w:val="0"/>
      <w:marRight w:val="0"/>
      <w:marTop w:val="0"/>
      <w:marBottom w:val="0"/>
      <w:divBdr>
        <w:top w:val="none" w:sz="0" w:space="0" w:color="auto"/>
        <w:left w:val="none" w:sz="0" w:space="0" w:color="auto"/>
        <w:bottom w:val="none" w:sz="0" w:space="0" w:color="auto"/>
        <w:right w:val="none" w:sz="0" w:space="0" w:color="auto"/>
      </w:divBdr>
    </w:div>
    <w:div w:id="974022009">
      <w:bodyDiv w:val="1"/>
      <w:marLeft w:val="0"/>
      <w:marRight w:val="0"/>
      <w:marTop w:val="0"/>
      <w:marBottom w:val="0"/>
      <w:divBdr>
        <w:top w:val="none" w:sz="0" w:space="0" w:color="auto"/>
        <w:left w:val="none" w:sz="0" w:space="0" w:color="auto"/>
        <w:bottom w:val="none" w:sz="0" w:space="0" w:color="auto"/>
        <w:right w:val="none" w:sz="0" w:space="0" w:color="auto"/>
      </w:divBdr>
    </w:div>
    <w:div w:id="975068128">
      <w:bodyDiv w:val="1"/>
      <w:marLeft w:val="0"/>
      <w:marRight w:val="0"/>
      <w:marTop w:val="0"/>
      <w:marBottom w:val="0"/>
      <w:divBdr>
        <w:top w:val="none" w:sz="0" w:space="0" w:color="auto"/>
        <w:left w:val="none" w:sz="0" w:space="0" w:color="auto"/>
        <w:bottom w:val="none" w:sz="0" w:space="0" w:color="auto"/>
        <w:right w:val="none" w:sz="0" w:space="0" w:color="auto"/>
      </w:divBdr>
    </w:div>
    <w:div w:id="975913796">
      <w:bodyDiv w:val="1"/>
      <w:marLeft w:val="0"/>
      <w:marRight w:val="0"/>
      <w:marTop w:val="0"/>
      <w:marBottom w:val="0"/>
      <w:divBdr>
        <w:top w:val="none" w:sz="0" w:space="0" w:color="auto"/>
        <w:left w:val="none" w:sz="0" w:space="0" w:color="auto"/>
        <w:bottom w:val="none" w:sz="0" w:space="0" w:color="auto"/>
        <w:right w:val="none" w:sz="0" w:space="0" w:color="auto"/>
      </w:divBdr>
    </w:div>
    <w:div w:id="976109874">
      <w:bodyDiv w:val="1"/>
      <w:marLeft w:val="0"/>
      <w:marRight w:val="0"/>
      <w:marTop w:val="0"/>
      <w:marBottom w:val="0"/>
      <w:divBdr>
        <w:top w:val="none" w:sz="0" w:space="0" w:color="auto"/>
        <w:left w:val="none" w:sz="0" w:space="0" w:color="auto"/>
        <w:bottom w:val="none" w:sz="0" w:space="0" w:color="auto"/>
        <w:right w:val="none" w:sz="0" w:space="0" w:color="auto"/>
      </w:divBdr>
    </w:div>
    <w:div w:id="976377982">
      <w:bodyDiv w:val="1"/>
      <w:marLeft w:val="0"/>
      <w:marRight w:val="0"/>
      <w:marTop w:val="0"/>
      <w:marBottom w:val="0"/>
      <w:divBdr>
        <w:top w:val="none" w:sz="0" w:space="0" w:color="auto"/>
        <w:left w:val="none" w:sz="0" w:space="0" w:color="auto"/>
        <w:bottom w:val="none" w:sz="0" w:space="0" w:color="auto"/>
        <w:right w:val="none" w:sz="0" w:space="0" w:color="auto"/>
      </w:divBdr>
    </w:div>
    <w:div w:id="976759175">
      <w:bodyDiv w:val="1"/>
      <w:marLeft w:val="0"/>
      <w:marRight w:val="0"/>
      <w:marTop w:val="0"/>
      <w:marBottom w:val="0"/>
      <w:divBdr>
        <w:top w:val="none" w:sz="0" w:space="0" w:color="auto"/>
        <w:left w:val="none" w:sz="0" w:space="0" w:color="auto"/>
        <w:bottom w:val="none" w:sz="0" w:space="0" w:color="auto"/>
        <w:right w:val="none" w:sz="0" w:space="0" w:color="auto"/>
      </w:divBdr>
    </w:div>
    <w:div w:id="978464418">
      <w:bodyDiv w:val="1"/>
      <w:marLeft w:val="0"/>
      <w:marRight w:val="0"/>
      <w:marTop w:val="0"/>
      <w:marBottom w:val="0"/>
      <w:divBdr>
        <w:top w:val="none" w:sz="0" w:space="0" w:color="auto"/>
        <w:left w:val="none" w:sz="0" w:space="0" w:color="auto"/>
        <w:bottom w:val="none" w:sz="0" w:space="0" w:color="auto"/>
        <w:right w:val="none" w:sz="0" w:space="0" w:color="auto"/>
      </w:divBdr>
    </w:div>
    <w:div w:id="979380884">
      <w:bodyDiv w:val="1"/>
      <w:marLeft w:val="0"/>
      <w:marRight w:val="0"/>
      <w:marTop w:val="0"/>
      <w:marBottom w:val="0"/>
      <w:divBdr>
        <w:top w:val="none" w:sz="0" w:space="0" w:color="auto"/>
        <w:left w:val="none" w:sz="0" w:space="0" w:color="auto"/>
        <w:bottom w:val="none" w:sz="0" w:space="0" w:color="auto"/>
        <w:right w:val="none" w:sz="0" w:space="0" w:color="auto"/>
      </w:divBdr>
    </w:div>
    <w:div w:id="979463581">
      <w:bodyDiv w:val="1"/>
      <w:marLeft w:val="0"/>
      <w:marRight w:val="0"/>
      <w:marTop w:val="0"/>
      <w:marBottom w:val="0"/>
      <w:divBdr>
        <w:top w:val="none" w:sz="0" w:space="0" w:color="auto"/>
        <w:left w:val="none" w:sz="0" w:space="0" w:color="auto"/>
        <w:bottom w:val="none" w:sz="0" w:space="0" w:color="auto"/>
        <w:right w:val="none" w:sz="0" w:space="0" w:color="auto"/>
      </w:divBdr>
    </w:div>
    <w:div w:id="980503059">
      <w:bodyDiv w:val="1"/>
      <w:marLeft w:val="0"/>
      <w:marRight w:val="0"/>
      <w:marTop w:val="0"/>
      <w:marBottom w:val="0"/>
      <w:divBdr>
        <w:top w:val="none" w:sz="0" w:space="0" w:color="auto"/>
        <w:left w:val="none" w:sz="0" w:space="0" w:color="auto"/>
        <w:bottom w:val="none" w:sz="0" w:space="0" w:color="auto"/>
        <w:right w:val="none" w:sz="0" w:space="0" w:color="auto"/>
      </w:divBdr>
    </w:div>
    <w:div w:id="981471559">
      <w:bodyDiv w:val="1"/>
      <w:marLeft w:val="0"/>
      <w:marRight w:val="0"/>
      <w:marTop w:val="0"/>
      <w:marBottom w:val="0"/>
      <w:divBdr>
        <w:top w:val="none" w:sz="0" w:space="0" w:color="auto"/>
        <w:left w:val="none" w:sz="0" w:space="0" w:color="auto"/>
        <w:bottom w:val="none" w:sz="0" w:space="0" w:color="auto"/>
        <w:right w:val="none" w:sz="0" w:space="0" w:color="auto"/>
      </w:divBdr>
    </w:div>
    <w:div w:id="981545280">
      <w:bodyDiv w:val="1"/>
      <w:marLeft w:val="0"/>
      <w:marRight w:val="0"/>
      <w:marTop w:val="0"/>
      <w:marBottom w:val="0"/>
      <w:divBdr>
        <w:top w:val="none" w:sz="0" w:space="0" w:color="auto"/>
        <w:left w:val="none" w:sz="0" w:space="0" w:color="auto"/>
        <w:bottom w:val="none" w:sz="0" w:space="0" w:color="auto"/>
        <w:right w:val="none" w:sz="0" w:space="0" w:color="auto"/>
      </w:divBdr>
    </w:div>
    <w:div w:id="981692542">
      <w:bodyDiv w:val="1"/>
      <w:marLeft w:val="0"/>
      <w:marRight w:val="0"/>
      <w:marTop w:val="0"/>
      <w:marBottom w:val="0"/>
      <w:divBdr>
        <w:top w:val="none" w:sz="0" w:space="0" w:color="auto"/>
        <w:left w:val="none" w:sz="0" w:space="0" w:color="auto"/>
        <w:bottom w:val="none" w:sz="0" w:space="0" w:color="auto"/>
        <w:right w:val="none" w:sz="0" w:space="0" w:color="auto"/>
      </w:divBdr>
    </w:div>
    <w:div w:id="982584511">
      <w:bodyDiv w:val="1"/>
      <w:marLeft w:val="0"/>
      <w:marRight w:val="0"/>
      <w:marTop w:val="0"/>
      <w:marBottom w:val="0"/>
      <w:divBdr>
        <w:top w:val="none" w:sz="0" w:space="0" w:color="auto"/>
        <w:left w:val="none" w:sz="0" w:space="0" w:color="auto"/>
        <w:bottom w:val="none" w:sz="0" w:space="0" w:color="auto"/>
        <w:right w:val="none" w:sz="0" w:space="0" w:color="auto"/>
      </w:divBdr>
    </w:div>
    <w:div w:id="982854013">
      <w:bodyDiv w:val="1"/>
      <w:marLeft w:val="0"/>
      <w:marRight w:val="0"/>
      <w:marTop w:val="0"/>
      <w:marBottom w:val="0"/>
      <w:divBdr>
        <w:top w:val="none" w:sz="0" w:space="0" w:color="auto"/>
        <w:left w:val="none" w:sz="0" w:space="0" w:color="auto"/>
        <w:bottom w:val="none" w:sz="0" w:space="0" w:color="auto"/>
        <w:right w:val="none" w:sz="0" w:space="0" w:color="auto"/>
      </w:divBdr>
    </w:div>
    <w:div w:id="983776116">
      <w:bodyDiv w:val="1"/>
      <w:marLeft w:val="0"/>
      <w:marRight w:val="0"/>
      <w:marTop w:val="0"/>
      <w:marBottom w:val="0"/>
      <w:divBdr>
        <w:top w:val="none" w:sz="0" w:space="0" w:color="auto"/>
        <w:left w:val="none" w:sz="0" w:space="0" w:color="auto"/>
        <w:bottom w:val="none" w:sz="0" w:space="0" w:color="auto"/>
        <w:right w:val="none" w:sz="0" w:space="0" w:color="auto"/>
      </w:divBdr>
    </w:div>
    <w:div w:id="984116326">
      <w:bodyDiv w:val="1"/>
      <w:marLeft w:val="0"/>
      <w:marRight w:val="0"/>
      <w:marTop w:val="0"/>
      <w:marBottom w:val="0"/>
      <w:divBdr>
        <w:top w:val="none" w:sz="0" w:space="0" w:color="auto"/>
        <w:left w:val="none" w:sz="0" w:space="0" w:color="auto"/>
        <w:bottom w:val="none" w:sz="0" w:space="0" w:color="auto"/>
        <w:right w:val="none" w:sz="0" w:space="0" w:color="auto"/>
      </w:divBdr>
    </w:div>
    <w:div w:id="985428438">
      <w:bodyDiv w:val="1"/>
      <w:marLeft w:val="0"/>
      <w:marRight w:val="0"/>
      <w:marTop w:val="0"/>
      <w:marBottom w:val="0"/>
      <w:divBdr>
        <w:top w:val="none" w:sz="0" w:space="0" w:color="auto"/>
        <w:left w:val="none" w:sz="0" w:space="0" w:color="auto"/>
        <w:bottom w:val="none" w:sz="0" w:space="0" w:color="auto"/>
        <w:right w:val="none" w:sz="0" w:space="0" w:color="auto"/>
      </w:divBdr>
    </w:div>
    <w:div w:id="985931442">
      <w:bodyDiv w:val="1"/>
      <w:marLeft w:val="0"/>
      <w:marRight w:val="0"/>
      <w:marTop w:val="0"/>
      <w:marBottom w:val="0"/>
      <w:divBdr>
        <w:top w:val="none" w:sz="0" w:space="0" w:color="auto"/>
        <w:left w:val="none" w:sz="0" w:space="0" w:color="auto"/>
        <w:bottom w:val="none" w:sz="0" w:space="0" w:color="auto"/>
        <w:right w:val="none" w:sz="0" w:space="0" w:color="auto"/>
      </w:divBdr>
    </w:div>
    <w:div w:id="986130433">
      <w:bodyDiv w:val="1"/>
      <w:marLeft w:val="0"/>
      <w:marRight w:val="0"/>
      <w:marTop w:val="0"/>
      <w:marBottom w:val="0"/>
      <w:divBdr>
        <w:top w:val="none" w:sz="0" w:space="0" w:color="auto"/>
        <w:left w:val="none" w:sz="0" w:space="0" w:color="auto"/>
        <w:bottom w:val="none" w:sz="0" w:space="0" w:color="auto"/>
        <w:right w:val="none" w:sz="0" w:space="0" w:color="auto"/>
      </w:divBdr>
    </w:div>
    <w:div w:id="986402511">
      <w:bodyDiv w:val="1"/>
      <w:marLeft w:val="0"/>
      <w:marRight w:val="0"/>
      <w:marTop w:val="0"/>
      <w:marBottom w:val="0"/>
      <w:divBdr>
        <w:top w:val="none" w:sz="0" w:space="0" w:color="auto"/>
        <w:left w:val="none" w:sz="0" w:space="0" w:color="auto"/>
        <w:bottom w:val="none" w:sz="0" w:space="0" w:color="auto"/>
        <w:right w:val="none" w:sz="0" w:space="0" w:color="auto"/>
      </w:divBdr>
    </w:div>
    <w:div w:id="987783693">
      <w:bodyDiv w:val="1"/>
      <w:marLeft w:val="0"/>
      <w:marRight w:val="0"/>
      <w:marTop w:val="0"/>
      <w:marBottom w:val="0"/>
      <w:divBdr>
        <w:top w:val="none" w:sz="0" w:space="0" w:color="auto"/>
        <w:left w:val="none" w:sz="0" w:space="0" w:color="auto"/>
        <w:bottom w:val="none" w:sz="0" w:space="0" w:color="auto"/>
        <w:right w:val="none" w:sz="0" w:space="0" w:color="auto"/>
      </w:divBdr>
    </w:div>
    <w:div w:id="987978582">
      <w:bodyDiv w:val="1"/>
      <w:marLeft w:val="0"/>
      <w:marRight w:val="0"/>
      <w:marTop w:val="0"/>
      <w:marBottom w:val="0"/>
      <w:divBdr>
        <w:top w:val="none" w:sz="0" w:space="0" w:color="auto"/>
        <w:left w:val="none" w:sz="0" w:space="0" w:color="auto"/>
        <w:bottom w:val="none" w:sz="0" w:space="0" w:color="auto"/>
        <w:right w:val="none" w:sz="0" w:space="0" w:color="auto"/>
      </w:divBdr>
    </w:div>
    <w:div w:id="989332349">
      <w:bodyDiv w:val="1"/>
      <w:marLeft w:val="0"/>
      <w:marRight w:val="0"/>
      <w:marTop w:val="0"/>
      <w:marBottom w:val="0"/>
      <w:divBdr>
        <w:top w:val="none" w:sz="0" w:space="0" w:color="auto"/>
        <w:left w:val="none" w:sz="0" w:space="0" w:color="auto"/>
        <w:bottom w:val="none" w:sz="0" w:space="0" w:color="auto"/>
        <w:right w:val="none" w:sz="0" w:space="0" w:color="auto"/>
      </w:divBdr>
    </w:div>
    <w:div w:id="990527385">
      <w:bodyDiv w:val="1"/>
      <w:marLeft w:val="0"/>
      <w:marRight w:val="0"/>
      <w:marTop w:val="0"/>
      <w:marBottom w:val="0"/>
      <w:divBdr>
        <w:top w:val="none" w:sz="0" w:space="0" w:color="auto"/>
        <w:left w:val="none" w:sz="0" w:space="0" w:color="auto"/>
        <w:bottom w:val="none" w:sz="0" w:space="0" w:color="auto"/>
        <w:right w:val="none" w:sz="0" w:space="0" w:color="auto"/>
      </w:divBdr>
    </w:div>
    <w:div w:id="991569806">
      <w:bodyDiv w:val="1"/>
      <w:marLeft w:val="0"/>
      <w:marRight w:val="0"/>
      <w:marTop w:val="0"/>
      <w:marBottom w:val="0"/>
      <w:divBdr>
        <w:top w:val="none" w:sz="0" w:space="0" w:color="auto"/>
        <w:left w:val="none" w:sz="0" w:space="0" w:color="auto"/>
        <w:bottom w:val="none" w:sz="0" w:space="0" w:color="auto"/>
        <w:right w:val="none" w:sz="0" w:space="0" w:color="auto"/>
      </w:divBdr>
    </w:div>
    <w:div w:id="991644443">
      <w:bodyDiv w:val="1"/>
      <w:marLeft w:val="0"/>
      <w:marRight w:val="0"/>
      <w:marTop w:val="0"/>
      <w:marBottom w:val="0"/>
      <w:divBdr>
        <w:top w:val="none" w:sz="0" w:space="0" w:color="auto"/>
        <w:left w:val="none" w:sz="0" w:space="0" w:color="auto"/>
        <w:bottom w:val="none" w:sz="0" w:space="0" w:color="auto"/>
        <w:right w:val="none" w:sz="0" w:space="0" w:color="auto"/>
      </w:divBdr>
    </w:div>
    <w:div w:id="995232318">
      <w:bodyDiv w:val="1"/>
      <w:marLeft w:val="0"/>
      <w:marRight w:val="0"/>
      <w:marTop w:val="0"/>
      <w:marBottom w:val="0"/>
      <w:divBdr>
        <w:top w:val="none" w:sz="0" w:space="0" w:color="auto"/>
        <w:left w:val="none" w:sz="0" w:space="0" w:color="auto"/>
        <w:bottom w:val="none" w:sz="0" w:space="0" w:color="auto"/>
        <w:right w:val="none" w:sz="0" w:space="0" w:color="auto"/>
      </w:divBdr>
    </w:div>
    <w:div w:id="996151340">
      <w:bodyDiv w:val="1"/>
      <w:marLeft w:val="0"/>
      <w:marRight w:val="0"/>
      <w:marTop w:val="0"/>
      <w:marBottom w:val="0"/>
      <w:divBdr>
        <w:top w:val="none" w:sz="0" w:space="0" w:color="auto"/>
        <w:left w:val="none" w:sz="0" w:space="0" w:color="auto"/>
        <w:bottom w:val="none" w:sz="0" w:space="0" w:color="auto"/>
        <w:right w:val="none" w:sz="0" w:space="0" w:color="auto"/>
      </w:divBdr>
    </w:div>
    <w:div w:id="997028380">
      <w:bodyDiv w:val="1"/>
      <w:marLeft w:val="0"/>
      <w:marRight w:val="0"/>
      <w:marTop w:val="0"/>
      <w:marBottom w:val="0"/>
      <w:divBdr>
        <w:top w:val="none" w:sz="0" w:space="0" w:color="auto"/>
        <w:left w:val="none" w:sz="0" w:space="0" w:color="auto"/>
        <w:bottom w:val="none" w:sz="0" w:space="0" w:color="auto"/>
        <w:right w:val="none" w:sz="0" w:space="0" w:color="auto"/>
      </w:divBdr>
    </w:div>
    <w:div w:id="997805883">
      <w:bodyDiv w:val="1"/>
      <w:marLeft w:val="0"/>
      <w:marRight w:val="0"/>
      <w:marTop w:val="0"/>
      <w:marBottom w:val="0"/>
      <w:divBdr>
        <w:top w:val="none" w:sz="0" w:space="0" w:color="auto"/>
        <w:left w:val="none" w:sz="0" w:space="0" w:color="auto"/>
        <w:bottom w:val="none" w:sz="0" w:space="0" w:color="auto"/>
        <w:right w:val="none" w:sz="0" w:space="0" w:color="auto"/>
      </w:divBdr>
    </w:div>
    <w:div w:id="997998806">
      <w:bodyDiv w:val="1"/>
      <w:marLeft w:val="0"/>
      <w:marRight w:val="0"/>
      <w:marTop w:val="0"/>
      <w:marBottom w:val="0"/>
      <w:divBdr>
        <w:top w:val="none" w:sz="0" w:space="0" w:color="auto"/>
        <w:left w:val="none" w:sz="0" w:space="0" w:color="auto"/>
        <w:bottom w:val="none" w:sz="0" w:space="0" w:color="auto"/>
        <w:right w:val="none" w:sz="0" w:space="0" w:color="auto"/>
      </w:divBdr>
    </w:div>
    <w:div w:id="998508108">
      <w:bodyDiv w:val="1"/>
      <w:marLeft w:val="0"/>
      <w:marRight w:val="0"/>
      <w:marTop w:val="0"/>
      <w:marBottom w:val="0"/>
      <w:divBdr>
        <w:top w:val="none" w:sz="0" w:space="0" w:color="auto"/>
        <w:left w:val="none" w:sz="0" w:space="0" w:color="auto"/>
        <w:bottom w:val="none" w:sz="0" w:space="0" w:color="auto"/>
        <w:right w:val="none" w:sz="0" w:space="0" w:color="auto"/>
      </w:divBdr>
    </w:div>
    <w:div w:id="999969799">
      <w:bodyDiv w:val="1"/>
      <w:marLeft w:val="0"/>
      <w:marRight w:val="0"/>
      <w:marTop w:val="0"/>
      <w:marBottom w:val="0"/>
      <w:divBdr>
        <w:top w:val="none" w:sz="0" w:space="0" w:color="auto"/>
        <w:left w:val="none" w:sz="0" w:space="0" w:color="auto"/>
        <w:bottom w:val="none" w:sz="0" w:space="0" w:color="auto"/>
        <w:right w:val="none" w:sz="0" w:space="0" w:color="auto"/>
      </w:divBdr>
    </w:div>
    <w:div w:id="1001275182">
      <w:bodyDiv w:val="1"/>
      <w:marLeft w:val="0"/>
      <w:marRight w:val="0"/>
      <w:marTop w:val="0"/>
      <w:marBottom w:val="0"/>
      <w:divBdr>
        <w:top w:val="none" w:sz="0" w:space="0" w:color="auto"/>
        <w:left w:val="none" w:sz="0" w:space="0" w:color="auto"/>
        <w:bottom w:val="none" w:sz="0" w:space="0" w:color="auto"/>
        <w:right w:val="none" w:sz="0" w:space="0" w:color="auto"/>
      </w:divBdr>
    </w:div>
    <w:div w:id="1002708670">
      <w:bodyDiv w:val="1"/>
      <w:marLeft w:val="0"/>
      <w:marRight w:val="0"/>
      <w:marTop w:val="0"/>
      <w:marBottom w:val="0"/>
      <w:divBdr>
        <w:top w:val="none" w:sz="0" w:space="0" w:color="auto"/>
        <w:left w:val="none" w:sz="0" w:space="0" w:color="auto"/>
        <w:bottom w:val="none" w:sz="0" w:space="0" w:color="auto"/>
        <w:right w:val="none" w:sz="0" w:space="0" w:color="auto"/>
      </w:divBdr>
    </w:div>
    <w:div w:id="1004479391">
      <w:bodyDiv w:val="1"/>
      <w:marLeft w:val="0"/>
      <w:marRight w:val="0"/>
      <w:marTop w:val="0"/>
      <w:marBottom w:val="0"/>
      <w:divBdr>
        <w:top w:val="none" w:sz="0" w:space="0" w:color="auto"/>
        <w:left w:val="none" w:sz="0" w:space="0" w:color="auto"/>
        <w:bottom w:val="none" w:sz="0" w:space="0" w:color="auto"/>
        <w:right w:val="none" w:sz="0" w:space="0" w:color="auto"/>
      </w:divBdr>
    </w:div>
    <w:div w:id="1005205447">
      <w:bodyDiv w:val="1"/>
      <w:marLeft w:val="0"/>
      <w:marRight w:val="0"/>
      <w:marTop w:val="0"/>
      <w:marBottom w:val="0"/>
      <w:divBdr>
        <w:top w:val="none" w:sz="0" w:space="0" w:color="auto"/>
        <w:left w:val="none" w:sz="0" w:space="0" w:color="auto"/>
        <w:bottom w:val="none" w:sz="0" w:space="0" w:color="auto"/>
        <w:right w:val="none" w:sz="0" w:space="0" w:color="auto"/>
      </w:divBdr>
    </w:div>
    <w:div w:id="1006396775">
      <w:bodyDiv w:val="1"/>
      <w:marLeft w:val="0"/>
      <w:marRight w:val="0"/>
      <w:marTop w:val="0"/>
      <w:marBottom w:val="0"/>
      <w:divBdr>
        <w:top w:val="none" w:sz="0" w:space="0" w:color="auto"/>
        <w:left w:val="none" w:sz="0" w:space="0" w:color="auto"/>
        <w:bottom w:val="none" w:sz="0" w:space="0" w:color="auto"/>
        <w:right w:val="none" w:sz="0" w:space="0" w:color="auto"/>
      </w:divBdr>
    </w:div>
    <w:div w:id="1006401473">
      <w:bodyDiv w:val="1"/>
      <w:marLeft w:val="0"/>
      <w:marRight w:val="0"/>
      <w:marTop w:val="0"/>
      <w:marBottom w:val="0"/>
      <w:divBdr>
        <w:top w:val="none" w:sz="0" w:space="0" w:color="auto"/>
        <w:left w:val="none" w:sz="0" w:space="0" w:color="auto"/>
        <w:bottom w:val="none" w:sz="0" w:space="0" w:color="auto"/>
        <w:right w:val="none" w:sz="0" w:space="0" w:color="auto"/>
      </w:divBdr>
    </w:div>
    <w:div w:id="1007682121">
      <w:bodyDiv w:val="1"/>
      <w:marLeft w:val="0"/>
      <w:marRight w:val="0"/>
      <w:marTop w:val="0"/>
      <w:marBottom w:val="0"/>
      <w:divBdr>
        <w:top w:val="none" w:sz="0" w:space="0" w:color="auto"/>
        <w:left w:val="none" w:sz="0" w:space="0" w:color="auto"/>
        <w:bottom w:val="none" w:sz="0" w:space="0" w:color="auto"/>
        <w:right w:val="none" w:sz="0" w:space="0" w:color="auto"/>
      </w:divBdr>
    </w:div>
    <w:div w:id="1007949667">
      <w:bodyDiv w:val="1"/>
      <w:marLeft w:val="0"/>
      <w:marRight w:val="0"/>
      <w:marTop w:val="0"/>
      <w:marBottom w:val="0"/>
      <w:divBdr>
        <w:top w:val="none" w:sz="0" w:space="0" w:color="auto"/>
        <w:left w:val="none" w:sz="0" w:space="0" w:color="auto"/>
        <w:bottom w:val="none" w:sz="0" w:space="0" w:color="auto"/>
        <w:right w:val="none" w:sz="0" w:space="0" w:color="auto"/>
      </w:divBdr>
    </w:div>
    <w:div w:id="1008144795">
      <w:bodyDiv w:val="1"/>
      <w:marLeft w:val="0"/>
      <w:marRight w:val="0"/>
      <w:marTop w:val="0"/>
      <w:marBottom w:val="0"/>
      <w:divBdr>
        <w:top w:val="none" w:sz="0" w:space="0" w:color="auto"/>
        <w:left w:val="none" w:sz="0" w:space="0" w:color="auto"/>
        <w:bottom w:val="none" w:sz="0" w:space="0" w:color="auto"/>
        <w:right w:val="none" w:sz="0" w:space="0" w:color="auto"/>
      </w:divBdr>
    </w:div>
    <w:div w:id="1009142015">
      <w:bodyDiv w:val="1"/>
      <w:marLeft w:val="0"/>
      <w:marRight w:val="0"/>
      <w:marTop w:val="0"/>
      <w:marBottom w:val="0"/>
      <w:divBdr>
        <w:top w:val="none" w:sz="0" w:space="0" w:color="auto"/>
        <w:left w:val="none" w:sz="0" w:space="0" w:color="auto"/>
        <w:bottom w:val="none" w:sz="0" w:space="0" w:color="auto"/>
        <w:right w:val="none" w:sz="0" w:space="0" w:color="auto"/>
      </w:divBdr>
    </w:div>
    <w:div w:id="1010378298">
      <w:bodyDiv w:val="1"/>
      <w:marLeft w:val="0"/>
      <w:marRight w:val="0"/>
      <w:marTop w:val="0"/>
      <w:marBottom w:val="0"/>
      <w:divBdr>
        <w:top w:val="none" w:sz="0" w:space="0" w:color="auto"/>
        <w:left w:val="none" w:sz="0" w:space="0" w:color="auto"/>
        <w:bottom w:val="none" w:sz="0" w:space="0" w:color="auto"/>
        <w:right w:val="none" w:sz="0" w:space="0" w:color="auto"/>
      </w:divBdr>
    </w:div>
    <w:div w:id="1012144946">
      <w:bodyDiv w:val="1"/>
      <w:marLeft w:val="0"/>
      <w:marRight w:val="0"/>
      <w:marTop w:val="0"/>
      <w:marBottom w:val="0"/>
      <w:divBdr>
        <w:top w:val="none" w:sz="0" w:space="0" w:color="auto"/>
        <w:left w:val="none" w:sz="0" w:space="0" w:color="auto"/>
        <w:bottom w:val="none" w:sz="0" w:space="0" w:color="auto"/>
        <w:right w:val="none" w:sz="0" w:space="0" w:color="auto"/>
      </w:divBdr>
    </w:div>
    <w:div w:id="1012301503">
      <w:bodyDiv w:val="1"/>
      <w:marLeft w:val="0"/>
      <w:marRight w:val="0"/>
      <w:marTop w:val="0"/>
      <w:marBottom w:val="0"/>
      <w:divBdr>
        <w:top w:val="none" w:sz="0" w:space="0" w:color="auto"/>
        <w:left w:val="none" w:sz="0" w:space="0" w:color="auto"/>
        <w:bottom w:val="none" w:sz="0" w:space="0" w:color="auto"/>
        <w:right w:val="none" w:sz="0" w:space="0" w:color="auto"/>
      </w:divBdr>
    </w:div>
    <w:div w:id="1013339825">
      <w:bodyDiv w:val="1"/>
      <w:marLeft w:val="0"/>
      <w:marRight w:val="0"/>
      <w:marTop w:val="0"/>
      <w:marBottom w:val="0"/>
      <w:divBdr>
        <w:top w:val="none" w:sz="0" w:space="0" w:color="auto"/>
        <w:left w:val="none" w:sz="0" w:space="0" w:color="auto"/>
        <w:bottom w:val="none" w:sz="0" w:space="0" w:color="auto"/>
        <w:right w:val="none" w:sz="0" w:space="0" w:color="auto"/>
      </w:divBdr>
    </w:div>
    <w:div w:id="1013610241">
      <w:bodyDiv w:val="1"/>
      <w:marLeft w:val="0"/>
      <w:marRight w:val="0"/>
      <w:marTop w:val="0"/>
      <w:marBottom w:val="0"/>
      <w:divBdr>
        <w:top w:val="none" w:sz="0" w:space="0" w:color="auto"/>
        <w:left w:val="none" w:sz="0" w:space="0" w:color="auto"/>
        <w:bottom w:val="none" w:sz="0" w:space="0" w:color="auto"/>
        <w:right w:val="none" w:sz="0" w:space="0" w:color="auto"/>
      </w:divBdr>
    </w:div>
    <w:div w:id="1015352218">
      <w:bodyDiv w:val="1"/>
      <w:marLeft w:val="0"/>
      <w:marRight w:val="0"/>
      <w:marTop w:val="0"/>
      <w:marBottom w:val="0"/>
      <w:divBdr>
        <w:top w:val="none" w:sz="0" w:space="0" w:color="auto"/>
        <w:left w:val="none" w:sz="0" w:space="0" w:color="auto"/>
        <w:bottom w:val="none" w:sz="0" w:space="0" w:color="auto"/>
        <w:right w:val="none" w:sz="0" w:space="0" w:color="auto"/>
      </w:divBdr>
    </w:div>
    <w:div w:id="1015498087">
      <w:bodyDiv w:val="1"/>
      <w:marLeft w:val="0"/>
      <w:marRight w:val="0"/>
      <w:marTop w:val="0"/>
      <w:marBottom w:val="0"/>
      <w:divBdr>
        <w:top w:val="none" w:sz="0" w:space="0" w:color="auto"/>
        <w:left w:val="none" w:sz="0" w:space="0" w:color="auto"/>
        <w:bottom w:val="none" w:sz="0" w:space="0" w:color="auto"/>
        <w:right w:val="none" w:sz="0" w:space="0" w:color="auto"/>
      </w:divBdr>
    </w:div>
    <w:div w:id="1016468116">
      <w:bodyDiv w:val="1"/>
      <w:marLeft w:val="0"/>
      <w:marRight w:val="0"/>
      <w:marTop w:val="0"/>
      <w:marBottom w:val="0"/>
      <w:divBdr>
        <w:top w:val="none" w:sz="0" w:space="0" w:color="auto"/>
        <w:left w:val="none" w:sz="0" w:space="0" w:color="auto"/>
        <w:bottom w:val="none" w:sz="0" w:space="0" w:color="auto"/>
        <w:right w:val="none" w:sz="0" w:space="0" w:color="auto"/>
      </w:divBdr>
    </w:div>
    <w:div w:id="1016617481">
      <w:bodyDiv w:val="1"/>
      <w:marLeft w:val="0"/>
      <w:marRight w:val="0"/>
      <w:marTop w:val="0"/>
      <w:marBottom w:val="0"/>
      <w:divBdr>
        <w:top w:val="none" w:sz="0" w:space="0" w:color="auto"/>
        <w:left w:val="none" w:sz="0" w:space="0" w:color="auto"/>
        <w:bottom w:val="none" w:sz="0" w:space="0" w:color="auto"/>
        <w:right w:val="none" w:sz="0" w:space="0" w:color="auto"/>
      </w:divBdr>
    </w:div>
    <w:div w:id="1016806190">
      <w:bodyDiv w:val="1"/>
      <w:marLeft w:val="0"/>
      <w:marRight w:val="0"/>
      <w:marTop w:val="0"/>
      <w:marBottom w:val="0"/>
      <w:divBdr>
        <w:top w:val="none" w:sz="0" w:space="0" w:color="auto"/>
        <w:left w:val="none" w:sz="0" w:space="0" w:color="auto"/>
        <w:bottom w:val="none" w:sz="0" w:space="0" w:color="auto"/>
        <w:right w:val="none" w:sz="0" w:space="0" w:color="auto"/>
      </w:divBdr>
    </w:div>
    <w:div w:id="1018852962">
      <w:bodyDiv w:val="1"/>
      <w:marLeft w:val="0"/>
      <w:marRight w:val="0"/>
      <w:marTop w:val="0"/>
      <w:marBottom w:val="0"/>
      <w:divBdr>
        <w:top w:val="none" w:sz="0" w:space="0" w:color="auto"/>
        <w:left w:val="none" w:sz="0" w:space="0" w:color="auto"/>
        <w:bottom w:val="none" w:sz="0" w:space="0" w:color="auto"/>
        <w:right w:val="none" w:sz="0" w:space="0" w:color="auto"/>
      </w:divBdr>
    </w:div>
    <w:div w:id="1019507086">
      <w:bodyDiv w:val="1"/>
      <w:marLeft w:val="0"/>
      <w:marRight w:val="0"/>
      <w:marTop w:val="0"/>
      <w:marBottom w:val="0"/>
      <w:divBdr>
        <w:top w:val="none" w:sz="0" w:space="0" w:color="auto"/>
        <w:left w:val="none" w:sz="0" w:space="0" w:color="auto"/>
        <w:bottom w:val="none" w:sz="0" w:space="0" w:color="auto"/>
        <w:right w:val="none" w:sz="0" w:space="0" w:color="auto"/>
      </w:divBdr>
    </w:div>
    <w:div w:id="1020084323">
      <w:bodyDiv w:val="1"/>
      <w:marLeft w:val="0"/>
      <w:marRight w:val="0"/>
      <w:marTop w:val="0"/>
      <w:marBottom w:val="0"/>
      <w:divBdr>
        <w:top w:val="none" w:sz="0" w:space="0" w:color="auto"/>
        <w:left w:val="none" w:sz="0" w:space="0" w:color="auto"/>
        <w:bottom w:val="none" w:sz="0" w:space="0" w:color="auto"/>
        <w:right w:val="none" w:sz="0" w:space="0" w:color="auto"/>
      </w:divBdr>
    </w:div>
    <w:div w:id="1020669002">
      <w:bodyDiv w:val="1"/>
      <w:marLeft w:val="0"/>
      <w:marRight w:val="0"/>
      <w:marTop w:val="0"/>
      <w:marBottom w:val="0"/>
      <w:divBdr>
        <w:top w:val="none" w:sz="0" w:space="0" w:color="auto"/>
        <w:left w:val="none" w:sz="0" w:space="0" w:color="auto"/>
        <w:bottom w:val="none" w:sz="0" w:space="0" w:color="auto"/>
        <w:right w:val="none" w:sz="0" w:space="0" w:color="auto"/>
      </w:divBdr>
    </w:div>
    <w:div w:id="1021051797">
      <w:bodyDiv w:val="1"/>
      <w:marLeft w:val="0"/>
      <w:marRight w:val="0"/>
      <w:marTop w:val="0"/>
      <w:marBottom w:val="0"/>
      <w:divBdr>
        <w:top w:val="none" w:sz="0" w:space="0" w:color="auto"/>
        <w:left w:val="none" w:sz="0" w:space="0" w:color="auto"/>
        <w:bottom w:val="none" w:sz="0" w:space="0" w:color="auto"/>
        <w:right w:val="none" w:sz="0" w:space="0" w:color="auto"/>
      </w:divBdr>
    </w:div>
    <w:div w:id="1022241507">
      <w:bodyDiv w:val="1"/>
      <w:marLeft w:val="0"/>
      <w:marRight w:val="0"/>
      <w:marTop w:val="0"/>
      <w:marBottom w:val="0"/>
      <w:divBdr>
        <w:top w:val="none" w:sz="0" w:space="0" w:color="auto"/>
        <w:left w:val="none" w:sz="0" w:space="0" w:color="auto"/>
        <w:bottom w:val="none" w:sz="0" w:space="0" w:color="auto"/>
        <w:right w:val="none" w:sz="0" w:space="0" w:color="auto"/>
      </w:divBdr>
    </w:div>
    <w:div w:id="1022633862">
      <w:bodyDiv w:val="1"/>
      <w:marLeft w:val="0"/>
      <w:marRight w:val="0"/>
      <w:marTop w:val="0"/>
      <w:marBottom w:val="0"/>
      <w:divBdr>
        <w:top w:val="none" w:sz="0" w:space="0" w:color="auto"/>
        <w:left w:val="none" w:sz="0" w:space="0" w:color="auto"/>
        <w:bottom w:val="none" w:sz="0" w:space="0" w:color="auto"/>
        <w:right w:val="none" w:sz="0" w:space="0" w:color="auto"/>
      </w:divBdr>
    </w:div>
    <w:div w:id="1024214845">
      <w:bodyDiv w:val="1"/>
      <w:marLeft w:val="0"/>
      <w:marRight w:val="0"/>
      <w:marTop w:val="0"/>
      <w:marBottom w:val="0"/>
      <w:divBdr>
        <w:top w:val="none" w:sz="0" w:space="0" w:color="auto"/>
        <w:left w:val="none" w:sz="0" w:space="0" w:color="auto"/>
        <w:bottom w:val="none" w:sz="0" w:space="0" w:color="auto"/>
        <w:right w:val="none" w:sz="0" w:space="0" w:color="auto"/>
      </w:divBdr>
    </w:div>
    <w:div w:id="1024401272">
      <w:bodyDiv w:val="1"/>
      <w:marLeft w:val="0"/>
      <w:marRight w:val="0"/>
      <w:marTop w:val="0"/>
      <w:marBottom w:val="0"/>
      <w:divBdr>
        <w:top w:val="none" w:sz="0" w:space="0" w:color="auto"/>
        <w:left w:val="none" w:sz="0" w:space="0" w:color="auto"/>
        <w:bottom w:val="none" w:sz="0" w:space="0" w:color="auto"/>
        <w:right w:val="none" w:sz="0" w:space="0" w:color="auto"/>
      </w:divBdr>
    </w:div>
    <w:div w:id="1026978744">
      <w:bodyDiv w:val="1"/>
      <w:marLeft w:val="0"/>
      <w:marRight w:val="0"/>
      <w:marTop w:val="0"/>
      <w:marBottom w:val="0"/>
      <w:divBdr>
        <w:top w:val="none" w:sz="0" w:space="0" w:color="auto"/>
        <w:left w:val="none" w:sz="0" w:space="0" w:color="auto"/>
        <w:bottom w:val="none" w:sz="0" w:space="0" w:color="auto"/>
        <w:right w:val="none" w:sz="0" w:space="0" w:color="auto"/>
      </w:divBdr>
    </w:div>
    <w:div w:id="1029722210">
      <w:bodyDiv w:val="1"/>
      <w:marLeft w:val="0"/>
      <w:marRight w:val="0"/>
      <w:marTop w:val="0"/>
      <w:marBottom w:val="0"/>
      <w:divBdr>
        <w:top w:val="none" w:sz="0" w:space="0" w:color="auto"/>
        <w:left w:val="none" w:sz="0" w:space="0" w:color="auto"/>
        <w:bottom w:val="none" w:sz="0" w:space="0" w:color="auto"/>
        <w:right w:val="none" w:sz="0" w:space="0" w:color="auto"/>
      </w:divBdr>
    </w:div>
    <w:div w:id="1032802719">
      <w:bodyDiv w:val="1"/>
      <w:marLeft w:val="0"/>
      <w:marRight w:val="0"/>
      <w:marTop w:val="0"/>
      <w:marBottom w:val="0"/>
      <w:divBdr>
        <w:top w:val="none" w:sz="0" w:space="0" w:color="auto"/>
        <w:left w:val="none" w:sz="0" w:space="0" w:color="auto"/>
        <w:bottom w:val="none" w:sz="0" w:space="0" w:color="auto"/>
        <w:right w:val="none" w:sz="0" w:space="0" w:color="auto"/>
      </w:divBdr>
    </w:div>
    <w:div w:id="1033578400">
      <w:bodyDiv w:val="1"/>
      <w:marLeft w:val="0"/>
      <w:marRight w:val="0"/>
      <w:marTop w:val="0"/>
      <w:marBottom w:val="0"/>
      <w:divBdr>
        <w:top w:val="none" w:sz="0" w:space="0" w:color="auto"/>
        <w:left w:val="none" w:sz="0" w:space="0" w:color="auto"/>
        <w:bottom w:val="none" w:sz="0" w:space="0" w:color="auto"/>
        <w:right w:val="none" w:sz="0" w:space="0" w:color="auto"/>
      </w:divBdr>
    </w:div>
    <w:div w:id="1034424617">
      <w:bodyDiv w:val="1"/>
      <w:marLeft w:val="0"/>
      <w:marRight w:val="0"/>
      <w:marTop w:val="0"/>
      <w:marBottom w:val="0"/>
      <w:divBdr>
        <w:top w:val="none" w:sz="0" w:space="0" w:color="auto"/>
        <w:left w:val="none" w:sz="0" w:space="0" w:color="auto"/>
        <w:bottom w:val="none" w:sz="0" w:space="0" w:color="auto"/>
        <w:right w:val="none" w:sz="0" w:space="0" w:color="auto"/>
      </w:divBdr>
    </w:div>
    <w:div w:id="1034766140">
      <w:bodyDiv w:val="1"/>
      <w:marLeft w:val="0"/>
      <w:marRight w:val="0"/>
      <w:marTop w:val="0"/>
      <w:marBottom w:val="0"/>
      <w:divBdr>
        <w:top w:val="none" w:sz="0" w:space="0" w:color="auto"/>
        <w:left w:val="none" w:sz="0" w:space="0" w:color="auto"/>
        <w:bottom w:val="none" w:sz="0" w:space="0" w:color="auto"/>
        <w:right w:val="none" w:sz="0" w:space="0" w:color="auto"/>
      </w:divBdr>
    </w:div>
    <w:div w:id="1036005277">
      <w:bodyDiv w:val="1"/>
      <w:marLeft w:val="0"/>
      <w:marRight w:val="0"/>
      <w:marTop w:val="0"/>
      <w:marBottom w:val="0"/>
      <w:divBdr>
        <w:top w:val="none" w:sz="0" w:space="0" w:color="auto"/>
        <w:left w:val="none" w:sz="0" w:space="0" w:color="auto"/>
        <w:bottom w:val="none" w:sz="0" w:space="0" w:color="auto"/>
        <w:right w:val="none" w:sz="0" w:space="0" w:color="auto"/>
      </w:divBdr>
    </w:div>
    <w:div w:id="1036660893">
      <w:bodyDiv w:val="1"/>
      <w:marLeft w:val="0"/>
      <w:marRight w:val="0"/>
      <w:marTop w:val="0"/>
      <w:marBottom w:val="0"/>
      <w:divBdr>
        <w:top w:val="none" w:sz="0" w:space="0" w:color="auto"/>
        <w:left w:val="none" w:sz="0" w:space="0" w:color="auto"/>
        <w:bottom w:val="none" w:sz="0" w:space="0" w:color="auto"/>
        <w:right w:val="none" w:sz="0" w:space="0" w:color="auto"/>
      </w:divBdr>
    </w:div>
    <w:div w:id="1036663674">
      <w:bodyDiv w:val="1"/>
      <w:marLeft w:val="0"/>
      <w:marRight w:val="0"/>
      <w:marTop w:val="0"/>
      <w:marBottom w:val="0"/>
      <w:divBdr>
        <w:top w:val="none" w:sz="0" w:space="0" w:color="auto"/>
        <w:left w:val="none" w:sz="0" w:space="0" w:color="auto"/>
        <w:bottom w:val="none" w:sz="0" w:space="0" w:color="auto"/>
        <w:right w:val="none" w:sz="0" w:space="0" w:color="auto"/>
      </w:divBdr>
    </w:div>
    <w:div w:id="1038313872">
      <w:bodyDiv w:val="1"/>
      <w:marLeft w:val="0"/>
      <w:marRight w:val="0"/>
      <w:marTop w:val="0"/>
      <w:marBottom w:val="0"/>
      <w:divBdr>
        <w:top w:val="none" w:sz="0" w:space="0" w:color="auto"/>
        <w:left w:val="none" w:sz="0" w:space="0" w:color="auto"/>
        <w:bottom w:val="none" w:sz="0" w:space="0" w:color="auto"/>
        <w:right w:val="none" w:sz="0" w:space="0" w:color="auto"/>
      </w:divBdr>
    </w:div>
    <w:div w:id="1038509763">
      <w:bodyDiv w:val="1"/>
      <w:marLeft w:val="0"/>
      <w:marRight w:val="0"/>
      <w:marTop w:val="0"/>
      <w:marBottom w:val="0"/>
      <w:divBdr>
        <w:top w:val="none" w:sz="0" w:space="0" w:color="auto"/>
        <w:left w:val="none" w:sz="0" w:space="0" w:color="auto"/>
        <w:bottom w:val="none" w:sz="0" w:space="0" w:color="auto"/>
        <w:right w:val="none" w:sz="0" w:space="0" w:color="auto"/>
      </w:divBdr>
    </w:div>
    <w:div w:id="1039014583">
      <w:bodyDiv w:val="1"/>
      <w:marLeft w:val="0"/>
      <w:marRight w:val="0"/>
      <w:marTop w:val="0"/>
      <w:marBottom w:val="0"/>
      <w:divBdr>
        <w:top w:val="none" w:sz="0" w:space="0" w:color="auto"/>
        <w:left w:val="none" w:sz="0" w:space="0" w:color="auto"/>
        <w:bottom w:val="none" w:sz="0" w:space="0" w:color="auto"/>
        <w:right w:val="none" w:sz="0" w:space="0" w:color="auto"/>
      </w:divBdr>
    </w:div>
    <w:div w:id="1039667329">
      <w:bodyDiv w:val="1"/>
      <w:marLeft w:val="0"/>
      <w:marRight w:val="0"/>
      <w:marTop w:val="0"/>
      <w:marBottom w:val="0"/>
      <w:divBdr>
        <w:top w:val="none" w:sz="0" w:space="0" w:color="auto"/>
        <w:left w:val="none" w:sz="0" w:space="0" w:color="auto"/>
        <w:bottom w:val="none" w:sz="0" w:space="0" w:color="auto"/>
        <w:right w:val="none" w:sz="0" w:space="0" w:color="auto"/>
      </w:divBdr>
    </w:div>
    <w:div w:id="1040938855">
      <w:bodyDiv w:val="1"/>
      <w:marLeft w:val="0"/>
      <w:marRight w:val="0"/>
      <w:marTop w:val="0"/>
      <w:marBottom w:val="0"/>
      <w:divBdr>
        <w:top w:val="none" w:sz="0" w:space="0" w:color="auto"/>
        <w:left w:val="none" w:sz="0" w:space="0" w:color="auto"/>
        <w:bottom w:val="none" w:sz="0" w:space="0" w:color="auto"/>
        <w:right w:val="none" w:sz="0" w:space="0" w:color="auto"/>
      </w:divBdr>
    </w:div>
    <w:div w:id="1041172223">
      <w:bodyDiv w:val="1"/>
      <w:marLeft w:val="0"/>
      <w:marRight w:val="0"/>
      <w:marTop w:val="0"/>
      <w:marBottom w:val="0"/>
      <w:divBdr>
        <w:top w:val="none" w:sz="0" w:space="0" w:color="auto"/>
        <w:left w:val="none" w:sz="0" w:space="0" w:color="auto"/>
        <w:bottom w:val="none" w:sz="0" w:space="0" w:color="auto"/>
        <w:right w:val="none" w:sz="0" w:space="0" w:color="auto"/>
      </w:divBdr>
    </w:div>
    <w:div w:id="1041394309">
      <w:bodyDiv w:val="1"/>
      <w:marLeft w:val="0"/>
      <w:marRight w:val="0"/>
      <w:marTop w:val="0"/>
      <w:marBottom w:val="0"/>
      <w:divBdr>
        <w:top w:val="none" w:sz="0" w:space="0" w:color="auto"/>
        <w:left w:val="none" w:sz="0" w:space="0" w:color="auto"/>
        <w:bottom w:val="none" w:sz="0" w:space="0" w:color="auto"/>
        <w:right w:val="none" w:sz="0" w:space="0" w:color="auto"/>
      </w:divBdr>
    </w:div>
    <w:div w:id="1041442829">
      <w:bodyDiv w:val="1"/>
      <w:marLeft w:val="0"/>
      <w:marRight w:val="0"/>
      <w:marTop w:val="0"/>
      <w:marBottom w:val="0"/>
      <w:divBdr>
        <w:top w:val="none" w:sz="0" w:space="0" w:color="auto"/>
        <w:left w:val="none" w:sz="0" w:space="0" w:color="auto"/>
        <w:bottom w:val="none" w:sz="0" w:space="0" w:color="auto"/>
        <w:right w:val="none" w:sz="0" w:space="0" w:color="auto"/>
      </w:divBdr>
    </w:div>
    <w:div w:id="1042483864">
      <w:bodyDiv w:val="1"/>
      <w:marLeft w:val="0"/>
      <w:marRight w:val="0"/>
      <w:marTop w:val="0"/>
      <w:marBottom w:val="0"/>
      <w:divBdr>
        <w:top w:val="none" w:sz="0" w:space="0" w:color="auto"/>
        <w:left w:val="none" w:sz="0" w:space="0" w:color="auto"/>
        <w:bottom w:val="none" w:sz="0" w:space="0" w:color="auto"/>
        <w:right w:val="none" w:sz="0" w:space="0" w:color="auto"/>
      </w:divBdr>
    </w:div>
    <w:div w:id="1042904488">
      <w:bodyDiv w:val="1"/>
      <w:marLeft w:val="0"/>
      <w:marRight w:val="0"/>
      <w:marTop w:val="0"/>
      <w:marBottom w:val="0"/>
      <w:divBdr>
        <w:top w:val="none" w:sz="0" w:space="0" w:color="auto"/>
        <w:left w:val="none" w:sz="0" w:space="0" w:color="auto"/>
        <w:bottom w:val="none" w:sz="0" w:space="0" w:color="auto"/>
        <w:right w:val="none" w:sz="0" w:space="0" w:color="auto"/>
      </w:divBdr>
    </w:div>
    <w:div w:id="1044672428">
      <w:bodyDiv w:val="1"/>
      <w:marLeft w:val="0"/>
      <w:marRight w:val="0"/>
      <w:marTop w:val="0"/>
      <w:marBottom w:val="0"/>
      <w:divBdr>
        <w:top w:val="none" w:sz="0" w:space="0" w:color="auto"/>
        <w:left w:val="none" w:sz="0" w:space="0" w:color="auto"/>
        <w:bottom w:val="none" w:sz="0" w:space="0" w:color="auto"/>
        <w:right w:val="none" w:sz="0" w:space="0" w:color="auto"/>
      </w:divBdr>
    </w:div>
    <w:div w:id="1044906937">
      <w:bodyDiv w:val="1"/>
      <w:marLeft w:val="0"/>
      <w:marRight w:val="0"/>
      <w:marTop w:val="0"/>
      <w:marBottom w:val="0"/>
      <w:divBdr>
        <w:top w:val="none" w:sz="0" w:space="0" w:color="auto"/>
        <w:left w:val="none" w:sz="0" w:space="0" w:color="auto"/>
        <w:bottom w:val="none" w:sz="0" w:space="0" w:color="auto"/>
        <w:right w:val="none" w:sz="0" w:space="0" w:color="auto"/>
      </w:divBdr>
    </w:div>
    <w:div w:id="1044985193">
      <w:bodyDiv w:val="1"/>
      <w:marLeft w:val="0"/>
      <w:marRight w:val="0"/>
      <w:marTop w:val="0"/>
      <w:marBottom w:val="0"/>
      <w:divBdr>
        <w:top w:val="none" w:sz="0" w:space="0" w:color="auto"/>
        <w:left w:val="none" w:sz="0" w:space="0" w:color="auto"/>
        <w:bottom w:val="none" w:sz="0" w:space="0" w:color="auto"/>
        <w:right w:val="none" w:sz="0" w:space="0" w:color="auto"/>
      </w:divBdr>
    </w:div>
    <w:div w:id="1048533994">
      <w:bodyDiv w:val="1"/>
      <w:marLeft w:val="0"/>
      <w:marRight w:val="0"/>
      <w:marTop w:val="0"/>
      <w:marBottom w:val="0"/>
      <w:divBdr>
        <w:top w:val="none" w:sz="0" w:space="0" w:color="auto"/>
        <w:left w:val="none" w:sz="0" w:space="0" w:color="auto"/>
        <w:bottom w:val="none" w:sz="0" w:space="0" w:color="auto"/>
        <w:right w:val="none" w:sz="0" w:space="0" w:color="auto"/>
      </w:divBdr>
    </w:div>
    <w:div w:id="1051417137">
      <w:bodyDiv w:val="1"/>
      <w:marLeft w:val="0"/>
      <w:marRight w:val="0"/>
      <w:marTop w:val="0"/>
      <w:marBottom w:val="0"/>
      <w:divBdr>
        <w:top w:val="none" w:sz="0" w:space="0" w:color="auto"/>
        <w:left w:val="none" w:sz="0" w:space="0" w:color="auto"/>
        <w:bottom w:val="none" w:sz="0" w:space="0" w:color="auto"/>
        <w:right w:val="none" w:sz="0" w:space="0" w:color="auto"/>
      </w:divBdr>
    </w:div>
    <w:div w:id="1051805446">
      <w:bodyDiv w:val="1"/>
      <w:marLeft w:val="0"/>
      <w:marRight w:val="0"/>
      <w:marTop w:val="0"/>
      <w:marBottom w:val="0"/>
      <w:divBdr>
        <w:top w:val="none" w:sz="0" w:space="0" w:color="auto"/>
        <w:left w:val="none" w:sz="0" w:space="0" w:color="auto"/>
        <w:bottom w:val="none" w:sz="0" w:space="0" w:color="auto"/>
        <w:right w:val="none" w:sz="0" w:space="0" w:color="auto"/>
      </w:divBdr>
    </w:div>
    <w:div w:id="1052537846">
      <w:bodyDiv w:val="1"/>
      <w:marLeft w:val="0"/>
      <w:marRight w:val="0"/>
      <w:marTop w:val="0"/>
      <w:marBottom w:val="0"/>
      <w:divBdr>
        <w:top w:val="none" w:sz="0" w:space="0" w:color="auto"/>
        <w:left w:val="none" w:sz="0" w:space="0" w:color="auto"/>
        <w:bottom w:val="none" w:sz="0" w:space="0" w:color="auto"/>
        <w:right w:val="none" w:sz="0" w:space="0" w:color="auto"/>
      </w:divBdr>
    </w:div>
    <w:div w:id="1057358391">
      <w:bodyDiv w:val="1"/>
      <w:marLeft w:val="0"/>
      <w:marRight w:val="0"/>
      <w:marTop w:val="0"/>
      <w:marBottom w:val="0"/>
      <w:divBdr>
        <w:top w:val="none" w:sz="0" w:space="0" w:color="auto"/>
        <w:left w:val="none" w:sz="0" w:space="0" w:color="auto"/>
        <w:bottom w:val="none" w:sz="0" w:space="0" w:color="auto"/>
        <w:right w:val="none" w:sz="0" w:space="0" w:color="auto"/>
      </w:divBdr>
    </w:div>
    <w:div w:id="1057438343">
      <w:bodyDiv w:val="1"/>
      <w:marLeft w:val="0"/>
      <w:marRight w:val="0"/>
      <w:marTop w:val="0"/>
      <w:marBottom w:val="0"/>
      <w:divBdr>
        <w:top w:val="none" w:sz="0" w:space="0" w:color="auto"/>
        <w:left w:val="none" w:sz="0" w:space="0" w:color="auto"/>
        <w:bottom w:val="none" w:sz="0" w:space="0" w:color="auto"/>
        <w:right w:val="none" w:sz="0" w:space="0" w:color="auto"/>
      </w:divBdr>
    </w:div>
    <w:div w:id="1058016772">
      <w:bodyDiv w:val="1"/>
      <w:marLeft w:val="0"/>
      <w:marRight w:val="0"/>
      <w:marTop w:val="0"/>
      <w:marBottom w:val="0"/>
      <w:divBdr>
        <w:top w:val="none" w:sz="0" w:space="0" w:color="auto"/>
        <w:left w:val="none" w:sz="0" w:space="0" w:color="auto"/>
        <w:bottom w:val="none" w:sz="0" w:space="0" w:color="auto"/>
        <w:right w:val="none" w:sz="0" w:space="0" w:color="auto"/>
      </w:divBdr>
    </w:div>
    <w:div w:id="1060206187">
      <w:bodyDiv w:val="1"/>
      <w:marLeft w:val="0"/>
      <w:marRight w:val="0"/>
      <w:marTop w:val="0"/>
      <w:marBottom w:val="0"/>
      <w:divBdr>
        <w:top w:val="none" w:sz="0" w:space="0" w:color="auto"/>
        <w:left w:val="none" w:sz="0" w:space="0" w:color="auto"/>
        <w:bottom w:val="none" w:sz="0" w:space="0" w:color="auto"/>
        <w:right w:val="none" w:sz="0" w:space="0" w:color="auto"/>
      </w:divBdr>
    </w:div>
    <w:div w:id="1060252970">
      <w:bodyDiv w:val="1"/>
      <w:marLeft w:val="0"/>
      <w:marRight w:val="0"/>
      <w:marTop w:val="0"/>
      <w:marBottom w:val="0"/>
      <w:divBdr>
        <w:top w:val="none" w:sz="0" w:space="0" w:color="auto"/>
        <w:left w:val="none" w:sz="0" w:space="0" w:color="auto"/>
        <w:bottom w:val="none" w:sz="0" w:space="0" w:color="auto"/>
        <w:right w:val="none" w:sz="0" w:space="0" w:color="auto"/>
      </w:divBdr>
    </w:div>
    <w:div w:id="1061561228">
      <w:bodyDiv w:val="1"/>
      <w:marLeft w:val="0"/>
      <w:marRight w:val="0"/>
      <w:marTop w:val="0"/>
      <w:marBottom w:val="0"/>
      <w:divBdr>
        <w:top w:val="none" w:sz="0" w:space="0" w:color="auto"/>
        <w:left w:val="none" w:sz="0" w:space="0" w:color="auto"/>
        <w:bottom w:val="none" w:sz="0" w:space="0" w:color="auto"/>
        <w:right w:val="none" w:sz="0" w:space="0" w:color="auto"/>
      </w:divBdr>
    </w:div>
    <w:div w:id="1061639858">
      <w:bodyDiv w:val="1"/>
      <w:marLeft w:val="0"/>
      <w:marRight w:val="0"/>
      <w:marTop w:val="0"/>
      <w:marBottom w:val="0"/>
      <w:divBdr>
        <w:top w:val="none" w:sz="0" w:space="0" w:color="auto"/>
        <w:left w:val="none" w:sz="0" w:space="0" w:color="auto"/>
        <w:bottom w:val="none" w:sz="0" w:space="0" w:color="auto"/>
        <w:right w:val="none" w:sz="0" w:space="0" w:color="auto"/>
      </w:divBdr>
    </w:div>
    <w:div w:id="1062558648">
      <w:bodyDiv w:val="1"/>
      <w:marLeft w:val="0"/>
      <w:marRight w:val="0"/>
      <w:marTop w:val="0"/>
      <w:marBottom w:val="0"/>
      <w:divBdr>
        <w:top w:val="none" w:sz="0" w:space="0" w:color="auto"/>
        <w:left w:val="none" w:sz="0" w:space="0" w:color="auto"/>
        <w:bottom w:val="none" w:sz="0" w:space="0" w:color="auto"/>
        <w:right w:val="none" w:sz="0" w:space="0" w:color="auto"/>
      </w:divBdr>
    </w:div>
    <w:div w:id="1063941658">
      <w:bodyDiv w:val="1"/>
      <w:marLeft w:val="0"/>
      <w:marRight w:val="0"/>
      <w:marTop w:val="0"/>
      <w:marBottom w:val="0"/>
      <w:divBdr>
        <w:top w:val="none" w:sz="0" w:space="0" w:color="auto"/>
        <w:left w:val="none" w:sz="0" w:space="0" w:color="auto"/>
        <w:bottom w:val="none" w:sz="0" w:space="0" w:color="auto"/>
        <w:right w:val="none" w:sz="0" w:space="0" w:color="auto"/>
      </w:divBdr>
    </w:div>
    <w:div w:id="1065294741">
      <w:bodyDiv w:val="1"/>
      <w:marLeft w:val="0"/>
      <w:marRight w:val="0"/>
      <w:marTop w:val="0"/>
      <w:marBottom w:val="0"/>
      <w:divBdr>
        <w:top w:val="none" w:sz="0" w:space="0" w:color="auto"/>
        <w:left w:val="none" w:sz="0" w:space="0" w:color="auto"/>
        <w:bottom w:val="none" w:sz="0" w:space="0" w:color="auto"/>
        <w:right w:val="none" w:sz="0" w:space="0" w:color="auto"/>
      </w:divBdr>
    </w:div>
    <w:div w:id="1066220453">
      <w:bodyDiv w:val="1"/>
      <w:marLeft w:val="0"/>
      <w:marRight w:val="0"/>
      <w:marTop w:val="0"/>
      <w:marBottom w:val="0"/>
      <w:divBdr>
        <w:top w:val="none" w:sz="0" w:space="0" w:color="auto"/>
        <w:left w:val="none" w:sz="0" w:space="0" w:color="auto"/>
        <w:bottom w:val="none" w:sz="0" w:space="0" w:color="auto"/>
        <w:right w:val="none" w:sz="0" w:space="0" w:color="auto"/>
      </w:divBdr>
    </w:div>
    <w:div w:id="1067924333">
      <w:bodyDiv w:val="1"/>
      <w:marLeft w:val="0"/>
      <w:marRight w:val="0"/>
      <w:marTop w:val="0"/>
      <w:marBottom w:val="0"/>
      <w:divBdr>
        <w:top w:val="none" w:sz="0" w:space="0" w:color="auto"/>
        <w:left w:val="none" w:sz="0" w:space="0" w:color="auto"/>
        <w:bottom w:val="none" w:sz="0" w:space="0" w:color="auto"/>
        <w:right w:val="none" w:sz="0" w:space="0" w:color="auto"/>
      </w:divBdr>
    </w:div>
    <w:div w:id="1068724504">
      <w:bodyDiv w:val="1"/>
      <w:marLeft w:val="0"/>
      <w:marRight w:val="0"/>
      <w:marTop w:val="0"/>
      <w:marBottom w:val="0"/>
      <w:divBdr>
        <w:top w:val="none" w:sz="0" w:space="0" w:color="auto"/>
        <w:left w:val="none" w:sz="0" w:space="0" w:color="auto"/>
        <w:bottom w:val="none" w:sz="0" w:space="0" w:color="auto"/>
        <w:right w:val="none" w:sz="0" w:space="0" w:color="auto"/>
      </w:divBdr>
    </w:div>
    <w:div w:id="1069421860">
      <w:bodyDiv w:val="1"/>
      <w:marLeft w:val="0"/>
      <w:marRight w:val="0"/>
      <w:marTop w:val="0"/>
      <w:marBottom w:val="0"/>
      <w:divBdr>
        <w:top w:val="none" w:sz="0" w:space="0" w:color="auto"/>
        <w:left w:val="none" w:sz="0" w:space="0" w:color="auto"/>
        <w:bottom w:val="none" w:sz="0" w:space="0" w:color="auto"/>
        <w:right w:val="none" w:sz="0" w:space="0" w:color="auto"/>
      </w:divBdr>
    </w:div>
    <w:div w:id="1069497041">
      <w:bodyDiv w:val="1"/>
      <w:marLeft w:val="0"/>
      <w:marRight w:val="0"/>
      <w:marTop w:val="0"/>
      <w:marBottom w:val="0"/>
      <w:divBdr>
        <w:top w:val="none" w:sz="0" w:space="0" w:color="auto"/>
        <w:left w:val="none" w:sz="0" w:space="0" w:color="auto"/>
        <w:bottom w:val="none" w:sz="0" w:space="0" w:color="auto"/>
        <w:right w:val="none" w:sz="0" w:space="0" w:color="auto"/>
      </w:divBdr>
    </w:div>
    <w:div w:id="1072780430">
      <w:bodyDiv w:val="1"/>
      <w:marLeft w:val="0"/>
      <w:marRight w:val="0"/>
      <w:marTop w:val="0"/>
      <w:marBottom w:val="0"/>
      <w:divBdr>
        <w:top w:val="none" w:sz="0" w:space="0" w:color="auto"/>
        <w:left w:val="none" w:sz="0" w:space="0" w:color="auto"/>
        <w:bottom w:val="none" w:sz="0" w:space="0" w:color="auto"/>
        <w:right w:val="none" w:sz="0" w:space="0" w:color="auto"/>
      </w:divBdr>
    </w:div>
    <w:div w:id="1073047318">
      <w:bodyDiv w:val="1"/>
      <w:marLeft w:val="0"/>
      <w:marRight w:val="0"/>
      <w:marTop w:val="0"/>
      <w:marBottom w:val="0"/>
      <w:divBdr>
        <w:top w:val="none" w:sz="0" w:space="0" w:color="auto"/>
        <w:left w:val="none" w:sz="0" w:space="0" w:color="auto"/>
        <w:bottom w:val="none" w:sz="0" w:space="0" w:color="auto"/>
        <w:right w:val="none" w:sz="0" w:space="0" w:color="auto"/>
      </w:divBdr>
    </w:div>
    <w:div w:id="1074546917">
      <w:bodyDiv w:val="1"/>
      <w:marLeft w:val="0"/>
      <w:marRight w:val="0"/>
      <w:marTop w:val="0"/>
      <w:marBottom w:val="0"/>
      <w:divBdr>
        <w:top w:val="none" w:sz="0" w:space="0" w:color="auto"/>
        <w:left w:val="none" w:sz="0" w:space="0" w:color="auto"/>
        <w:bottom w:val="none" w:sz="0" w:space="0" w:color="auto"/>
        <w:right w:val="none" w:sz="0" w:space="0" w:color="auto"/>
      </w:divBdr>
    </w:div>
    <w:div w:id="1074595276">
      <w:bodyDiv w:val="1"/>
      <w:marLeft w:val="0"/>
      <w:marRight w:val="0"/>
      <w:marTop w:val="0"/>
      <w:marBottom w:val="0"/>
      <w:divBdr>
        <w:top w:val="none" w:sz="0" w:space="0" w:color="auto"/>
        <w:left w:val="none" w:sz="0" w:space="0" w:color="auto"/>
        <w:bottom w:val="none" w:sz="0" w:space="0" w:color="auto"/>
        <w:right w:val="none" w:sz="0" w:space="0" w:color="auto"/>
      </w:divBdr>
    </w:div>
    <w:div w:id="1076316933">
      <w:bodyDiv w:val="1"/>
      <w:marLeft w:val="0"/>
      <w:marRight w:val="0"/>
      <w:marTop w:val="0"/>
      <w:marBottom w:val="0"/>
      <w:divBdr>
        <w:top w:val="none" w:sz="0" w:space="0" w:color="auto"/>
        <w:left w:val="none" w:sz="0" w:space="0" w:color="auto"/>
        <w:bottom w:val="none" w:sz="0" w:space="0" w:color="auto"/>
        <w:right w:val="none" w:sz="0" w:space="0" w:color="auto"/>
      </w:divBdr>
    </w:div>
    <w:div w:id="1077366607">
      <w:bodyDiv w:val="1"/>
      <w:marLeft w:val="0"/>
      <w:marRight w:val="0"/>
      <w:marTop w:val="0"/>
      <w:marBottom w:val="0"/>
      <w:divBdr>
        <w:top w:val="none" w:sz="0" w:space="0" w:color="auto"/>
        <w:left w:val="none" w:sz="0" w:space="0" w:color="auto"/>
        <w:bottom w:val="none" w:sz="0" w:space="0" w:color="auto"/>
        <w:right w:val="none" w:sz="0" w:space="0" w:color="auto"/>
      </w:divBdr>
    </w:div>
    <w:div w:id="1077552494">
      <w:bodyDiv w:val="1"/>
      <w:marLeft w:val="0"/>
      <w:marRight w:val="0"/>
      <w:marTop w:val="0"/>
      <w:marBottom w:val="0"/>
      <w:divBdr>
        <w:top w:val="none" w:sz="0" w:space="0" w:color="auto"/>
        <w:left w:val="none" w:sz="0" w:space="0" w:color="auto"/>
        <w:bottom w:val="none" w:sz="0" w:space="0" w:color="auto"/>
        <w:right w:val="none" w:sz="0" w:space="0" w:color="auto"/>
      </w:divBdr>
    </w:div>
    <w:div w:id="1078675534">
      <w:bodyDiv w:val="1"/>
      <w:marLeft w:val="0"/>
      <w:marRight w:val="0"/>
      <w:marTop w:val="0"/>
      <w:marBottom w:val="0"/>
      <w:divBdr>
        <w:top w:val="none" w:sz="0" w:space="0" w:color="auto"/>
        <w:left w:val="none" w:sz="0" w:space="0" w:color="auto"/>
        <w:bottom w:val="none" w:sz="0" w:space="0" w:color="auto"/>
        <w:right w:val="none" w:sz="0" w:space="0" w:color="auto"/>
      </w:divBdr>
    </w:div>
    <w:div w:id="1078868375">
      <w:bodyDiv w:val="1"/>
      <w:marLeft w:val="0"/>
      <w:marRight w:val="0"/>
      <w:marTop w:val="0"/>
      <w:marBottom w:val="0"/>
      <w:divBdr>
        <w:top w:val="none" w:sz="0" w:space="0" w:color="auto"/>
        <w:left w:val="none" w:sz="0" w:space="0" w:color="auto"/>
        <w:bottom w:val="none" w:sz="0" w:space="0" w:color="auto"/>
        <w:right w:val="none" w:sz="0" w:space="0" w:color="auto"/>
      </w:divBdr>
    </w:div>
    <w:div w:id="1082677081">
      <w:bodyDiv w:val="1"/>
      <w:marLeft w:val="0"/>
      <w:marRight w:val="0"/>
      <w:marTop w:val="0"/>
      <w:marBottom w:val="0"/>
      <w:divBdr>
        <w:top w:val="none" w:sz="0" w:space="0" w:color="auto"/>
        <w:left w:val="none" w:sz="0" w:space="0" w:color="auto"/>
        <w:bottom w:val="none" w:sz="0" w:space="0" w:color="auto"/>
        <w:right w:val="none" w:sz="0" w:space="0" w:color="auto"/>
      </w:divBdr>
    </w:div>
    <w:div w:id="1082727163">
      <w:bodyDiv w:val="1"/>
      <w:marLeft w:val="0"/>
      <w:marRight w:val="0"/>
      <w:marTop w:val="0"/>
      <w:marBottom w:val="0"/>
      <w:divBdr>
        <w:top w:val="none" w:sz="0" w:space="0" w:color="auto"/>
        <w:left w:val="none" w:sz="0" w:space="0" w:color="auto"/>
        <w:bottom w:val="none" w:sz="0" w:space="0" w:color="auto"/>
        <w:right w:val="none" w:sz="0" w:space="0" w:color="auto"/>
      </w:divBdr>
    </w:div>
    <w:div w:id="1082990869">
      <w:bodyDiv w:val="1"/>
      <w:marLeft w:val="0"/>
      <w:marRight w:val="0"/>
      <w:marTop w:val="0"/>
      <w:marBottom w:val="0"/>
      <w:divBdr>
        <w:top w:val="none" w:sz="0" w:space="0" w:color="auto"/>
        <w:left w:val="none" w:sz="0" w:space="0" w:color="auto"/>
        <w:bottom w:val="none" w:sz="0" w:space="0" w:color="auto"/>
        <w:right w:val="none" w:sz="0" w:space="0" w:color="auto"/>
      </w:divBdr>
    </w:div>
    <w:div w:id="1084765590">
      <w:bodyDiv w:val="1"/>
      <w:marLeft w:val="0"/>
      <w:marRight w:val="0"/>
      <w:marTop w:val="0"/>
      <w:marBottom w:val="0"/>
      <w:divBdr>
        <w:top w:val="none" w:sz="0" w:space="0" w:color="auto"/>
        <w:left w:val="none" w:sz="0" w:space="0" w:color="auto"/>
        <w:bottom w:val="none" w:sz="0" w:space="0" w:color="auto"/>
        <w:right w:val="none" w:sz="0" w:space="0" w:color="auto"/>
      </w:divBdr>
    </w:div>
    <w:div w:id="1085300105">
      <w:bodyDiv w:val="1"/>
      <w:marLeft w:val="0"/>
      <w:marRight w:val="0"/>
      <w:marTop w:val="0"/>
      <w:marBottom w:val="0"/>
      <w:divBdr>
        <w:top w:val="none" w:sz="0" w:space="0" w:color="auto"/>
        <w:left w:val="none" w:sz="0" w:space="0" w:color="auto"/>
        <w:bottom w:val="none" w:sz="0" w:space="0" w:color="auto"/>
        <w:right w:val="none" w:sz="0" w:space="0" w:color="auto"/>
      </w:divBdr>
    </w:div>
    <w:div w:id="1085810220">
      <w:bodyDiv w:val="1"/>
      <w:marLeft w:val="0"/>
      <w:marRight w:val="0"/>
      <w:marTop w:val="0"/>
      <w:marBottom w:val="0"/>
      <w:divBdr>
        <w:top w:val="none" w:sz="0" w:space="0" w:color="auto"/>
        <w:left w:val="none" w:sz="0" w:space="0" w:color="auto"/>
        <w:bottom w:val="none" w:sz="0" w:space="0" w:color="auto"/>
        <w:right w:val="none" w:sz="0" w:space="0" w:color="auto"/>
      </w:divBdr>
    </w:div>
    <w:div w:id="1087077442">
      <w:bodyDiv w:val="1"/>
      <w:marLeft w:val="0"/>
      <w:marRight w:val="0"/>
      <w:marTop w:val="0"/>
      <w:marBottom w:val="0"/>
      <w:divBdr>
        <w:top w:val="none" w:sz="0" w:space="0" w:color="auto"/>
        <w:left w:val="none" w:sz="0" w:space="0" w:color="auto"/>
        <w:bottom w:val="none" w:sz="0" w:space="0" w:color="auto"/>
        <w:right w:val="none" w:sz="0" w:space="0" w:color="auto"/>
      </w:divBdr>
    </w:div>
    <w:div w:id="1087388777">
      <w:bodyDiv w:val="1"/>
      <w:marLeft w:val="0"/>
      <w:marRight w:val="0"/>
      <w:marTop w:val="0"/>
      <w:marBottom w:val="0"/>
      <w:divBdr>
        <w:top w:val="none" w:sz="0" w:space="0" w:color="auto"/>
        <w:left w:val="none" w:sz="0" w:space="0" w:color="auto"/>
        <w:bottom w:val="none" w:sz="0" w:space="0" w:color="auto"/>
        <w:right w:val="none" w:sz="0" w:space="0" w:color="auto"/>
      </w:divBdr>
    </w:div>
    <w:div w:id="1089080661">
      <w:bodyDiv w:val="1"/>
      <w:marLeft w:val="0"/>
      <w:marRight w:val="0"/>
      <w:marTop w:val="0"/>
      <w:marBottom w:val="0"/>
      <w:divBdr>
        <w:top w:val="none" w:sz="0" w:space="0" w:color="auto"/>
        <w:left w:val="none" w:sz="0" w:space="0" w:color="auto"/>
        <w:bottom w:val="none" w:sz="0" w:space="0" w:color="auto"/>
        <w:right w:val="none" w:sz="0" w:space="0" w:color="auto"/>
      </w:divBdr>
    </w:div>
    <w:div w:id="1090003270">
      <w:bodyDiv w:val="1"/>
      <w:marLeft w:val="0"/>
      <w:marRight w:val="0"/>
      <w:marTop w:val="0"/>
      <w:marBottom w:val="0"/>
      <w:divBdr>
        <w:top w:val="none" w:sz="0" w:space="0" w:color="auto"/>
        <w:left w:val="none" w:sz="0" w:space="0" w:color="auto"/>
        <w:bottom w:val="none" w:sz="0" w:space="0" w:color="auto"/>
        <w:right w:val="none" w:sz="0" w:space="0" w:color="auto"/>
      </w:divBdr>
    </w:div>
    <w:div w:id="1090126560">
      <w:bodyDiv w:val="1"/>
      <w:marLeft w:val="0"/>
      <w:marRight w:val="0"/>
      <w:marTop w:val="0"/>
      <w:marBottom w:val="0"/>
      <w:divBdr>
        <w:top w:val="none" w:sz="0" w:space="0" w:color="auto"/>
        <w:left w:val="none" w:sz="0" w:space="0" w:color="auto"/>
        <w:bottom w:val="none" w:sz="0" w:space="0" w:color="auto"/>
        <w:right w:val="none" w:sz="0" w:space="0" w:color="auto"/>
      </w:divBdr>
    </w:div>
    <w:div w:id="1090740856">
      <w:bodyDiv w:val="1"/>
      <w:marLeft w:val="0"/>
      <w:marRight w:val="0"/>
      <w:marTop w:val="0"/>
      <w:marBottom w:val="0"/>
      <w:divBdr>
        <w:top w:val="none" w:sz="0" w:space="0" w:color="auto"/>
        <w:left w:val="none" w:sz="0" w:space="0" w:color="auto"/>
        <w:bottom w:val="none" w:sz="0" w:space="0" w:color="auto"/>
        <w:right w:val="none" w:sz="0" w:space="0" w:color="auto"/>
      </w:divBdr>
    </w:div>
    <w:div w:id="1090850480">
      <w:bodyDiv w:val="1"/>
      <w:marLeft w:val="0"/>
      <w:marRight w:val="0"/>
      <w:marTop w:val="0"/>
      <w:marBottom w:val="0"/>
      <w:divBdr>
        <w:top w:val="none" w:sz="0" w:space="0" w:color="auto"/>
        <w:left w:val="none" w:sz="0" w:space="0" w:color="auto"/>
        <w:bottom w:val="none" w:sz="0" w:space="0" w:color="auto"/>
        <w:right w:val="none" w:sz="0" w:space="0" w:color="auto"/>
      </w:divBdr>
    </w:div>
    <w:div w:id="1091318968">
      <w:bodyDiv w:val="1"/>
      <w:marLeft w:val="0"/>
      <w:marRight w:val="0"/>
      <w:marTop w:val="0"/>
      <w:marBottom w:val="0"/>
      <w:divBdr>
        <w:top w:val="none" w:sz="0" w:space="0" w:color="auto"/>
        <w:left w:val="none" w:sz="0" w:space="0" w:color="auto"/>
        <w:bottom w:val="none" w:sz="0" w:space="0" w:color="auto"/>
        <w:right w:val="none" w:sz="0" w:space="0" w:color="auto"/>
      </w:divBdr>
    </w:div>
    <w:div w:id="1092438604">
      <w:bodyDiv w:val="1"/>
      <w:marLeft w:val="0"/>
      <w:marRight w:val="0"/>
      <w:marTop w:val="0"/>
      <w:marBottom w:val="0"/>
      <w:divBdr>
        <w:top w:val="none" w:sz="0" w:space="0" w:color="auto"/>
        <w:left w:val="none" w:sz="0" w:space="0" w:color="auto"/>
        <w:bottom w:val="none" w:sz="0" w:space="0" w:color="auto"/>
        <w:right w:val="none" w:sz="0" w:space="0" w:color="auto"/>
      </w:divBdr>
    </w:div>
    <w:div w:id="1093431881">
      <w:bodyDiv w:val="1"/>
      <w:marLeft w:val="0"/>
      <w:marRight w:val="0"/>
      <w:marTop w:val="0"/>
      <w:marBottom w:val="0"/>
      <w:divBdr>
        <w:top w:val="none" w:sz="0" w:space="0" w:color="auto"/>
        <w:left w:val="none" w:sz="0" w:space="0" w:color="auto"/>
        <w:bottom w:val="none" w:sz="0" w:space="0" w:color="auto"/>
        <w:right w:val="none" w:sz="0" w:space="0" w:color="auto"/>
      </w:divBdr>
    </w:div>
    <w:div w:id="1096025462">
      <w:bodyDiv w:val="1"/>
      <w:marLeft w:val="0"/>
      <w:marRight w:val="0"/>
      <w:marTop w:val="0"/>
      <w:marBottom w:val="0"/>
      <w:divBdr>
        <w:top w:val="none" w:sz="0" w:space="0" w:color="auto"/>
        <w:left w:val="none" w:sz="0" w:space="0" w:color="auto"/>
        <w:bottom w:val="none" w:sz="0" w:space="0" w:color="auto"/>
        <w:right w:val="none" w:sz="0" w:space="0" w:color="auto"/>
      </w:divBdr>
    </w:div>
    <w:div w:id="1096754072">
      <w:bodyDiv w:val="1"/>
      <w:marLeft w:val="0"/>
      <w:marRight w:val="0"/>
      <w:marTop w:val="0"/>
      <w:marBottom w:val="0"/>
      <w:divBdr>
        <w:top w:val="none" w:sz="0" w:space="0" w:color="auto"/>
        <w:left w:val="none" w:sz="0" w:space="0" w:color="auto"/>
        <w:bottom w:val="none" w:sz="0" w:space="0" w:color="auto"/>
        <w:right w:val="none" w:sz="0" w:space="0" w:color="auto"/>
      </w:divBdr>
    </w:div>
    <w:div w:id="1096754396">
      <w:bodyDiv w:val="1"/>
      <w:marLeft w:val="0"/>
      <w:marRight w:val="0"/>
      <w:marTop w:val="0"/>
      <w:marBottom w:val="0"/>
      <w:divBdr>
        <w:top w:val="none" w:sz="0" w:space="0" w:color="auto"/>
        <w:left w:val="none" w:sz="0" w:space="0" w:color="auto"/>
        <w:bottom w:val="none" w:sz="0" w:space="0" w:color="auto"/>
        <w:right w:val="none" w:sz="0" w:space="0" w:color="auto"/>
      </w:divBdr>
    </w:div>
    <w:div w:id="1097824454">
      <w:bodyDiv w:val="1"/>
      <w:marLeft w:val="0"/>
      <w:marRight w:val="0"/>
      <w:marTop w:val="0"/>
      <w:marBottom w:val="0"/>
      <w:divBdr>
        <w:top w:val="none" w:sz="0" w:space="0" w:color="auto"/>
        <w:left w:val="none" w:sz="0" w:space="0" w:color="auto"/>
        <w:bottom w:val="none" w:sz="0" w:space="0" w:color="auto"/>
        <w:right w:val="none" w:sz="0" w:space="0" w:color="auto"/>
      </w:divBdr>
    </w:div>
    <w:div w:id="1098451776">
      <w:bodyDiv w:val="1"/>
      <w:marLeft w:val="0"/>
      <w:marRight w:val="0"/>
      <w:marTop w:val="0"/>
      <w:marBottom w:val="0"/>
      <w:divBdr>
        <w:top w:val="none" w:sz="0" w:space="0" w:color="auto"/>
        <w:left w:val="none" w:sz="0" w:space="0" w:color="auto"/>
        <w:bottom w:val="none" w:sz="0" w:space="0" w:color="auto"/>
        <w:right w:val="none" w:sz="0" w:space="0" w:color="auto"/>
      </w:divBdr>
    </w:div>
    <w:div w:id="1098678167">
      <w:bodyDiv w:val="1"/>
      <w:marLeft w:val="0"/>
      <w:marRight w:val="0"/>
      <w:marTop w:val="0"/>
      <w:marBottom w:val="0"/>
      <w:divBdr>
        <w:top w:val="none" w:sz="0" w:space="0" w:color="auto"/>
        <w:left w:val="none" w:sz="0" w:space="0" w:color="auto"/>
        <w:bottom w:val="none" w:sz="0" w:space="0" w:color="auto"/>
        <w:right w:val="none" w:sz="0" w:space="0" w:color="auto"/>
      </w:divBdr>
    </w:div>
    <w:div w:id="1098986013">
      <w:bodyDiv w:val="1"/>
      <w:marLeft w:val="0"/>
      <w:marRight w:val="0"/>
      <w:marTop w:val="0"/>
      <w:marBottom w:val="0"/>
      <w:divBdr>
        <w:top w:val="none" w:sz="0" w:space="0" w:color="auto"/>
        <w:left w:val="none" w:sz="0" w:space="0" w:color="auto"/>
        <w:bottom w:val="none" w:sz="0" w:space="0" w:color="auto"/>
        <w:right w:val="none" w:sz="0" w:space="0" w:color="auto"/>
      </w:divBdr>
    </w:div>
    <w:div w:id="1099063101">
      <w:bodyDiv w:val="1"/>
      <w:marLeft w:val="0"/>
      <w:marRight w:val="0"/>
      <w:marTop w:val="0"/>
      <w:marBottom w:val="0"/>
      <w:divBdr>
        <w:top w:val="none" w:sz="0" w:space="0" w:color="auto"/>
        <w:left w:val="none" w:sz="0" w:space="0" w:color="auto"/>
        <w:bottom w:val="none" w:sz="0" w:space="0" w:color="auto"/>
        <w:right w:val="none" w:sz="0" w:space="0" w:color="auto"/>
      </w:divBdr>
    </w:div>
    <w:div w:id="1099527172">
      <w:bodyDiv w:val="1"/>
      <w:marLeft w:val="0"/>
      <w:marRight w:val="0"/>
      <w:marTop w:val="0"/>
      <w:marBottom w:val="0"/>
      <w:divBdr>
        <w:top w:val="none" w:sz="0" w:space="0" w:color="auto"/>
        <w:left w:val="none" w:sz="0" w:space="0" w:color="auto"/>
        <w:bottom w:val="none" w:sz="0" w:space="0" w:color="auto"/>
        <w:right w:val="none" w:sz="0" w:space="0" w:color="auto"/>
      </w:divBdr>
    </w:div>
    <w:div w:id="1100031262">
      <w:bodyDiv w:val="1"/>
      <w:marLeft w:val="0"/>
      <w:marRight w:val="0"/>
      <w:marTop w:val="0"/>
      <w:marBottom w:val="0"/>
      <w:divBdr>
        <w:top w:val="none" w:sz="0" w:space="0" w:color="auto"/>
        <w:left w:val="none" w:sz="0" w:space="0" w:color="auto"/>
        <w:bottom w:val="none" w:sz="0" w:space="0" w:color="auto"/>
        <w:right w:val="none" w:sz="0" w:space="0" w:color="auto"/>
      </w:divBdr>
    </w:div>
    <w:div w:id="1101149968">
      <w:bodyDiv w:val="1"/>
      <w:marLeft w:val="0"/>
      <w:marRight w:val="0"/>
      <w:marTop w:val="0"/>
      <w:marBottom w:val="0"/>
      <w:divBdr>
        <w:top w:val="none" w:sz="0" w:space="0" w:color="auto"/>
        <w:left w:val="none" w:sz="0" w:space="0" w:color="auto"/>
        <w:bottom w:val="none" w:sz="0" w:space="0" w:color="auto"/>
        <w:right w:val="none" w:sz="0" w:space="0" w:color="auto"/>
      </w:divBdr>
    </w:div>
    <w:div w:id="1101804770">
      <w:bodyDiv w:val="1"/>
      <w:marLeft w:val="0"/>
      <w:marRight w:val="0"/>
      <w:marTop w:val="0"/>
      <w:marBottom w:val="0"/>
      <w:divBdr>
        <w:top w:val="none" w:sz="0" w:space="0" w:color="auto"/>
        <w:left w:val="none" w:sz="0" w:space="0" w:color="auto"/>
        <w:bottom w:val="none" w:sz="0" w:space="0" w:color="auto"/>
        <w:right w:val="none" w:sz="0" w:space="0" w:color="auto"/>
      </w:divBdr>
    </w:div>
    <w:div w:id="1103650746">
      <w:bodyDiv w:val="1"/>
      <w:marLeft w:val="0"/>
      <w:marRight w:val="0"/>
      <w:marTop w:val="0"/>
      <w:marBottom w:val="0"/>
      <w:divBdr>
        <w:top w:val="none" w:sz="0" w:space="0" w:color="auto"/>
        <w:left w:val="none" w:sz="0" w:space="0" w:color="auto"/>
        <w:bottom w:val="none" w:sz="0" w:space="0" w:color="auto"/>
        <w:right w:val="none" w:sz="0" w:space="0" w:color="auto"/>
      </w:divBdr>
    </w:div>
    <w:div w:id="1104230992">
      <w:bodyDiv w:val="1"/>
      <w:marLeft w:val="0"/>
      <w:marRight w:val="0"/>
      <w:marTop w:val="0"/>
      <w:marBottom w:val="0"/>
      <w:divBdr>
        <w:top w:val="none" w:sz="0" w:space="0" w:color="auto"/>
        <w:left w:val="none" w:sz="0" w:space="0" w:color="auto"/>
        <w:bottom w:val="none" w:sz="0" w:space="0" w:color="auto"/>
        <w:right w:val="none" w:sz="0" w:space="0" w:color="auto"/>
      </w:divBdr>
    </w:div>
    <w:div w:id="1104421852">
      <w:bodyDiv w:val="1"/>
      <w:marLeft w:val="0"/>
      <w:marRight w:val="0"/>
      <w:marTop w:val="0"/>
      <w:marBottom w:val="0"/>
      <w:divBdr>
        <w:top w:val="none" w:sz="0" w:space="0" w:color="auto"/>
        <w:left w:val="none" w:sz="0" w:space="0" w:color="auto"/>
        <w:bottom w:val="none" w:sz="0" w:space="0" w:color="auto"/>
        <w:right w:val="none" w:sz="0" w:space="0" w:color="auto"/>
      </w:divBdr>
    </w:div>
    <w:div w:id="1104768456">
      <w:bodyDiv w:val="1"/>
      <w:marLeft w:val="0"/>
      <w:marRight w:val="0"/>
      <w:marTop w:val="0"/>
      <w:marBottom w:val="0"/>
      <w:divBdr>
        <w:top w:val="none" w:sz="0" w:space="0" w:color="auto"/>
        <w:left w:val="none" w:sz="0" w:space="0" w:color="auto"/>
        <w:bottom w:val="none" w:sz="0" w:space="0" w:color="auto"/>
        <w:right w:val="none" w:sz="0" w:space="0" w:color="auto"/>
      </w:divBdr>
    </w:div>
    <w:div w:id="1107310350">
      <w:bodyDiv w:val="1"/>
      <w:marLeft w:val="0"/>
      <w:marRight w:val="0"/>
      <w:marTop w:val="0"/>
      <w:marBottom w:val="0"/>
      <w:divBdr>
        <w:top w:val="none" w:sz="0" w:space="0" w:color="auto"/>
        <w:left w:val="none" w:sz="0" w:space="0" w:color="auto"/>
        <w:bottom w:val="none" w:sz="0" w:space="0" w:color="auto"/>
        <w:right w:val="none" w:sz="0" w:space="0" w:color="auto"/>
      </w:divBdr>
    </w:div>
    <w:div w:id="1107626912">
      <w:bodyDiv w:val="1"/>
      <w:marLeft w:val="0"/>
      <w:marRight w:val="0"/>
      <w:marTop w:val="0"/>
      <w:marBottom w:val="0"/>
      <w:divBdr>
        <w:top w:val="none" w:sz="0" w:space="0" w:color="auto"/>
        <w:left w:val="none" w:sz="0" w:space="0" w:color="auto"/>
        <w:bottom w:val="none" w:sz="0" w:space="0" w:color="auto"/>
        <w:right w:val="none" w:sz="0" w:space="0" w:color="auto"/>
      </w:divBdr>
    </w:div>
    <w:div w:id="1107892760">
      <w:bodyDiv w:val="1"/>
      <w:marLeft w:val="0"/>
      <w:marRight w:val="0"/>
      <w:marTop w:val="0"/>
      <w:marBottom w:val="0"/>
      <w:divBdr>
        <w:top w:val="none" w:sz="0" w:space="0" w:color="auto"/>
        <w:left w:val="none" w:sz="0" w:space="0" w:color="auto"/>
        <w:bottom w:val="none" w:sz="0" w:space="0" w:color="auto"/>
        <w:right w:val="none" w:sz="0" w:space="0" w:color="auto"/>
      </w:divBdr>
    </w:div>
    <w:div w:id="1111364308">
      <w:bodyDiv w:val="1"/>
      <w:marLeft w:val="0"/>
      <w:marRight w:val="0"/>
      <w:marTop w:val="0"/>
      <w:marBottom w:val="0"/>
      <w:divBdr>
        <w:top w:val="none" w:sz="0" w:space="0" w:color="auto"/>
        <w:left w:val="none" w:sz="0" w:space="0" w:color="auto"/>
        <w:bottom w:val="none" w:sz="0" w:space="0" w:color="auto"/>
        <w:right w:val="none" w:sz="0" w:space="0" w:color="auto"/>
      </w:divBdr>
    </w:div>
    <w:div w:id="1111432917">
      <w:bodyDiv w:val="1"/>
      <w:marLeft w:val="0"/>
      <w:marRight w:val="0"/>
      <w:marTop w:val="0"/>
      <w:marBottom w:val="0"/>
      <w:divBdr>
        <w:top w:val="none" w:sz="0" w:space="0" w:color="auto"/>
        <w:left w:val="none" w:sz="0" w:space="0" w:color="auto"/>
        <w:bottom w:val="none" w:sz="0" w:space="0" w:color="auto"/>
        <w:right w:val="none" w:sz="0" w:space="0" w:color="auto"/>
      </w:divBdr>
    </w:div>
    <w:div w:id="1111818363">
      <w:bodyDiv w:val="1"/>
      <w:marLeft w:val="0"/>
      <w:marRight w:val="0"/>
      <w:marTop w:val="0"/>
      <w:marBottom w:val="0"/>
      <w:divBdr>
        <w:top w:val="none" w:sz="0" w:space="0" w:color="auto"/>
        <w:left w:val="none" w:sz="0" w:space="0" w:color="auto"/>
        <w:bottom w:val="none" w:sz="0" w:space="0" w:color="auto"/>
        <w:right w:val="none" w:sz="0" w:space="0" w:color="auto"/>
      </w:divBdr>
    </w:div>
    <w:div w:id="1111974582">
      <w:bodyDiv w:val="1"/>
      <w:marLeft w:val="0"/>
      <w:marRight w:val="0"/>
      <w:marTop w:val="0"/>
      <w:marBottom w:val="0"/>
      <w:divBdr>
        <w:top w:val="none" w:sz="0" w:space="0" w:color="auto"/>
        <w:left w:val="none" w:sz="0" w:space="0" w:color="auto"/>
        <w:bottom w:val="none" w:sz="0" w:space="0" w:color="auto"/>
        <w:right w:val="none" w:sz="0" w:space="0" w:color="auto"/>
      </w:divBdr>
    </w:div>
    <w:div w:id="1112821247">
      <w:bodyDiv w:val="1"/>
      <w:marLeft w:val="0"/>
      <w:marRight w:val="0"/>
      <w:marTop w:val="0"/>
      <w:marBottom w:val="0"/>
      <w:divBdr>
        <w:top w:val="none" w:sz="0" w:space="0" w:color="auto"/>
        <w:left w:val="none" w:sz="0" w:space="0" w:color="auto"/>
        <w:bottom w:val="none" w:sz="0" w:space="0" w:color="auto"/>
        <w:right w:val="none" w:sz="0" w:space="0" w:color="auto"/>
      </w:divBdr>
    </w:div>
    <w:div w:id="1113092249">
      <w:bodyDiv w:val="1"/>
      <w:marLeft w:val="0"/>
      <w:marRight w:val="0"/>
      <w:marTop w:val="0"/>
      <w:marBottom w:val="0"/>
      <w:divBdr>
        <w:top w:val="none" w:sz="0" w:space="0" w:color="auto"/>
        <w:left w:val="none" w:sz="0" w:space="0" w:color="auto"/>
        <w:bottom w:val="none" w:sz="0" w:space="0" w:color="auto"/>
        <w:right w:val="none" w:sz="0" w:space="0" w:color="auto"/>
      </w:divBdr>
    </w:div>
    <w:div w:id="1114402599">
      <w:bodyDiv w:val="1"/>
      <w:marLeft w:val="0"/>
      <w:marRight w:val="0"/>
      <w:marTop w:val="0"/>
      <w:marBottom w:val="0"/>
      <w:divBdr>
        <w:top w:val="none" w:sz="0" w:space="0" w:color="auto"/>
        <w:left w:val="none" w:sz="0" w:space="0" w:color="auto"/>
        <w:bottom w:val="none" w:sz="0" w:space="0" w:color="auto"/>
        <w:right w:val="none" w:sz="0" w:space="0" w:color="auto"/>
      </w:divBdr>
    </w:div>
    <w:div w:id="1114444420">
      <w:bodyDiv w:val="1"/>
      <w:marLeft w:val="0"/>
      <w:marRight w:val="0"/>
      <w:marTop w:val="0"/>
      <w:marBottom w:val="0"/>
      <w:divBdr>
        <w:top w:val="none" w:sz="0" w:space="0" w:color="auto"/>
        <w:left w:val="none" w:sz="0" w:space="0" w:color="auto"/>
        <w:bottom w:val="none" w:sz="0" w:space="0" w:color="auto"/>
        <w:right w:val="none" w:sz="0" w:space="0" w:color="auto"/>
      </w:divBdr>
    </w:div>
    <w:div w:id="1116487378">
      <w:bodyDiv w:val="1"/>
      <w:marLeft w:val="0"/>
      <w:marRight w:val="0"/>
      <w:marTop w:val="0"/>
      <w:marBottom w:val="0"/>
      <w:divBdr>
        <w:top w:val="none" w:sz="0" w:space="0" w:color="auto"/>
        <w:left w:val="none" w:sz="0" w:space="0" w:color="auto"/>
        <w:bottom w:val="none" w:sz="0" w:space="0" w:color="auto"/>
        <w:right w:val="none" w:sz="0" w:space="0" w:color="auto"/>
      </w:divBdr>
    </w:div>
    <w:div w:id="1117260976">
      <w:bodyDiv w:val="1"/>
      <w:marLeft w:val="0"/>
      <w:marRight w:val="0"/>
      <w:marTop w:val="0"/>
      <w:marBottom w:val="0"/>
      <w:divBdr>
        <w:top w:val="none" w:sz="0" w:space="0" w:color="auto"/>
        <w:left w:val="none" w:sz="0" w:space="0" w:color="auto"/>
        <w:bottom w:val="none" w:sz="0" w:space="0" w:color="auto"/>
        <w:right w:val="none" w:sz="0" w:space="0" w:color="auto"/>
      </w:divBdr>
    </w:div>
    <w:div w:id="1118328449">
      <w:bodyDiv w:val="1"/>
      <w:marLeft w:val="0"/>
      <w:marRight w:val="0"/>
      <w:marTop w:val="0"/>
      <w:marBottom w:val="0"/>
      <w:divBdr>
        <w:top w:val="none" w:sz="0" w:space="0" w:color="auto"/>
        <w:left w:val="none" w:sz="0" w:space="0" w:color="auto"/>
        <w:bottom w:val="none" w:sz="0" w:space="0" w:color="auto"/>
        <w:right w:val="none" w:sz="0" w:space="0" w:color="auto"/>
      </w:divBdr>
    </w:div>
    <w:div w:id="1118331245">
      <w:bodyDiv w:val="1"/>
      <w:marLeft w:val="0"/>
      <w:marRight w:val="0"/>
      <w:marTop w:val="0"/>
      <w:marBottom w:val="0"/>
      <w:divBdr>
        <w:top w:val="none" w:sz="0" w:space="0" w:color="auto"/>
        <w:left w:val="none" w:sz="0" w:space="0" w:color="auto"/>
        <w:bottom w:val="none" w:sz="0" w:space="0" w:color="auto"/>
        <w:right w:val="none" w:sz="0" w:space="0" w:color="auto"/>
      </w:divBdr>
    </w:div>
    <w:div w:id="1119448703">
      <w:bodyDiv w:val="1"/>
      <w:marLeft w:val="0"/>
      <w:marRight w:val="0"/>
      <w:marTop w:val="0"/>
      <w:marBottom w:val="0"/>
      <w:divBdr>
        <w:top w:val="none" w:sz="0" w:space="0" w:color="auto"/>
        <w:left w:val="none" w:sz="0" w:space="0" w:color="auto"/>
        <w:bottom w:val="none" w:sz="0" w:space="0" w:color="auto"/>
        <w:right w:val="none" w:sz="0" w:space="0" w:color="auto"/>
      </w:divBdr>
    </w:div>
    <w:div w:id="1121191897">
      <w:bodyDiv w:val="1"/>
      <w:marLeft w:val="0"/>
      <w:marRight w:val="0"/>
      <w:marTop w:val="0"/>
      <w:marBottom w:val="0"/>
      <w:divBdr>
        <w:top w:val="none" w:sz="0" w:space="0" w:color="auto"/>
        <w:left w:val="none" w:sz="0" w:space="0" w:color="auto"/>
        <w:bottom w:val="none" w:sz="0" w:space="0" w:color="auto"/>
        <w:right w:val="none" w:sz="0" w:space="0" w:color="auto"/>
      </w:divBdr>
    </w:div>
    <w:div w:id="1122068479">
      <w:bodyDiv w:val="1"/>
      <w:marLeft w:val="0"/>
      <w:marRight w:val="0"/>
      <w:marTop w:val="0"/>
      <w:marBottom w:val="0"/>
      <w:divBdr>
        <w:top w:val="none" w:sz="0" w:space="0" w:color="auto"/>
        <w:left w:val="none" w:sz="0" w:space="0" w:color="auto"/>
        <w:bottom w:val="none" w:sz="0" w:space="0" w:color="auto"/>
        <w:right w:val="none" w:sz="0" w:space="0" w:color="auto"/>
      </w:divBdr>
    </w:div>
    <w:div w:id="1122072754">
      <w:bodyDiv w:val="1"/>
      <w:marLeft w:val="0"/>
      <w:marRight w:val="0"/>
      <w:marTop w:val="0"/>
      <w:marBottom w:val="0"/>
      <w:divBdr>
        <w:top w:val="none" w:sz="0" w:space="0" w:color="auto"/>
        <w:left w:val="none" w:sz="0" w:space="0" w:color="auto"/>
        <w:bottom w:val="none" w:sz="0" w:space="0" w:color="auto"/>
        <w:right w:val="none" w:sz="0" w:space="0" w:color="auto"/>
      </w:divBdr>
    </w:div>
    <w:div w:id="1123577070">
      <w:bodyDiv w:val="1"/>
      <w:marLeft w:val="0"/>
      <w:marRight w:val="0"/>
      <w:marTop w:val="0"/>
      <w:marBottom w:val="0"/>
      <w:divBdr>
        <w:top w:val="none" w:sz="0" w:space="0" w:color="auto"/>
        <w:left w:val="none" w:sz="0" w:space="0" w:color="auto"/>
        <w:bottom w:val="none" w:sz="0" w:space="0" w:color="auto"/>
        <w:right w:val="none" w:sz="0" w:space="0" w:color="auto"/>
      </w:divBdr>
    </w:div>
    <w:div w:id="1123811675">
      <w:bodyDiv w:val="1"/>
      <w:marLeft w:val="0"/>
      <w:marRight w:val="0"/>
      <w:marTop w:val="0"/>
      <w:marBottom w:val="0"/>
      <w:divBdr>
        <w:top w:val="none" w:sz="0" w:space="0" w:color="auto"/>
        <w:left w:val="none" w:sz="0" w:space="0" w:color="auto"/>
        <w:bottom w:val="none" w:sz="0" w:space="0" w:color="auto"/>
        <w:right w:val="none" w:sz="0" w:space="0" w:color="auto"/>
      </w:divBdr>
    </w:div>
    <w:div w:id="1128666390">
      <w:bodyDiv w:val="1"/>
      <w:marLeft w:val="0"/>
      <w:marRight w:val="0"/>
      <w:marTop w:val="0"/>
      <w:marBottom w:val="0"/>
      <w:divBdr>
        <w:top w:val="none" w:sz="0" w:space="0" w:color="auto"/>
        <w:left w:val="none" w:sz="0" w:space="0" w:color="auto"/>
        <w:bottom w:val="none" w:sz="0" w:space="0" w:color="auto"/>
        <w:right w:val="none" w:sz="0" w:space="0" w:color="auto"/>
      </w:divBdr>
    </w:div>
    <w:div w:id="1130397566">
      <w:bodyDiv w:val="1"/>
      <w:marLeft w:val="0"/>
      <w:marRight w:val="0"/>
      <w:marTop w:val="0"/>
      <w:marBottom w:val="0"/>
      <w:divBdr>
        <w:top w:val="none" w:sz="0" w:space="0" w:color="auto"/>
        <w:left w:val="none" w:sz="0" w:space="0" w:color="auto"/>
        <w:bottom w:val="none" w:sz="0" w:space="0" w:color="auto"/>
        <w:right w:val="none" w:sz="0" w:space="0" w:color="auto"/>
      </w:divBdr>
    </w:div>
    <w:div w:id="1131090874">
      <w:bodyDiv w:val="1"/>
      <w:marLeft w:val="0"/>
      <w:marRight w:val="0"/>
      <w:marTop w:val="0"/>
      <w:marBottom w:val="0"/>
      <w:divBdr>
        <w:top w:val="none" w:sz="0" w:space="0" w:color="auto"/>
        <w:left w:val="none" w:sz="0" w:space="0" w:color="auto"/>
        <w:bottom w:val="none" w:sz="0" w:space="0" w:color="auto"/>
        <w:right w:val="none" w:sz="0" w:space="0" w:color="auto"/>
      </w:divBdr>
    </w:div>
    <w:div w:id="1133018070">
      <w:bodyDiv w:val="1"/>
      <w:marLeft w:val="0"/>
      <w:marRight w:val="0"/>
      <w:marTop w:val="0"/>
      <w:marBottom w:val="0"/>
      <w:divBdr>
        <w:top w:val="none" w:sz="0" w:space="0" w:color="auto"/>
        <w:left w:val="none" w:sz="0" w:space="0" w:color="auto"/>
        <w:bottom w:val="none" w:sz="0" w:space="0" w:color="auto"/>
        <w:right w:val="none" w:sz="0" w:space="0" w:color="auto"/>
      </w:divBdr>
    </w:div>
    <w:div w:id="1133987294">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7725675">
      <w:bodyDiv w:val="1"/>
      <w:marLeft w:val="0"/>
      <w:marRight w:val="0"/>
      <w:marTop w:val="0"/>
      <w:marBottom w:val="0"/>
      <w:divBdr>
        <w:top w:val="none" w:sz="0" w:space="0" w:color="auto"/>
        <w:left w:val="none" w:sz="0" w:space="0" w:color="auto"/>
        <w:bottom w:val="none" w:sz="0" w:space="0" w:color="auto"/>
        <w:right w:val="none" w:sz="0" w:space="0" w:color="auto"/>
      </w:divBdr>
    </w:div>
    <w:div w:id="1137726654">
      <w:bodyDiv w:val="1"/>
      <w:marLeft w:val="0"/>
      <w:marRight w:val="0"/>
      <w:marTop w:val="0"/>
      <w:marBottom w:val="0"/>
      <w:divBdr>
        <w:top w:val="none" w:sz="0" w:space="0" w:color="auto"/>
        <w:left w:val="none" w:sz="0" w:space="0" w:color="auto"/>
        <w:bottom w:val="none" w:sz="0" w:space="0" w:color="auto"/>
        <w:right w:val="none" w:sz="0" w:space="0" w:color="auto"/>
      </w:divBdr>
    </w:div>
    <w:div w:id="1137840906">
      <w:bodyDiv w:val="1"/>
      <w:marLeft w:val="0"/>
      <w:marRight w:val="0"/>
      <w:marTop w:val="0"/>
      <w:marBottom w:val="0"/>
      <w:divBdr>
        <w:top w:val="none" w:sz="0" w:space="0" w:color="auto"/>
        <w:left w:val="none" w:sz="0" w:space="0" w:color="auto"/>
        <w:bottom w:val="none" w:sz="0" w:space="0" w:color="auto"/>
        <w:right w:val="none" w:sz="0" w:space="0" w:color="auto"/>
      </w:divBdr>
    </w:div>
    <w:div w:id="1138575998">
      <w:bodyDiv w:val="1"/>
      <w:marLeft w:val="0"/>
      <w:marRight w:val="0"/>
      <w:marTop w:val="0"/>
      <w:marBottom w:val="0"/>
      <w:divBdr>
        <w:top w:val="none" w:sz="0" w:space="0" w:color="auto"/>
        <w:left w:val="none" w:sz="0" w:space="0" w:color="auto"/>
        <w:bottom w:val="none" w:sz="0" w:space="0" w:color="auto"/>
        <w:right w:val="none" w:sz="0" w:space="0" w:color="auto"/>
      </w:divBdr>
    </w:div>
    <w:div w:id="1139105967">
      <w:bodyDiv w:val="1"/>
      <w:marLeft w:val="0"/>
      <w:marRight w:val="0"/>
      <w:marTop w:val="0"/>
      <w:marBottom w:val="0"/>
      <w:divBdr>
        <w:top w:val="none" w:sz="0" w:space="0" w:color="auto"/>
        <w:left w:val="none" w:sz="0" w:space="0" w:color="auto"/>
        <w:bottom w:val="none" w:sz="0" w:space="0" w:color="auto"/>
        <w:right w:val="none" w:sz="0" w:space="0" w:color="auto"/>
      </w:divBdr>
    </w:div>
    <w:div w:id="1139110169">
      <w:bodyDiv w:val="1"/>
      <w:marLeft w:val="0"/>
      <w:marRight w:val="0"/>
      <w:marTop w:val="0"/>
      <w:marBottom w:val="0"/>
      <w:divBdr>
        <w:top w:val="none" w:sz="0" w:space="0" w:color="auto"/>
        <w:left w:val="none" w:sz="0" w:space="0" w:color="auto"/>
        <w:bottom w:val="none" w:sz="0" w:space="0" w:color="auto"/>
        <w:right w:val="none" w:sz="0" w:space="0" w:color="auto"/>
      </w:divBdr>
    </w:div>
    <w:div w:id="1140345678">
      <w:bodyDiv w:val="1"/>
      <w:marLeft w:val="0"/>
      <w:marRight w:val="0"/>
      <w:marTop w:val="0"/>
      <w:marBottom w:val="0"/>
      <w:divBdr>
        <w:top w:val="none" w:sz="0" w:space="0" w:color="auto"/>
        <w:left w:val="none" w:sz="0" w:space="0" w:color="auto"/>
        <w:bottom w:val="none" w:sz="0" w:space="0" w:color="auto"/>
        <w:right w:val="none" w:sz="0" w:space="0" w:color="auto"/>
      </w:divBdr>
    </w:div>
    <w:div w:id="1141770696">
      <w:bodyDiv w:val="1"/>
      <w:marLeft w:val="0"/>
      <w:marRight w:val="0"/>
      <w:marTop w:val="0"/>
      <w:marBottom w:val="0"/>
      <w:divBdr>
        <w:top w:val="none" w:sz="0" w:space="0" w:color="auto"/>
        <w:left w:val="none" w:sz="0" w:space="0" w:color="auto"/>
        <w:bottom w:val="none" w:sz="0" w:space="0" w:color="auto"/>
        <w:right w:val="none" w:sz="0" w:space="0" w:color="auto"/>
      </w:divBdr>
    </w:div>
    <w:div w:id="1142118204">
      <w:bodyDiv w:val="1"/>
      <w:marLeft w:val="0"/>
      <w:marRight w:val="0"/>
      <w:marTop w:val="0"/>
      <w:marBottom w:val="0"/>
      <w:divBdr>
        <w:top w:val="none" w:sz="0" w:space="0" w:color="auto"/>
        <w:left w:val="none" w:sz="0" w:space="0" w:color="auto"/>
        <w:bottom w:val="none" w:sz="0" w:space="0" w:color="auto"/>
        <w:right w:val="none" w:sz="0" w:space="0" w:color="auto"/>
      </w:divBdr>
    </w:div>
    <w:div w:id="1142651593">
      <w:bodyDiv w:val="1"/>
      <w:marLeft w:val="0"/>
      <w:marRight w:val="0"/>
      <w:marTop w:val="0"/>
      <w:marBottom w:val="0"/>
      <w:divBdr>
        <w:top w:val="none" w:sz="0" w:space="0" w:color="auto"/>
        <w:left w:val="none" w:sz="0" w:space="0" w:color="auto"/>
        <w:bottom w:val="none" w:sz="0" w:space="0" w:color="auto"/>
        <w:right w:val="none" w:sz="0" w:space="0" w:color="auto"/>
      </w:divBdr>
    </w:div>
    <w:div w:id="1143617921">
      <w:bodyDiv w:val="1"/>
      <w:marLeft w:val="0"/>
      <w:marRight w:val="0"/>
      <w:marTop w:val="0"/>
      <w:marBottom w:val="0"/>
      <w:divBdr>
        <w:top w:val="none" w:sz="0" w:space="0" w:color="auto"/>
        <w:left w:val="none" w:sz="0" w:space="0" w:color="auto"/>
        <w:bottom w:val="none" w:sz="0" w:space="0" w:color="auto"/>
        <w:right w:val="none" w:sz="0" w:space="0" w:color="auto"/>
      </w:divBdr>
    </w:div>
    <w:div w:id="1145662096">
      <w:bodyDiv w:val="1"/>
      <w:marLeft w:val="0"/>
      <w:marRight w:val="0"/>
      <w:marTop w:val="0"/>
      <w:marBottom w:val="0"/>
      <w:divBdr>
        <w:top w:val="none" w:sz="0" w:space="0" w:color="auto"/>
        <w:left w:val="none" w:sz="0" w:space="0" w:color="auto"/>
        <w:bottom w:val="none" w:sz="0" w:space="0" w:color="auto"/>
        <w:right w:val="none" w:sz="0" w:space="0" w:color="auto"/>
      </w:divBdr>
    </w:div>
    <w:div w:id="1146043043">
      <w:bodyDiv w:val="1"/>
      <w:marLeft w:val="0"/>
      <w:marRight w:val="0"/>
      <w:marTop w:val="0"/>
      <w:marBottom w:val="0"/>
      <w:divBdr>
        <w:top w:val="none" w:sz="0" w:space="0" w:color="auto"/>
        <w:left w:val="none" w:sz="0" w:space="0" w:color="auto"/>
        <w:bottom w:val="none" w:sz="0" w:space="0" w:color="auto"/>
        <w:right w:val="none" w:sz="0" w:space="0" w:color="auto"/>
      </w:divBdr>
    </w:div>
    <w:div w:id="1146051586">
      <w:bodyDiv w:val="1"/>
      <w:marLeft w:val="0"/>
      <w:marRight w:val="0"/>
      <w:marTop w:val="0"/>
      <w:marBottom w:val="0"/>
      <w:divBdr>
        <w:top w:val="none" w:sz="0" w:space="0" w:color="auto"/>
        <w:left w:val="none" w:sz="0" w:space="0" w:color="auto"/>
        <w:bottom w:val="none" w:sz="0" w:space="0" w:color="auto"/>
        <w:right w:val="none" w:sz="0" w:space="0" w:color="auto"/>
      </w:divBdr>
    </w:div>
    <w:div w:id="1146238164">
      <w:bodyDiv w:val="1"/>
      <w:marLeft w:val="0"/>
      <w:marRight w:val="0"/>
      <w:marTop w:val="0"/>
      <w:marBottom w:val="0"/>
      <w:divBdr>
        <w:top w:val="none" w:sz="0" w:space="0" w:color="auto"/>
        <w:left w:val="none" w:sz="0" w:space="0" w:color="auto"/>
        <w:bottom w:val="none" w:sz="0" w:space="0" w:color="auto"/>
        <w:right w:val="none" w:sz="0" w:space="0" w:color="auto"/>
      </w:divBdr>
    </w:div>
    <w:div w:id="1146824887">
      <w:bodyDiv w:val="1"/>
      <w:marLeft w:val="0"/>
      <w:marRight w:val="0"/>
      <w:marTop w:val="0"/>
      <w:marBottom w:val="0"/>
      <w:divBdr>
        <w:top w:val="none" w:sz="0" w:space="0" w:color="auto"/>
        <w:left w:val="none" w:sz="0" w:space="0" w:color="auto"/>
        <w:bottom w:val="none" w:sz="0" w:space="0" w:color="auto"/>
        <w:right w:val="none" w:sz="0" w:space="0" w:color="auto"/>
      </w:divBdr>
    </w:div>
    <w:div w:id="1147043741">
      <w:bodyDiv w:val="1"/>
      <w:marLeft w:val="0"/>
      <w:marRight w:val="0"/>
      <w:marTop w:val="0"/>
      <w:marBottom w:val="0"/>
      <w:divBdr>
        <w:top w:val="none" w:sz="0" w:space="0" w:color="auto"/>
        <w:left w:val="none" w:sz="0" w:space="0" w:color="auto"/>
        <w:bottom w:val="none" w:sz="0" w:space="0" w:color="auto"/>
        <w:right w:val="none" w:sz="0" w:space="0" w:color="auto"/>
      </w:divBdr>
    </w:div>
    <w:div w:id="1148084931">
      <w:bodyDiv w:val="1"/>
      <w:marLeft w:val="0"/>
      <w:marRight w:val="0"/>
      <w:marTop w:val="0"/>
      <w:marBottom w:val="0"/>
      <w:divBdr>
        <w:top w:val="none" w:sz="0" w:space="0" w:color="auto"/>
        <w:left w:val="none" w:sz="0" w:space="0" w:color="auto"/>
        <w:bottom w:val="none" w:sz="0" w:space="0" w:color="auto"/>
        <w:right w:val="none" w:sz="0" w:space="0" w:color="auto"/>
      </w:divBdr>
    </w:div>
    <w:div w:id="1148211066">
      <w:bodyDiv w:val="1"/>
      <w:marLeft w:val="0"/>
      <w:marRight w:val="0"/>
      <w:marTop w:val="0"/>
      <w:marBottom w:val="0"/>
      <w:divBdr>
        <w:top w:val="none" w:sz="0" w:space="0" w:color="auto"/>
        <w:left w:val="none" w:sz="0" w:space="0" w:color="auto"/>
        <w:bottom w:val="none" w:sz="0" w:space="0" w:color="auto"/>
        <w:right w:val="none" w:sz="0" w:space="0" w:color="auto"/>
      </w:divBdr>
    </w:div>
    <w:div w:id="1148933079">
      <w:bodyDiv w:val="1"/>
      <w:marLeft w:val="0"/>
      <w:marRight w:val="0"/>
      <w:marTop w:val="0"/>
      <w:marBottom w:val="0"/>
      <w:divBdr>
        <w:top w:val="none" w:sz="0" w:space="0" w:color="auto"/>
        <w:left w:val="none" w:sz="0" w:space="0" w:color="auto"/>
        <w:bottom w:val="none" w:sz="0" w:space="0" w:color="auto"/>
        <w:right w:val="none" w:sz="0" w:space="0" w:color="auto"/>
      </w:divBdr>
    </w:div>
    <w:div w:id="1149521975">
      <w:bodyDiv w:val="1"/>
      <w:marLeft w:val="0"/>
      <w:marRight w:val="0"/>
      <w:marTop w:val="0"/>
      <w:marBottom w:val="0"/>
      <w:divBdr>
        <w:top w:val="none" w:sz="0" w:space="0" w:color="auto"/>
        <w:left w:val="none" w:sz="0" w:space="0" w:color="auto"/>
        <w:bottom w:val="none" w:sz="0" w:space="0" w:color="auto"/>
        <w:right w:val="none" w:sz="0" w:space="0" w:color="auto"/>
      </w:divBdr>
    </w:div>
    <w:div w:id="1150055343">
      <w:bodyDiv w:val="1"/>
      <w:marLeft w:val="0"/>
      <w:marRight w:val="0"/>
      <w:marTop w:val="0"/>
      <w:marBottom w:val="0"/>
      <w:divBdr>
        <w:top w:val="none" w:sz="0" w:space="0" w:color="auto"/>
        <w:left w:val="none" w:sz="0" w:space="0" w:color="auto"/>
        <w:bottom w:val="none" w:sz="0" w:space="0" w:color="auto"/>
        <w:right w:val="none" w:sz="0" w:space="0" w:color="auto"/>
      </w:divBdr>
    </w:div>
    <w:div w:id="1150825398">
      <w:bodyDiv w:val="1"/>
      <w:marLeft w:val="0"/>
      <w:marRight w:val="0"/>
      <w:marTop w:val="0"/>
      <w:marBottom w:val="0"/>
      <w:divBdr>
        <w:top w:val="none" w:sz="0" w:space="0" w:color="auto"/>
        <w:left w:val="none" w:sz="0" w:space="0" w:color="auto"/>
        <w:bottom w:val="none" w:sz="0" w:space="0" w:color="auto"/>
        <w:right w:val="none" w:sz="0" w:space="0" w:color="auto"/>
      </w:divBdr>
    </w:div>
    <w:div w:id="1153839834">
      <w:bodyDiv w:val="1"/>
      <w:marLeft w:val="0"/>
      <w:marRight w:val="0"/>
      <w:marTop w:val="0"/>
      <w:marBottom w:val="0"/>
      <w:divBdr>
        <w:top w:val="none" w:sz="0" w:space="0" w:color="auto"/>
        <w:left w:val="none" w:sz="0" w:space="0" w:color="auto"/>
        <w:bottom w:val="none" w:sz="0" w:space="0" w:color="auto"/>
        <w:right w:val="none" w:sz="0" w:space="0" w:color="auto"/>
      </w:divBdr>
    </w:div>
    <w:div w:id="1156798748">
      <w:bodyDiv w:val="1"/>
      <w:marLeft w:val="0"/>
      <w:marRight w:val="0"/>
      <w:marTop w:val="0"/>
      <w:marBottom w:val="0"/>
      <w:divBdr>
        <w:top w:val="none" w:sz="0" w:space="0" w:color="auto"/>
        <w:left w:val="none" w:sz="0" w:space="0" w:color="auto"/>
        <w:bottom w:val="none" w:sz="0" w:space="0" w:color="auto"/>
        <w:right w:val="none" w:sz="0" w:space="0" w:color="auto"/>
      </w:divBdr>
    </w:div>
    <w:div w:id="1157645881">
      <w:bodyDiv w:val="1"/>
      <w:marLeft w:val="0"/>
      <w:marRight w:val="0"/>
      <w:marTop w:val="0"/>
      <w:marBottom w:val="0"/>
      <w:divBdr>
        <w:top w:val="none" w:sz="0" w:space="0" w:color="auto"/>
        <w:left w:val="none" w:sz="0" w:space="0" w:color="auto"/>
        <w:bottom w:val="none" w:sz="0" w:space="0" w:color="auto"/>
        <w:right w:val="none" w:sz="0" w:space="0" w:color="auto"/>
      </w:divBdr>
    </w:div>
    <w:div w:id="1160273785">
      <w:bodyDiv w:val="1"/>
      <w:marLeft w:val="0"/>
      <w:marRight w:val="0"/>
      <w:marTop w:val="0"/>
      <w:marBottom w:val="0"/>
      <w:divBdr>
        <w:top w:val="none" w:sz="0" w:space="0" w:color="auto"/>
        <w:left w:val="none" w:sz="0" w:space="0" w:color="auto"/>
        <w:bottom w:val="none" w:sz="0" w:space="0" w:color="auto"/>
        <w:right w:val="none" w:sz="0" w:space="0" w:color="auto"/>
      </w:divBdr>
    </w:div>
    <w:div w:id="1160732104">
      <w:bodyDiv w:val="1"/>
      <w:marLeft w:val="0"/>
      <w:marRight w:val="0"/>
      <w:marTop w:val="0"/>
      <w:marBottom w:val="0"/>
      <w:divBdr>
        <w:top w:val="none" w:sz="0" w:space="0" w:color="auto"/>
        <w:left w:val="none" w:sz="0" w:space="0" w:color="auto"/>
        <w:bottom w:val="none" w:sz="0" w:space="0" w:color="auto"/>
        <w:right w:val="none" w:sz="0" w:space="0" w:color="auto"/>
      </w:divBdr>
    </w:div>
    <w:div w:id="1161236342">
      <w:bodyDiv w:val="1"/>
      <w:marLeft w:val="0"/>
      <w:marRight w:val="0"/>
      <w:marTop w:val="0"/>
      <w:marBottom w:val="0"/>
      <w:divBdr>
        <w:top w:val="none" w:sz="0" w:space="0" w:color="auto"/>
        <w:left w:val="none" w:sz="0" w:space="0" w:color="auto"/>
        <w:bottom w:val="none" w:sz="0" w:space="0" w:color="auto"/>
        <w:right w:val="none" w:sz="0" w:space="0" w:color="auto"/>
      </w:divBdr>
    </w:div>
    <w:div w:id="1163349564">
      <w:bodyDiv w:val="1"/>
      <w:marLeft w:val="0"/>
      <w:marRight w:val="0"/>
      <w:marTop w:val="0"/>
      <w:marBottom w:val="0"/>
      <w:divBdr>
        <w:top w:val="none" w:sz="0" w:space="0" w:color="auto"/>
        <w:left w:val="none" w:sz="0" w:space="0" w:color="auto"/>
        <w:bottom w:val="none" w:sz="0" w:space="0" w:color="auto"/>
        <w:right w:val="none" w:sz="0" w:space="0" w:color="auto"/>
      </w:divBdr>
    </w:div>
    <w:div w:id="1163424158">
      <w:bodyDiv w:val="1"/>
      <w:marLeft w:val="0"/>
      <w:marRight w:val="0"/>
      <w:marTop w:val="0"/>
      <w:marBottom w:val="0"/>
      <w:divBdr>
        <w:top w:val="none" w:sz="0" w:space="0" w:color="auto"/>
        <w:left w:val="none" w:sz="0" w:space="0" w:color="auto"/>
        <w:bottom w:val="none" w:sz="0" w:space="0" w:color="auto"/>
        <w:right w:val="none" w:sz="0" w:space="0" w:color="auto"/>
      </w:divBdr>
    </w:div>
    <w:div w:id="1163550306">
      <w:bodyDiv w:val="1"/>
      <w:marLeft w:val="0"/>
      <w:marRight w:val="0"/>
      <w:marTop w:val="0"/>
      <w:marBottom w:val="0"/>
      <w:divBdr>
        <w:top w:val="none" w:sz="0" w:space="0" w:color="auto"/>
        <w:left w:val="none" w:sz="0" w:space="0" w:color="auto"/>
        <w:bottom w:val="none" w:sz="0" w:space="0" w:color="auto"/>
        <w:right w:val="none" w:sz="0" w:space="0" w:color="auto"/>
      </w:divBdr>
    </w:div>
    <w:div w:id="1163623150">
      <w:bodyDiv w:val="1"/>
      <w:marLeft w:val="0"/>
      <w:marRight w:val="0"/>
      <w:marTop w:val="0"/>
      <w:marBottom w:val="0"/>
      <w:divBdr>
        <w:top w:val="none" w:sz="0" w:space="0" w:color="auto"/>
        <w:left w:val="none" w:sz="0" w:space="0" w:color="auto"/>
        <w:bottom w:val="none" w:sz="0" w:space="0" w:color="auto"/>
        <w:right w:val="none" w:sz="0" w:space="0" w:color="auto"/>
      </w:divBdr>
    </w:div>
    <w:div w:id="1165516118">
      <w:bodyDiv w:val="1"/>
      <w:marLeft w:val="0"/>
      <w:marRight w:val="0"/>
      <w:marTop w:val="0"/>
      <w:marBottom w:val="0"/>
      <w:divBdr>
        <w:top w:val="none" w:sz="0" w:space="0" w:color="auto"/>
        <w:left w:val="none" w:sz="0" w:space="0" w:color="auto"/>
        <w:bottom w:val="none" w:sz="0" w:space="0" w:color="auto"/>
        <w:right w:val="none" w:sz="0" w:space="0" w:color="auto"/>
      </w:divBdr>
    </w:div>
    <w:div w:id="1165587306">
      <w:bodyDiv w:val="1"/>
      <w:marLeft w:val="0"/>
      <w:marRight w:val="0"/>
      <w:marTop w:val="0"/>
      <w:marBottom w:val="0"/>
      <w:divBdr>
        <w:top w:val="none" w:sz="0" w:space="0" w:color="auto"/>
        <w:left w:val="none" w:sz="0" w:space="0" w:color="auto"/>
        <w:bottom w:val="none" w:sz="0" w:space="0" w:color="auto"/>
        <w:right w:val="none" w:sz="0" w:space="0" w:color="auto"/>
      </w:divBdr>
    </w:div>
    <w:div w:id="1165587989">
      <w:bodyDiv w:val="1"/>
      <w:marLeft w:val="0"/>
      <w:marRight w:val="0"/>
      <w:marTop w:val="0"/>
      <w:marBottom w:val="0"/>
      <w:divBdr>
        <w:top w:val="none" w:sz="0" w:space="0" w:color="auto"/>
        <w:left w:val="none" w:sz="0" w:space="0" w:color="auto"/>
        <w:bottom w:val="none" w:sz="0" w:space="0" w:color="auto"/>
        <w:right w:val="none" w:sz="0" w:space="0" w:color="auto"/>
      </w:divBdr>
    </w:div>
    <w:div w:id="1166365873">
      <w:bodyDiv w:val="1"/>
      <w:marLeft w:val="0"/>
      <w:marRight w:val="0"/>
      <w:marTop w:val="0"/>
      <w:marBottom w:val="0"/>
      <w:divBdr>
        <w:top w:val="none" w:sz="0" w:space="0" w:color="auto"/>
        <w:left w:val="none" w:sz="0" w:space="0" w:color="auto"/>
        <w:bottom w:val="none" w:sz="0" w:space="0" w:color="auto"/>
        <w:right w:val="none" w:sz="0" w:space="0" w:color="auto"/>
      </w:divBdr>
    </w:div>
    <w:div w:id="1169060615">
      <w:bodyDiv w:val="1"/>
      <w:marLeft w:val="0"/>
      <w:marRight w:val="0"/>
      <w:marTop w:val="0"/>
      <w:marBottom w:val="0"/>
      <w:divBdr>
        <w:top w:val="none" w:sz="0" w:space="0" w:color="auto"/>
        <w:left w:val="none" w:sz="0" w:space="0" w:color="auto"/>
        <w:bottom w:val="none" w:sz="0" w:space="0" w:color="auto"/>
        <w:right w:val="none" w:sz="0" w:space="0" w:color="auto"/>
      </w:divBdr>
    </w:div>
    <w:div w:id="1171221487">
      <w:bodyDiv w:val="1"/>
      <w:marLeft w:val="0"/>
      <w:marRight w:val="0"/>
      <w:marTop w:val="0"/>
      <w:marBottom w:val="0"/>
      <w:divBdr>
        <w:top w:val="none" w:sz="0" w:space="0" w:color="auto"/>
        <w:left w:val="none" w:sz="0" w:space="0" w:color="auto"/>
        <w:bottom w:val="none" w:sz="0" w:space="0" w:color="auto"/>
        <w:right w:val="none" w:sz="0" w:space="0" w:color="auto"/>
      </w:divBdr>
    </w:div>
    <w:div w:id="1174615718">
      <w:bodyDiv w:val="1"/>
      <w:marLeft w:val="0"/>
      <w:marRight w:val="0"/>
      <w:marTop w:val="0"/>
      <w:marBottom w:val="0"/>
      <w:divBdr>
        <w:top w:val="none" w:sz="0" w:space="0" w:color="auto"/>
        <w:left w:val="none" w:sz="0" w:space="0" w:color="auto"/>
        <w:bottom w:val="none" w:sz="0" w:space="0" w:color="auto"/>
        <w:right w:val="none" w:sz="0" w:space="0" w:color="auto"/>
      </w:divBdr>
    </w:div>
    <w:div w:id="1176263837">
      <w:bodyDiv w:val="1"/>
      <w:marLeft w:val="0"/>
      <w:marRight w:val="0"/>
      <w:marTop w:val="0"/>
      <w:marBottom w:val="0"/>
      <w:divBdr>
        <w:top w:val="none" w:sz="0" w:space="0" w:color="auto"/>
        <w:left w:val="none" w:sz="0" w:space="0" w:color="auto"/>
        <w:bottom w:val="none" w:sz="0" w:space="0" w:color="auto"/>
        <w:right w:val="none" w:sz="0" w:space="0" w:color="auto"/>
      </w:divBdr>
    </w:div>
    <w:div w:id="1176534235">
      <w:bodyDiv w:val="1"/>
      <w:marLeft w:val="0"/>
      <w:marRight w:val="0"/>
      <w:marTop w:val="0"/>
      <w:marBottom w:val="0"/>
      <w:divBdr>
        <w:top w:val="none" w:sz="0" w:space="0" w:color="auto"/>
        <w:left w:val="none" w:sz="0" w:space="0" w:color="auto"/>
        <w:bottom w:val="none" w:sz="0" w:space="0" w:color="auto"/>
        <w:right w:val="none" w:sz="0" w:space="0" w:color="auto"/>
      </w:divBdr>
    </w:div>
    <w:div w:id="1177228117">
      <w:bodyDiv w:val="1"/>
      <w:marLeft w:val="0"/>
      <w:marRight w:val="0"/>
      <w:marTop w:val="0"/>
      <w:marBottom w:val="0"/>
      <w:divBdr>
        <w:top w:val="none" w:sz="0" w:space="0" w:color="auto"/>
        <w:left w:val="none" w:sz="0" w:space="0" w:color="auto"/>
        <w:bottom w:val="none" w:sz="0" w:space="0" w:color="auto"/>
        <w:right w:val="none" w:sz="0" w:space="0" w:color="auto"/>
      </w:divBdr>
    </w:div>
    <w:div w:id="1179274546">
      <w:bodyDiv w:val="1"/>
      <w:marLeft w:val="0"/>
      <w:marRight w:val="0"/>
      <w:marTop w:val="0"/>
      <w:marBottom w:val="0"/>
      <w:divBdr>
        <w:top w:val="none" w:sz="0" w:space="0" w:color="auto"/>
        <w:left w:val="none" w:sz="0" w:space="0" w:color="auto"/>
        <w:bottom w:val="none" w:sz="0" w:space="0" w:color="auto"/>
        <w:right w:val="none" w:sz="0" w:space="0" w:color="auto"/>
      </w:divBdr>
    </w:div>
    <w:div w:id="1180506155">
      <w:bodyDiv w:val="1"/>
      <w:marLeft w:val="0"/>
      <w:marRight w:val="0"/>
      <w:marTop w:val="0"/>
      <w:marBottom w:val="0"/>
      <w:divBdr>
        <w:top w:val="none" w:sz="0" w:space="0" w:color="auto"/>
        <w:left w:val="none" w:sz="0" w:space="0" w:color="auto"/>
        <w:bottom w:val="none" w:sz="0" w:space="0" w:color="auto"/>
        <w:right w:val="none" w:sz="0" w:space="0" w:color="auto"/>
      </w:divBdr>
    </w:div>
    <w:div w:id="1181236054">
      <w:bodyDiv w:val="1"/>
      <w:marLeft w:val="0"/>
      <w:marRight w:val="0"/>
      <w:marTop w:val="0"/>
      <w:marBottom w:val="0"/>
      <w:divBdr>
        <w:top w:val="none" w:sz="0" w:space="0" w:color="auto"/>
        <w:left w:val="none" w:sz="0" w:space="0" w:color="auto"/>
        <w:bottom w:val="none" w:sz="0" w:space="0" w:color="auto"/>
        <w:right w:val="none" w:sz="0" w:space="0" w:color="auto"/>
      </w:divBdr>
    </w:div>
    <w:div w:id="1181357281">
      <w:bodyDiv w:val="1"/>
      <w:marLeft w:val="0"/>
      <w:marRight w:val="0"/>
      <w:marTop w:val="0"/>
      <w:marBottom w:val="0"/>
      <w:divBdr>
        <w:top w:val="none" w:sz="0" w:space="0" w:color="auto"/>
        <w:left w:val="none" w:sz="0" w:space="0" w:color="auto"/>
        <w:bottom w:val="none" w:sz="0" w:space="0" w:color="auto"/>
        <w:right w:val="none" w:sz="0" w:space="0" w:color="auto"/>
      </w:divBdr>
    </w:div>
    <w:div w:id="1181814379">
      <w:bodyDiv w:val="1"/>
      <w:marLeft w:val="0"/>
      <w:marRight w:val="0"/>
      <w:marTop w:val="0"/>
      <w:marBottom w:val="0"/>
      <w:divBdr>
        <w:top w:val="none" w:sz="0" w:space="0" w:color="auto"/>
        <w:left w:val="none" w:sz="0" w:space="0" w:color="auto"/>
        <w:bottom w:val="none" w:sz="0" w:space="0" w:color="auto"/>
        <w:right w:val="none" w:sz="0" w:space="0" w:color="auto"/>
      </w:divBdr>
    </w:div>
    <w:div w:id="1183056269">
      <w:bodyDiv w:val="1"/>
      <w:marLeft w:val="0"/>
      <w:marRight w:val="0"/>
      <w:marTop w:val="0"/>
      <w:marBottom w:val="0"/>
      <w:divBdr>
        <w:top w:val="none" w:sz="0" w:space="0" w:color="auto"/>
        <w:left w:val="none" w:sz="0" w:space="0" w:color="auto"/>
        <w:bottom w:val="none" w:sz="0" w:space="0" w:color="auto"/>
        <w:right w:val="none" w:sz="0" w:space="0" w:color="auto"/>
      </w:divBdr>
    </w:div>
    <w:div w:id="1187056610">
      <w:bodyDiv w:val="1"/>
      <w:marLeft w:val="0"/>
      <w:marRight w:val="0"/>
      <w:marTop w:val="0"/>
      <w:marBottom w:val="0"/>
      <w:divBdr>
        <w:top w:val="none" w:sz="0" w:space="0" w:color="auto"/>
        <w:left w:val="none" w:sz="0" w:space="0" w:color="auto"/>
        <w:bottom w:val="none" w:sz="0" w:space="0" w:color="auto"/>
        <w:right w:val="none" w:sz="0" w:space="0" w:color="auto"/>
      </w:divBdr>
    </w:div>
    <w:div w:id="1189876494">
      <w:bodyDiv w:val="1"/>
      <w:marLeft w:val="0"/>
      <w:marRight w:val="0"/>
      <w:marTop w:val="0"/>
      <w:marBottom w:val="0"/>
      <w:divBdr>
        <w:top w:val="none" w:sz="0" w:space="0" w:color="auto"/>
        <w:left w:val="none" w:sz="0" w:space="0" w:color="auto"/>
        <w:bottom w:val="none" w:sz="0" w:space="0" w:color="auto"/>
        <w:right w:val="none" w:sz="0" w:space="0" w:color="auto"/>
      </w:divBdr>
    </w:div>
    <w:div w:id="1190605725">
      <w:bodyDiv w:val="1"/>
      <w:marLeft w:val="0"/>
      <w:marRight w:val="0"/>
      <w:marTop w:val="0"/>
      <w:marBottom w:val="0"/>
      <w:divBdr>
        <w:top w:val="none" w:sz="0" w:space="0" w:color="auto"/>
        <w:left w:val="none" w:sz="0" w:space="0" w:color="auto"/>
        <w:bottom w:val="none" w:sz="0" w:space="0" w:color="auto"/>
        <w:right w:val="none" w:sz="0" w:space="0" w:color="auto"/>
      </w:divBdr>
    </w:div>
    <w:div w:id="1190801333">
      <w:bodyDiv w:val="1"/>
      <w:marLeft w:val="0"/>
      <w:marRight w:val="0"/>
      <w:marTop w:val="0"/>
      <w:marBottom w:val="0"/>
      <w:divBdr>
        <w:top w:val="none" w:sz="0" w:space="0" w:color="auto"/>
        <w:left w:val="none" w:sz="0" w:space="0" w:color="auto"/>
        <w:bottom w:val="none" w:sz="0" w:space="0" w:color="auto"/>
        <w:right w:val="none" w:sz="0" w:space="0" w:color="auto"/>
      </w:divBdr>
    </w:div>
    <w:div w:id="1192647565">
      <w:bodyDiv w:val="1"/>
      <w:marLeft w:val="0"/>
      <w:marRight w:val="0"/>
      <w:marTop w:val="0"/>
      <w:marBottom w:val="0"/>
      <w:divBdr>
        <w:top w:val="none" w:sz="0" w:space="0" w:color="auto"/>
        <w:left w:val="none" w:sz="0" w:space="0" w:color="auto"/>
        <w:bottom w:val="none" w:sz="0" w:space="0" w:color="auto"/>
        <w:right w:val="none" w:sz="0" w:space="0" w:color="auto"/>
      </w:divBdr>
    </w:div>
    <w:div w:id="1195853031">
      <w:bodyDiv w:val="1"/>
      <w:marLeft w:val="0"/>
      <w:marRight w:val="0"/>
      <w:marTop w:val="0"/>
      <w:marBottom w:val="0"/>
      <w:divBdr>
        <w:top w:val="none" w:sz="0" w:space="0" w:color="auto"/>
        <w:left w:val="none" w:sz="0" w:space="0" w:color="auto"/>
        <w:bottom w:val="none" w:sz="0" w:space="0" w:color="auto"/>
        <w:right w:val="none" w:sz="0" w:space="0" w:color="auto"/>
      </w:divBdr>
    </w:div>
    <w:div w:id="1196195062">
      <w:bodyDiv w:val="1"/>
      <w:marLeft w:val="0"/>
      <w:marRight w:val="0"/>
      <w:marTop w:val="0"/>
      <w:marBottom w:val="0"/>
      <w:divBdr>
        <w:top w:val="none" w:sz="0" w:space="0" w:color="auto"/>
        <w:left w:val="none" w:sz="0" w:space="0" w:color="auto"/>
        <w:bottom w:val="none" w:sz="0" w:space="0" w:color="auto"/>
        <w:right w:val="none" w:sz="0" w:space="0" w:color="auto"/>
      </w:divBdr>
    </w:div>
    <w:div w:id="1197616041">
      <w:bodyDiv w:val="1"/>
      <w:marLeft w:val="0"/>
      <w:marRight w:val="0"/>
      <w:marTop w:val="0"/>
      <w:marBottom w:val="0"/>
      <w:divBdr>
        <w:top w:val="none" w:sz="0" w:space="0" w:color="auto"/>
        <w:left w:val="none" w:sz="0" w:space="0" w:color="auto"/>
        <w:bottom w:val="none" w:sz="0" w:space="0" w:color="auto"/>
        <w:right w:val="none" w:sz="0" w:space="0" w:color="auto"/>
      </w:divBdr>
    </w:div>
    <w:div w:id="1197818374">
      <w:bodyDiv w:val="1"/>
      <w:marLeft w:val="0"/>
      <w:marRight w:val="0"/>
      <w:marTop w:val="0"/>
      <w:marBottom w:val="0"/>
      <w:divBdr>
        <w:top w:val="none" w:sz="0" w:space="0" w:color="auto"/>
        <w:left w:val="none" w:sz="0" w:space="0" w:color="auto"/>
        <w:bottom w:val="none" w:sz="0" w:space="0" w:color="auto"/>
        <w:right w:val="none" w:sz="0" w:space="0" w:color="auto"/>
      </w:divBdr>
    </w:div>
    <w:div w:id="1199391384">
      <w:bodyDiv w:val="1"/>
      <w:marLeft w:val="0"/>
      <w:marRight w:val="0"/>
      <w:marTop w:val="0"/>
      <w:marBottom w:val="0"/>
      <w:divBdr>
        <w:top w:val="none" w:sz="0" w:space="0" w:color="auto"/>
        <w:left w:val="none" w:sz="0" w:space="0" w:color="auto"/>
        <w:bottom w:val="none" w:sz="0" w:space="0" w:color="auto"/>
        <w:right w:val="none" w:sz="0" w:space="0" w:color="auto"/>
      </w:divBdr>
    </w:div>
    <w:div w:id="1199851352">
      <w:bodyDiv w:val="1"/>
      <w:marLeft w:val="0"/>
      <w:marRight w:val="0"/>
      <w:marTop w:val="0"/>
      <w:marBottom w:val="0"/>
      <w:divBdr>
        <w:top w:val="none" w:sz="0" w:space="0" w:color="auto"/>
        <w:left w:val="none" w:sz="0" w:space="0" w:color="auto"/>
        <w:bottom w:val="none" w:sz="0" w:space="0" w:color="auto"/>
        <w:right w:val="none" w:sz="0" w:space="0" w:color="auto"/>
      </w:divBdr>
    </w:div>
    <w:div w:id="1200315521">
      <w:bodyDiv w:val="1"/>
      <w:marLeft w:val="0"/>
      <w:marRight w:val="0"/>
      <w:marTop w:val="0"/>
      <w:marBottom w:val="0"/>
      <w:divBdr>
        <w:top w:val="none" w:sz="0" w:space="0" w:color="auto"/>
        <w:left w:val="none" w:sz="0" w:space="0" w:color="auto"/>
        <w:bottom w:val="none" w:sz="0" w:space="0" w:color="auto"/>
        <w:right w:val="none" w:sz="0" w:space="0" w:color="auto"/>
      </w:divBdr>
    </w:div>
    <w:div w:id="1201630610">
      <w:bodyDiv w:val="1"/>
      <w:marLeft w:val="0"/>
      <w:marRight w:val="0"/>
      <w:marTop w:val="0"/>
      <w:marBottom w:val="0"/>
      <w:divBdr>
        <w:top w:val="none" w:sz="0" w:space="0" w:color="auto"/>
        <w:left w:val="none" w:sz="0" w:space="0" w:color="auto"/>
        <w:bottom w:val="none" w:sz="0" w:space="0" w:color="auto"/>
        <w:right w:val="none" w:sz="0" w:space="0" w:color="auto"/>
      </w:divBdr>
    </w:div>
    <w:div w:id="1202129619">
      <w:bodyDiv w:val="1"/>
      <w:marLeft w:val="0"/>
      <w:marRight w:val="0"/>
      <w:marTop w:val="0"/>
      <w:marBottom w:val="0"/>
      <w:divBdr>
        <w:top w:val="none" w:sz="0" w:space="0" w:color="auto"/>
        <w:left w:val="none" w:sz="0" w:space="0" w:color="auto"/>
        <w:bottom w:val="none" w:sz="0" w:space="0" w:color="auto"/>
        <w:right w:val="none" w:sz="0" w:space="0" w:color="auto"/>
      </w:divBdr>
    </w:div>
    <w:div w:id="1203982502">
      <w:bodyDiv w:val="1"/>
      <w:marLeft w:val="0"/>
      <w:marRight w:val="0"/>
      <w:marTop w:val="0"/>
      <w:marBottom w:val="0"/>
      <w:divBdr>
        <w:top w:val="none" w:sz="0" w:space="0" w:color="auto"/>
        <w:left w:val="none" w:sz="0" w:space="0" w:color="auto"/>
        <w:bottom w:val="none" w:sz="0" w:space="0" w:color="auto"/>
        <w:right w:val="none" w:sz="0" w:space="0" w:color="auto"/>
      </w:divBdr>
    </w:div>
    <w:div w:id="1206287893">
      <w:bodyDiv w:val="1"/>
      <w:marLeft w:val="0"/>
      <w:marRight w:val="0"/>
      <w:marTop w:val="0"/>
      <w:marBottom w:val="0"/>
      <w:divBdr>
        <w:top w:val="none" w:sz="0" w:space="0" w:color="auto"/>
        <w:left w:val="none" w:sz="0" w:space="0" w:color="auto"/>
        <w:bottom w:val="none" w:sz="0" w:space="0" w:color="auto"/>
        <w:right w:val="none" w:sz="0" w:space="0" w:color="auto"/>
      </w:divBdr>
    </w:div>
    <w:div w:id="1207569164">
      <w:bodyDiv w:val="1"/>
      <w:marLeft w:val="0"/>
      <w:marRight w:val="0"/>
      <w:marTop w:val="0"/>
      <w:marBottom w:val="0"/>
      <w:divBdr>
        <w:top w:val="none" w:sz="0" w:space="0" w:color="auto"/>
        <w:left w:val="none" w:sz="0" w:space="0" w:color="auto"/>
        <w:bottom w:val="none" w:sz="0" w:space="0" w:color="auto"/>
        <w:right w:val="none" w:sz="0" w:space="0" w:color="auto"/>
      </w:divBdr>
    </w:div>
    <w:div w:id="1209149738">
      <w:bodyDiv w:val="1"/>
      <w:marLeft w:val="0"/>
      <w:marRight w:val="0"/>
      <w:marTop w:val="0"/>
      <w:marBottom w:val="0"/>
      <w:divBdr>
        <w:top w:val="none" w:sz="0" w:space="0" w:color="auto"/>
        <w:left w:val="none" w:sz="0" w:space="0" w:color="auto"/>
        <w:bottom w:val="none" w:sz="0" w:space="0" w:color="auto"/>
        <w:right w:val="none" w:sz="0" w:space="0" w:color="auto"/>
      </w:divBdr>
    </w:div>
    <w:div w:id="1210191724">
      <w:bodyDiv w:val="1"/>
      <w:marLeft w:val="0"/>
      <w:marRight w:val="0"/>
      <w:marTop w:val="0"/>
      <w:marBottom w:val="0"/>
      <w:divBdr>
        <w:top w:val="none" w:sz="0" w:space="0" w:color="auto"/>
        <w:left w:val="none" w:sz="0" w:space="0" w:color="auto"/>
        <w:bottom w:val="none" w:sz="0" w:space="0" w:color="auto"/>
        <w:right w:val="none" w:sz="0" w:space="0" w:color="auto"/>
      </w:divBdr>
    </w:div>
    <w:div w:id="1210260778">
      <w:bodyDiv w:val="1"/>
      <w:marLeft w:val="0"/>
      <w:marRight w:val="0"/>
      <w:marTop w:val="0"/>
      <w:marBottom w:val="0"/>
      <w:divBdr>
        <w:top w:val="none" w:sz="0" w:space="0" w:color="auto"/>
        <w:left w:val="none" w:sz="0" w:space="0" w:color="auto"/>
        <w:bottom w:val="none" w:sz="0" w:space="0" w:color="auto"/>
        <w:right w:val="none" w:sz="0" w:space="0" w:color="auto"/>
      </w:divBdr>
    </w:div>
    <w:div w:id="1210608025">
      <w:bodyDiv w:val="1"/>
      <w:marLeft w:val="0"/>
      <w:marRight w:val="0"/>
      <w:marTop w:val="0"/>
      <w:marBottom w:val="0"/>
      <w:divBdr>
        <w:top w:val="none" w:sz="0" w:space="0" w:color="auto"/>
        <w:left w:val="none" w:sz="0" w:space="0" w:color="auto"/>
        <w:bottom w:val="none" w:sz="0" w:space="0" w:color="auto"/>
        <w:right w:val="none" w:sz="0" w:space="0" w:color="auto"/>
      </w:divBdr>
    </w:div>
    <w:div w:id="1210800423">
      <w:bodyDiv w:val="1"/>
      <w:marLeft w:val="0"/>
      <w:marRight w:val="0"/>
      <w:marTop w:val="0"/>
      <w:marBottom w:val="0"/>
      <w:divBdr>
        <w:top w:val="none" w:sz="0" w:space="0" w:color="auto"/>
        <w:left w:val="none" w:sz="0" w:space="0" w:color="auto"/>
        <w:bottom w:val="none" w:sz="0" w:space="0" w:color="auto"/>
        <w:right w:val="none" w:sz="0" w:space="0" w:color="auto"/>
      </w:divBdr>
    </w:div>
    <w:div w:id="1211652892">
      <w:bodyDiv w:val="1"/>
      <w:marLeft w:val="0"/>
      <w:marRight w:val="0"/>
      <w:marTop w:val="0"/>
      <w:marBottom w:val="0"/>
      <w:divBdr>
        <w:top w:val="none" w:sz="0" w:space="0" w:color="auto"/>
        <w:left w:val="none" w:sz="0" w:space="0" w:color="auto"/>
        <w:bottom w:val="none" w:sz="0" w:space="0" w:color="auto"/>
        <w:right w:val="none" w:sz="0" w:space="0" w:color="auto"/>
      </w:divBdr>
    </w:div>
    <w:div w:id="1212494447">
      <w:bodyDiv w:val="1"/>
      <w:marLeft w:val="0"/>
      <w:marRight w:val="0"/>
      <w:marTop w:val="0"/>
      <w:marBottom w:val="0"/>
      <w:divBdr>
        <w:top w:val="none" w:sz="0" w:space="0" w:color="auto"/>
        <w:left w:val="none" w:sz="0" w:space="0" w:color="auto"/>
        <w:bottom w:val="none" w:sz="0" w:space="0" w:color="auto"/>
        <w:right w:val="none" w:sz="0" w:space="0" w:color="auto"/>
      </w:divBdr>
    </w:div>
    <w:div w:id="1213736363">
      <w:bodyDiv w:val="1"/>
      <w:marLeft w:val="0"/>
      <w:marRight w:val="0"/>
      <w:marTop w:val="0"/>
      <w:marBottom w:val="0"/>
      <w:divBdr>
        <w:top w:val="none" w:sz="0" w:space="0" w:color="auto"/>
        <w:left w:val="none" w:sz="0" w:space="0" w:color="auto"/>
        <w:bottom w:val="none" w:sz="0" w:space="0" w:color="auto"/>
        <w:right w:val="none" w:sz="0" w:space="0" w:color="auto"/>
      </w:divBdr>
    </w:div>
    <w:div w:id="1214195365">
      <w:bodyDiv w:val="1"/>
      <w:marLeft w:val="0"/>
      <w:marRight w:val="0"/>
      <w:marTop w:val="0"/>
      <w:marBottom w:val="0"/>
      <w:divBdr>
        <w:top w:val="none" w:sz="0" w:space="0" w:color="auto"/>
        <w:left w:val="none" w:sz="0" w:space="0" w:color="auto"/>
        <w:bottom w:val="none" w:sz="0" w:space="0" w:color="auto"/>
        <w:right w:val="none" w:sz="0" w:space="0" w:color="auto"/>
      </w:divBdr>
    </w:div>
    <w:div w:id="1214653332">
      <w:bodyDiv w:val="1"/>
      <w:marLeft w:val="0"/>
      <w:marRight w:val="0"/>
      <w:marTop w:val="0"/>
      <w:marBottom w:val="0"/>
      <w:divBdr>
        <w:top w:val="none" w:sz="0" w:space="0" w:color="auto"/>
        <w:left w:val="none" w:sz="0" w:space="0" w:color="auto"/>
        <w:bottom w:val="none" w:sz="0" w:space="0" w:color="auto"/>
        <w:right w:val="none" w:sz="0" w:space="0" w:color="auto"/>
      </w:divBdr>
    </w:div>
    <w:div w:id="1214731551">
      <w:bodyDiv w:val="1"/>
      <w:marLeft w:val="0"/>
      <w:marRight w:val="0"/>
      <w:marTop w:val="0"/>
      <w:marBottom w:val="0"/>
      <w:divBdr>
        <w:top w:val="none" w:sz="0" w:space="0" w:color="auto"/>
        <w:left w:val="none" w:sz="0" w:space="0" w:color="auto"/>
        <w:bottom w:val="none" w:sz="0" w:space="0" w:color="auto"/>
        <w:right w:val="none" w:sz="0" w:space="0" w:color="auto"/>
      </w:divBdr>
    </w:div>
    <w:div w:id="1217622947">
      <w:bodyDiv w:val="1"/>
      <w:marLeft w:val="0"/>
      <w:marRight w:val="0"/>
      <w:marTop w:val="0"/>
      <w:marBottom w:val="0"/>
      <w:divBdr>
        <w:top w:val="none" w:sz="0" w:space="0" w:color="auto"/>
        <w:left w:val="none" w:sz="0" w:space="0" w:color="auto"/>
        <w:bottom w:val="none" w:sz="0" w:space="0" w:color="auto"/>
        <w:right w:val="none" w:sz="0" w:space="0" w:color="auto"/>
      </w:divBdr>
    </w:div>
    <w:div w:id="1219635847">
      <w:bodyDiv w:val="1"/>
      <w:marLeft w:val="0"/>
      <w:marRight w:val="0"/>
      <w:marTop w:val="0"/>
      <w:marBottom w:val="0"/>
      <w:divBdr>
        <w:top w:val="none" w:sz="0" w:space="0" w:color="auto"/>
        <w:left w:val="none" w:sz="0" w:space="0" w:color="auto"/>
        <w:bottom w:val="none" w:sz="0" w:space="0" w:color="auto"/>
        <w:right w:val="none" w:sz="0" w:space="0" w:color="auto"/>
      </w:divBdr>
    </w:div>
    <w:div w:id="1219782998">
      <w:bodyDiv w:val="1"/>
      <w:marLeft w:val="0"/>
      <w:marRight w:val="0"/>
      <w:marTop w:val="0"/>
      <w:marBottom w:val="0"/>
      <w:divBdr>
        <w:top w:val="none" w:sz="0" w:space="0" w:color="auto"/>
        <w:left w:val="none" w:sz="0" w:space="0" w:color="auto"/>
        <w:bottom w:val="none" w:sz="0" w:space="0" w:color="auto"/>
        <w:right w:val="none" w:sz="0" w:space="0" w:color="auto"/>
      </w:divBdr>
    </w:div>
    <w:div w:id="1219974179">
      <w:bodyDiv w:val="1"/>
      <w:marLeft w:val="0"/>
      <w:marRight w:val="0"/>
      <w:marTop w:val="0"/>
      <w:marBottom w:val="0"/>
      <w:divBdr>
        <w:top w:val="none" w:sz="0" w:space="0" w:color="auto"/>
        <w:left w:val="none" w:sz="0" w:space="0" w:color="auto"/>
        <w:bottom w:val="none" w:sz="0" w:space="0" w:color="auto"/>
        <w:right w:val="none" w:sz="0" w:space="0" w:color="auto"/>
      </w:divBdr>
    </w:div>
    <w:div w:id="1221133669">
      <w:bodyDiv w:val="1"/>
      <w:marLeft w:val="0"/>
      <w:marRight w:val="0"/>
      <w:marTop w:val="0"/>
      <w:marBottom w:val="0"/>
      <w:divBdr>
        <w:top w:val="none" w:sz="0" w:space="0" w:color="auto"/>
        <w:left w:val="none" w:sz="0" w:space="0" w:color="auto"/>
        <w:bottom w:val="none" w:sz="0" w:space="0" w:color="auto"/>
        <w:right w:val="none" w:sz="0" w:space="0" w:color="auto"/>
      </w:divBdr>
    </w:div>
    <w:div w:id="1221984315">
      <w:bodyDiv w:val="1"/>
      <w:marLeft w:val="0"/>
      <w:marRight w:val="0"/>
      <w:marTop w:val="0"/>
      <w:marBottom w:val="0"/>
      <w:divBdr>
        <w:top w:val="none" w:sz="0" w:space="0" w:color="auto"/>
        <w:left w:val="none" w:sz="0" w:space="0" w:color="auto"/>
        <w:bottom w:val="none" w:sz="0" w:space="0" w:color="auto"/>
        <w:right w:val="none" w:sz="0" w:space="0" w:color="auto"/>
      </w:divBdr>
    </w:div>
    <w:div w:id="1223324997">
      <w:bodyDiv w:val="1"/>
      <w:marLeft w:val="0"/>
      <w:marRight w:val="0"/>
      <w:marTop w:val="0"/>
      <w:marBottom w:val="0"/>
      <w:divBdr>
        <w:top w:val="none" w:sz="0" w:space="0" w:color="auto"/>
        <w:left w:val="none" w:sz="0" w:space="0" w:color="auto"/>
        <w:bottom w:val="none" w:sz="0" w:space="0" w:color="auto"/>
        <w:right w:val="none" w:sz="0" w:space="0" w:color="auto"/>
      </w:divBdr>
    </w:div>
    <w:div w:id="1224677101">
      <w:bodyDiv w:val="1"/>
      <w:marLeft w:val="0"/>
      <w:marRight w:val="0"/>
      <w:marTop w:val="0"/>
      <w:marBottom w:val="0"/>
      <w:divBdr>
        <w:top w:val="none" w:sz="0" w:space="0" w:color="auto"/>
        <w:left w:val="none" w:sz="0" w:space="0" w:color="auto"/>
        <w:bottom w:val="none" w:sz="0" w:space="0" w:color="auto"/>
        <w:right w:val="none" w:sz="0" w:space="0" w:color="auto"/>
      </w:divBdr>
    </w:div>
    <w:div w:id="1225139318">
      <w:bodyDiv w:val="1"/>
      <w:marLeft w:val="0"/>
      <w:marRight w:val="0"/>
      <w:marTop w:val="0"/>
      <w:marBottom w:val="0"/>
      <w:divBdr>
        <w:top w:val="none" w:sz="0" w:space="0" w:color="auto"/>
        <w:left w:val="none" w:sz="0" w:space="0" w:color="auto"/>
        <w:bottom w:val="none" w:sz="0" w:space="0" w:color="auto"/>
        <w:right w:val="none" w:sz="0" w:space="0" w:color="auto"/>
      </w:divBdr>
    </w:div>
    <w:div w:id="1225799028">
      <w:bodyDiv w:val="1"/>
      <w:marLeft w:val="0"/>
      <w:marRight w:val="0"/>
      <w:marTop w:val="0"/>
      <w:marBottom w:val="0"/>
      <w:divBdr>
        <w:top w:val="none" w:sz="0" w:space="0" w:color="auto"/>
        <w:left w:val="none" w:sz="0" w:space="0" w:color="auto"/>
        <w:bottom w:val="none" w:sz="0" w:space="0" w:color="auto"/>
        <w:right w:val="none" w:sz="0" w:space="0" w:color="auto"/>
      </w:divBdr>
    </w:div>
    <w:div w:id="1226180166">
      <w:bodyDiv w:val="1"/>
      <w:marLeft w:val="0"/>
      <w:marRight w:val="0"/>
      <w:marTop w:val="0"/>
      <w:marBottom w:val="0"/>
      <w:divBdr>
        <w:top w:val="none" w:sz="0" w:space="0" w:color="auto"/>
        <w:left w:val="none" w:sz="0" w:space="0" w:color="auto"/>
        <w:bottom w:val="none" w:sz="0" w:space="0" w:color="auto"/>
        <w:right w:val="none" w:sz="0" w:space="0" w:color="auto"/>
      </w:divBdr>
    </w:div>
    <w:div w:id="1227259035">
      <w:bodyDiv w:val="1"/>
      <w:marLeft w:val="0"/>
      <w:marRight w:val="0"/>
      <w:marTop w:val="0"/>
      <w:marBottom w:val="0"/>
      <w:divBdr>
        <w:top w:val="none" w:sz="0" w:space="0" w:color="auto"/>
        <w:left w:val="none" w:sz="0" w:space="0" w:color="auto"/>
        <w:bottom w:val="none" w:sz="0" w:space="0" w:color="auto"/>
        <w:right w:val="none" w:sz="0" w:space="0" w:color="auto"/>
      </w:divBdr>
    </w:div>
    <w:div w:id="1227447717">
      <w:bodyDiv w:val="1"/>
      <w:marLeft w:val="0"/>
      <w:marRight w:val="0"/>
      <w:marTop w:val="0"/>
      <w:marBottom w:val="0"/>
      <w:divBdr>
        <w:top w:val="none" w:sz="0" w:space="0" w:color="auto"/>
        <w:left w:val="none" w:sz="0" w:space="0" w:color="auto"/>
        <w:bottom w:val="none" w:sz="0" w:space="0" w:color="auto"/>
        <w:right w:val="none" w:sz="0" w:space="0" w:color="auto"/>
      </w:divBdr>
    </w:div>
    <w:div w:id="1228030633">
      <w:bodyDiv w:val="1"/>
      <w:marLeft w:val="0"/>
      <w:marRight w:val="0"/>
      <w:marTop w:val="0"/>
      <w:marBottom w:val="0"/>
      <w:divBdr>
        <w:top w:val="none" w:sz="0" w:space="0" w:color="auto"/>
        <w:left w:val="none" w:sz="0" w:space="0" w:color="auto"/>
        <w:bottom w:val="none" w:sz="0" w:space="0" w:color="auto"/>
        <w:right w:val="none" w:sz="0" w:space="0" w:color="auto"/>
      </w:divBdr>
    </w:div>
    <w:div w:id="1231891751">
      <w:bodyDiv w:val="1"/>
      <w:marLeft w:val="0"/>
      <w:marRight w:val="0"/>
      <w:marTop w:val="0"/>
      <w:marBottom w:val="0"/>
      <w:divBdr>
        <w:top w:val="none" w:sz="0" w:space="0" w:color="auto"/>
        <w:left w:val="none" w:sz="0" w:space="0" w:color="auto"/>
        <w:bottom w:val="none" w:sz="0" w:space="0" w:color="auto"/>
        <w:right w:val="none" w:sz="0" w:space="0" w:color="auto"/>
      </w:divBdr>
    </w:div>
    <w:div w:id="1232692138">
      <w:bodyDiv w:val="1"/>
      <w:marLeft w:val="0"/>
      <w:marRight w:val="0"/>
      <w:marTop w:val="0"/>
      <w:marBottom w:val="0"/>
      <w:divBdr>
        <w:top w:val="none" w:sz="0" w:space="0" w:color="auto"/>
        <w:left w:val="none" w:sz="0" w:space="0" w:color="auto"/>
        <w:bottom w:val="none" w:sz="0" w:space="0" w:color="auto"/>
        <w:right w:val="none" w:sz="0" w:space="0" w:color="auto"/>
      </w:divBdr>
    </w:div>
    <w:div w:id="1232883292">
      <w:bodyDiv w:val="1"/>
      <w:marLeft w:val="0"/>
      <w:marRight w:val="0"/>
      <w:marTop w:val="0"/>
      <w:marBottom w:val="0"/>
      <w:divBdr>
        <w:top w:val="none" w:sz="0" w:space="0" w:color="auto"/>
        <w:left w:val="none" w:sz="0" w:space="0" w:color="auto"/>
        <w:bottom w:val="none" w:sz="0" w:space="0" w:color="auto"/>
        <w:right w:val="none" w:sz="0" w:space="0" w:color="auto"/>
      </w:divBdr>
    </w:div>
    <w:div w:id="1234698623">
      <w:bodyDiv w:val="1"/>
      <w:marLeft w:val="0"/>
      <w:marRight w:val="0"/>
      <w:marTop w:val="0"/>
      <w:marBottom w:val="0"/>
      <w:divBdr>
        <w:top w:val="none" w:sz="0" w:space="0" w:color="auto"/>
        <w:left w:val="none" w:sz="0" w:space="0" w:color="auto"/>
        <w:bottom w:val="none" w:sz="0" w:space="0" w:color="auto"/>
        <w:right w:val="none" w:sz="0" w:space="0" w:color="auto"/>
      </w:divBdr>
    </w:div>
    <w:div w:id="1236548825">
      <w:bodyDiv w:val="1"/>
      <w:marLeft w:val="0"/>
      <w:marRight w:val="0"/>
      <w:marTop w:val="0"/>
      <w:marBottom w:val="0"/>
      <w:divBdr>
        <w:top w:val="none" w:sz="0" w:space="0" w:color="auto"/>
        <w:left w:val="none" w:sz="0" w:space="0" w:color="auto"/>
        <w:bottom w:val="none" w:sz="0" w:space="0" w:color="auto"/>
        <w:right w:val="none" w:sz="0" w:space="0" w:color="auto"/>
      </w:divBdr>
    </w:div>
    <w:div w:id="1239440316">
      <w:bodyDiv w:val="1"/>
      <w:marLeft w:val="0"/>
      <w:marRight w:val="0"/>
      <w:marTop w:val="0"/>
      <w:marBottom w:val="0"/>
      <w:divBdr>
        <w:top w:val="none" w:sz="0" w:space="0" w:color="auto"/>
        <w:left w:val="none" w:sz="0" w:space="0" w:color="auto"/>
        <w:bottom w:val="none" w:sz="0" w:space="0" w:color="auto"/>
        <w:right w:val="none" w:sz="0" w:space="0" w:color="auto"/>
      </w:divBdr>
    </w:div>
    <w:div w:id="1239558852">
      <w:bodyDiv w:val="1"/>
      <w:marLeft w:val="0"/>
      <w:marRight w:val="0"/>
      <w:marTop w:val="0"/>
      <w:marBottom w:val="0"/>
      <w:divBdr>
        <w:top w:val="none" w:sz="0" w:space="0" w:color="auto"/>
        <w:left w:val="none" w:sz="0" w:space="0" w:color="auto"/>
        <w:bottom w:val="none" w:sz="0" w:space="0" w:color="auto"/>
        <w:right w:val="none" w:sz="0" w:space="0" w:color="auto"/>
      </w:divBdr>
    </w:div>
    <w:div w:id="1239825805">
      <w:bodyDiv w:val="1"/>
      <w:marLeft w:val="0"/>
      <w:marRight w:val="0"/>
      <w:marTop w:val="0"/>
      <w:marBottom w:val="0"/>
      <w:divBdr>
        <w:top w:val="none" w:sz="0" w:space="0" w:color="auto"/>
        <w:left w:val="none" w:sz="0" w:space="0" w:color="auto"/>
        <w:bottom w:val="none" w:sz="0" w:space="0" w:color="auto"/>
        <w:right w:val="none" w:sz="0" w:space="0" w:color="auto"/>
      </w:divBdr>
    </w:div>
    <w:div w:id="1240021643">
      <w:bodyDiv w:val="1"/>
      <w:marLeft w:val="0"/>
      <w:marRight w:val="0"/>
      <w:marTop w:val="0"/>
      <w:marBottom w:val="0"/>
      <w:divBdr>
        <w:top w:val="none" w:sz="0" w:space="0" w:color="auto"/>
        <w:left w:val="none" w:sz="0" w:space="0" w:color="auto"/>
        <w:bottom w:val="none" w:sz="0" w:space="0" w:color="auto"/>
        <w:right w:val="none" w:sz="0" w:space="0" w:color="auto"/>
      </w:divBdr>
    </w:div>
    <w:div w:id="1240211334">
      <w:bodyDiv w:val="1"/>
      <w:marLeft w:val="0"/>
      <w:marRight w:val="0"/>
      <w:marTop w:val="0"/>
      <w:marBottom w:val="0"/>
      <w:divBdr>
        <w:top w:val="none" w:sz="0" w:space="0" w:color="auto"/>
        <w:left w:val="none" w:sz="0" w:space="0" w:color="auto"/>
        <w:bottom w:val="none" w:sz="0" w:space="0" w:color="auto"/>
        <w:right w:val="none" w:sz="0" w:space="0" w:color="auto"/>
      </w:divBdr>
    </w:div>
    <w:div w:id="1240750115">
      <w:bodyDiv w:val="1"/>
      <w:marLeft w:val="0"/>
      <w:marRight w:val="0"/>
      <w:marTop w:val="0"/>
      <w:marBottom w:val="0"/>
      <w:divBdr>
        <w:top w:val="none" w:sz="0" w:space="0" w:color="auto"/>
        <w:left w:val="none" w:sz="0" w:space="0" w:color="auto"/>
        <w:bottom w:val="none" w:sz="0" w:space="0" w:color="auto"/>
        <w:right w:val="none" w:sz="0" w:space="0" w:color="auto"/>
      </w:divBdr>
    </w:div>
    <w:div w:id="1241602711">
      <w:bodyDiv w:val="1"/>
      <w:marLeft w:val="0"/>
      <w:marRight w:val="0"/>
      <w:marTop w:val="0"/>
      <w:marBottom w:val="0"/>
      <w:divBdr>
        <w:top w:val="none" w:sz="0" w:space="0" w:color="auto"/>
        <w:left w:val="none" w:sz="0" w:space="0" w:color="auto"/>
        <w:bottom w:val="none" w:sz="0" w:space="0" w:color="auto"/>
        <w:right w:val="none" w:sz="0" w:space="0" w:color="auto"/>
      </w:divBdr>
    </w:div>
    <w:div w:id="1242060203">
      <w:bodyDiv w:val="1"/>
      <w:marLeft w:val="0"/>
      <w:marRight w:val="0"/>
      <w:marTop w:val="0"/>
      <w:marBottom w:val="0"/>
      <w:divBdr>
        <w:top w:val="none" w:sz="0" w:space="0" w:color="auto"/>
        <w:left w:val="none" w:sz="0" w:space="0" w:color="auto"/>
        <w:bottom w:val="none" w:sz="0" w:space="0" w:color="auto"/>
        <w:right w:val="none" w:sz="0" w:space="0" w:color="auto"/>
      </w:divBdr>
    </w:div>
    <w:div w:id="1242834622">
      <w:bodyDiv w:val="1"/>
      <w:marLeft w:val="0"/>
      <w:marRight w:val="0"/>
      <w:marTop w:val="0"/>
      <w:marBottom w:val="0"/>
      <w:divBdr>
        <w:top w:val="none" w:sz="0" w:space="0" w:color="auto"/>
        <w:left w:val="none" w:sz="0" w:space="0" w:color="auto"/>
        <w:bottom w:val="none" w:sz="0" w:space="0" w:color="auto"/>
        <w:right w:val="none" w:sz="0" w:space="0" w:color="auto"/>
      </w:divBdr>
    </w:div>
    <w:div w:id="1244532937">
      <w:bodyDiv w:val="1"/>
      <w:marLeft w:val="0"/>
      <w:marRight w:val="0"/>
      <w:marTop w:val="0"/>
      <w:marBottom w:val="0"/>
      <w:divBdr>
        <w:top w:val="none" w:sz="0" w:space="0" w:color="auto"/>
        <w:left w:val="none" w:sz="0" w:space="0" w:color="auto"/>
        <w:bottom w:val="none" w:sz="0" w:space="0" w:color="auto"/>
        <w:right w:val="none" w:sz="0" w:space="0" w:color="auto"/>
      </w:divBdr>
    </w:div>
    <w:div w:id="1245652454">
      <w:bodyDiv w:val="1"/>
      <w:marLeft w:val="0"/>
      <w:marRight w:val="0"/>
      <w:marTop w:val="0"/>
      <w:marBottom w:val="0"/>
      <w:divBdr>
        <w:top w:val="none" w:sz="0" w:space="0" w:color="auto"/>
        <w:left w:val="none" w:sz="0" w:space="0" w:color="auto"/>
        <w:bottom w:val="none" w:sz="0" w:space="0" w:color="auto"/>
        <w:right w:val="none" w:sz="0" w:space="0" w:color="auto"/>
      </w:divBdr>
    </w:div>
    <w:div w:id="1247106433">
      <w:bodyDiv w:val="1"/>
      <w:marLeft w:val="0"/>
      <w:marRight w:val="0"/>
      <w:marTop w:val="0"/>
      <w:marBottom w:val="0"/>
      <w:divBdr>
        <w:top w:val="none" w:sz="0" w:space="0" w:color="auto"/>
        <w:left w:val="none" w:sz="0" w:space="0" w:color="auto"/>
        <w:bottom w:val="none" w:sz="0" w:space="0" w:color="auto"/>
        <w:right w:val="none" w:sz="0" w:space="0" w:color="auto"/>
      </w:divBdr>
    </w:div>
    <w:div w:id="1247155983">
      <w:bodyDiv w:val="1"/>
      <w:marLeft w:val="0"/>
      <w:marRight w:val="0"/>
      <w:marTop w:val="0"/>
      <w:marBottom w:val="0"/>
      <w:divBdr>
        <w:top w:val="none" w:sz="0" w:space="0" w:color="auto"/>
        <w:left w:val="none" w:sz="0" w:space="0" w:color="auto"/>
        <w:bottom w:val="none" w:sz="0" w:space="0" w:color="auto"/>
        <w:right w:val="none" w:sz="0" w:space="0" w:color="auto"/>
      </w:divBdr>
    </w:div>
    <w:div w:id="1247421240">
      <w:bodyDiv w:val="1"/>
      <w:marLeft w:val="0"/>
      <w:marRight w:val="0"/>
      <w:marTop w:val="0"/>
      <w:marBottom w:val="0"/>
      <w:divBdr>
        <w:top w:val="none" w:sz="0" w:space="0" w:color="auto"/>
        <w:left w:val="none" w:sz="0" w:space="0" w:color="auto"/>
        <w:bottom w:val="none" w:sz="0" w:space="0" w:color="auto"/>
        <w:right w:val="none" w:sz="0" w:space="0" w:color="auto"/>
      </w:divBdr>
    </w:div>
    <w:div w:id="1249844968">
      <w:bodyDiv w:val="1"/>
      <w:marLeft w:val="0"/>
      <w:marRight w:val="0"/>
      <w:marTop w:val="0"/>
      <w:marBottom w:val="0"/>
      <w:divBdr>
        <w:top w:val="none" w:sz="0" w:space="0" w:color="auto"/>
        <w:left w:val="none" w:sz="0" w:space="0" w:color="auto"/>
        <w:bottom w:val="none" w:sz="0" w:space="0" w:color="auto"/>
        <w:right w:val="none" w:sz="0" w:space="0" w:color="auto"/>
      </w:divBdr>
    </w:div>
    <w:div w:id="1250431615">
      <w:bodyDiv w:val="1"/>
      <w:marLeft w:val="0"/>
      <w:marRight w:val="0"/>
      <w:marTop w:val="0"/>
      <w:marBottom w:val="0"/>
      <w:divBdr>
        <w:top w:val="none" w:sz="0" w:space="0" w:color="auto"/>
        <w:left w:val="none" w:sz="0" w:space="0" w:color="auto"/>
        <w:bottom w:val="none" w:sz="0" w:space="0" w:color="auto"/>
        <w:right w:val="none" w:sz="0" w:space="0" w:color="auto"/>
      </w:divBdr>
    </w:div>
    <w:div w:id="1250845576">
      <w:bodyDiv w:val="1"/>
      <w:marLeft w:val="0"/>
      <w:marRight w:val="0"/>
      <w:marTop w:val="0"/>
      <w:marBottom w:val="0"/>
      <w:divBdr>
        <w:top w:val="none" w:sz="0" w:space="0" w:color="auto"/>
        <w:left w:val="none" w:sz="0" w:space="0" w:color="auto"/>
        <w:bottom w:val="none" w:sz="0" w:space="0" w:color="auto"/>
        <w:right w:val="none" w:sz="0" w:space="0" w:color="auto"/>
      </w:divBdr>
    </w:div>
    <w:div w:id="1251623246">
      <w:bodyDiv w:val="1"/>
      <w:marLeft w:val="0"/>
      <w:marRight w:val="0"/>
      <w:marTop w:val="0"/>
      <w:marBottom w:val="0"/>
      <w:divBdr>
        <w:top w:val="none" w:sz="0" w:space="0" w:color="auto"/>
        <w:left w:val="none" w:sz="0" w:space="0" w:color="auto"/>
        <w:bottom w:val="none" w:sz="0" w:space="0" w:color="auto"/>
        <w:right w:val="none" w:sz="0" w:space="0" w:color="auto"/>
      </w:divBdr>
    </w:div>
    <w:div w:id="1252470762">
      <w:bodyDiv w:val="1"/>
      <w:marLeft w:val="0"/>
      <w:marRight w:val="0"/>
      <w:marTop w:val="0"/>
      <w:marBottom w:val="0"/>
      <w:divBdr>
        <w:top w:val="none" w:sz="0" w:space="0" w:color="auto"/>
        <w:left w:val="none" w:sz="0" w:space="0" w:color="auto"/>
        <w:bottom w:val="none" w:sz="0" w:space="0" w:color="auto"/>
        <w:right w:val="none" w:sz="0" w:space="0" w:color="auto"/>
      </w:divBdr>
    </w:div>
    <w:div w:id="1253198751">
      <w:bodyDiv w:val="1"/>
      <w:marLeft w:val="0"/>
      <w:marRight w:val="0"/>
      <w:marTop w:val="0"/>
      <w:marBottom w:val="0"/>
      <w:divBdr>
        <w:top w:val="none" w:sz="0" w:space="0" w:color="auto"/>
        <w:left w:val="none" w:sz="0" w:space="0" w:color="auto"/>
        <w:bottom w:val="none" w:sz="0" w:space="0" w:color="auto"/>
        <w:right w:val="none" w:sz="0" w:space="0" w:color="auto"/>
      </w:divBdr>
    </w:div>
    <w:div w:id="1253274957">
      <w:bodyDiv w:val="1"/>
      <w:marLeft w:val="0"/>
      <w:marRight w:val="0"/>
      <w:marTop w:val="0"/>
      <w:marBottom w:val="0"/>
      <w:divBdr>
        <w:top w:val="none" w:sz="0" w:space="0" w:color="auto"/>
        <w:left w:val="none" w:sz="0" w:space="0" w:color="auto"/>
        <w:bottom w:val="none" w:sz="0" w:space="0" w:color="auto"/>
        <w:right w:val="none" w:sz="0" w:space="0" w:color="auto"/>
      </w:divBdr>
    </w:div>
    <w:div w:id="1254243517">
      <w:bodyDiv w:val="1"/>
      <w:marLeft w:val="0"/>
      <w:marRight w:val="0"/>
      <w:marTop w:val="0"/>
      <w:marBottom w:val="0"/>
      <w:divBdr>
        <w:top w:val="none" w:sz="0" w:space="0" w:color="auto"/>
        <w:left w:val="none" w:sz="0" w:space="0" w:color="auto"/>
        <w:bottom w:val="none" w:sz="0" w:space="0" w:color="auto"/>
        <w:right w:val="none" w:sz="0" w:space="0" w:color="auto"/>
      </w:divBdr>
    </w:div>
    <w:div w:id="1256547887">
      <w:bodyDiv w:val="1"/>
      <w:marLeft w:val="0"/>
      <w:marRight w:val="0"/>
      <w:marTop w:val="0"/>
      <w:marBottom w:val="0"/>
      <w:divBdr>
        <w:top w:val="none" w:sz="0" w:space="0" w:color="auto"/>
        <w:left w:val="none" w:sz="0" w:space="0" w:color="auto"/>
        <w:bottom w:val="none" w:sz="0" w:space="0" w:color="auto"/>
        <w:right w:val="none" w:sz="0" w:space="0" w:color="auto"/>
      </w:divBdr>
    </w:div>
    <w:div w:id="1256554114">
      <w:bodyDiv w:val="1"/>
      <w:marLeft w:val="0"/>
      <w:marRight w:val="0"/>
      <w:marTop w:val="0"/>
      <w:marBottom w:val="0"/>
      <w:divBdr>
        <w:top w:val="none" w:sz="0" w:space="0" w:color="auto"/>
        <w:left w:val="none" w:sz="0" w:space="0" w:color="auto"/>
        <w:bottom w:val="none" w:sz="0" w:space="0" w:color="auto"/>
        <w:right w:val="none" w:sz="0" w:space="0" w:color="auto"/>
      </w:divBdr>
    </w:div>
    <w:div w:id="1257129672">
      <w:bodyDiv w:val="1"/>
      <w:marLeft w:val="0"/>
      <w:marRight w:val="0"/>
      <w:marTop w:val="0"/>
      <w:marBottom w:val="0"/>
      <w:divBdr>
        <w:top w:val="none" w:sz="0" w:space="0" w:color="auto"/>
        <w:left w:val="none" w:sz="0" w:space="0" w:color="auto"/>
        <w:bottom w:val="none" w:sz="0" w:space="0" w:color="auto"/>
        <w:right w:val="none" w:sz="0" w:space="0" w:color="auto"/>
      </w:divBdr>
    </w:div>
    <w:div w:id="1257134576">
      <w:bodyDiv w:val="1"/>
      <w:marLeft w:val="0"/>
      <w:marRight w:val="0"/>
      <w:marTop w:val="0"/>
      <w:marBottom w:val="0"/>
      <w:divBdr>
        <w:top w:val="none" w:sz="0" w:space="0" w:color="auto"/>
        <w:left w:val="none" w:sz="0" w:space="0" w:color="auto"/>
        <w:bottom w:val="none" w:sz="0" w:space="0" w:color="auto"/>
        <w:right w:val="none" w:sz="0" w:space="0" w:color="auto"/>
      </w:divBdr>
    </w:div>
    <w:div w:id="1257716653">
      <w:bodyDiv w:val="1"/>
      <w:marLeft w:val="0"/>
      <w:marRight w:val="0"/>
      <w:marTop w:val="0"/>
      <w:marBottom w:val="0"/>
      <w:divBdr>
        <w:top w:val="none" w:sz="0" w:space="0" w:color="auto"/>
        <w:left w:val="none" w:sz="0" w:space="0" w:color="auto"/>
        <w:bottom w:val="none" w:sz="0" w:space="0" w:color="auto"/>
        <w:right w:val="none" w:sz="0" w:space="0" w:color="auto"/>
      </w:divBdr>
    </w:div>
    <w:div w:id="1257864301">
      <w:bodyDiv w:val="1"/>
      <w:marLeft w:val="0"/>
      <w:marRight w:val="0"/>
      <w:marTop w:val="0"/>
      <w:marBottom w:val="0"/>
      <w:divBdr>
        <w:top w:val="none" w:sz="0" w:space="0" w:color="auto"/>
        <w:left w:val="none" w:sz="0" w:space="0" w:color="auto"/>
        <w:bottom w:val="none" w:sz="0" w:space="0" w:color="auto"/>
        <w:right w:val="none" w:sz="0" w:space="0" w:color="auto"/>
      </w:divBdr>
    </w:div>
    <w:div w:id="1258513490">
      <w:bodyDiv w:val="1"/>
      <w:marLeft w:val="0"/>
      <w:marRight w:val="0"/>
      <w:marTop w:val="0"/>
      <w:marBottom w:val="0"/>
      <w:divBdr>
        <w:top w:val="none" w:sz="0" w:space="0" w:color="auto"/>
        <w:left w:val="none" w:sz="0" w:space="0" w:color="auto"/>
        <w:bottom w:val="none" w:sz="0" w:space="0" w:color="auto"/>
        <w:right w:val="none" w:sz="0" w:space="0" w:color="auto"/>
      </w:divBdr>
    </w:div>
    <w:div w:id="1262369594">
      <w:bodyDiv w:val="1"/>
      <w:marLeft w:val="0"/>
      <w:marRight w:val="0"/>
      <w:marTop w:val="0"/>
      <w:marBottom w:val="0"/>
      <w:divBdr>
        <w:top w:val="none" w:sz="0" w:space="0" w:color="auto"/>
        <w:left w:val="none" w:sz="0" w:space="0" w:color="auto"/>
        <w:bottom w:val="none" w:sz="0" w:space="0" w:color="auto"/>
        <w:right w:val="none" w:sz="0" w:space="0" w:color="auto"/>
      </w:divBdr>
    </w:div>
    <w:div w:id="1262451186">
      <w:bodyDiv w:val="1"/>
      <w:marLeft w:val="0"/>
      <w:marRight w:val="0"/>
      <w:marTop w:val="0"/>
      <w:marBottom w:val="0"/>
      <w:divBdr>
        <w:top w:val="none" w:sz="0" w:space="0" w:color="auto"/>
        <w:left w:val="none" w:sz="0" w:space="0" w:color="auto"/>
        <w:bottom w:val="none" w:sz="0" w:space="0" w:color="auto"/>
        <w:right w:val="none" w:sz="0" w:space="0" w:color="auto"/>
      </w:divBdr>
    </w:div>
    <w:div w:id="1262907520">
      <w:bodyDiv w:val="1"/>
      <w:marLeft w:val="0"/>
      <w:marRight w:val="0"/>
      <w:marTop w:val="0"/>
      <w:marBottom w:val="0"/>
      <w:divBdr>
        <w:top w:val="none" w:sz="0" w:space="0" w:color="auto"/>
        <w:left w:val="none" w:sz="0" w:space="0" w:color="auto"/>
        <w:bottom w:val="none" w:sz="0" w:space="0" w:color="auto"/>
        <w:right w:val="none" w:sz="0" w:space="0" w:color="auto"/>
      </w:divBdr>
    </w:div>
    <w:div w:id="1264996691">
      <w:bodyDiv w:val="1"/>
      <w:marLeft w:val="0"/>
      <w:marRight w:val="0"/>
      <w:marTop w:val="0"/>
      <w:marBottom w:val="0"/>
      <w:divBdr>
        <w:top w:val="none" w:sz="0" w:space="0" w:color="auto"/>
        <w:left w:val="none" w:sz="0" w:space="0" w:color="auto"/>
        <w:bottom w:val="none" w:sz="0" w:space="0" w:color="auto"/>
        <w:right w:val="none" w:sz="0" w:space="0" w:color="auto"/>
      </w:divBdr>
    </w:div>
    <w:div w:id="1265117275">
      <w:bodyDiv w:val="1"/>
      <w:marLeft w:val="0"/>
      <w:marRight w:val="0"/>
      <w:marTop w:val="0"/>
      <w:marBottom w:val="0"/>
      <w:divBdr>
        <w:top w:val="none" w:sz="0" w:space="0" w:color="auto"/>
        <w:left w:val="none" w:sz="0" w:space="0" w:color="auto"/>
        <w:bottom w:val="none" w:sz="0" w:space="0" w:color="auto"/>
        <w:right w:val="none" w:sz="0" w:space="0" w:color="auto"/>
      </w:divBdr>
    </w:div>
    <w:div w:id="1265575508">
      <w:bodyDiv w:val="1"/>
      <w:marLeft w:val="0"/>
      <w:marRight w:val="0"/>
      <w:marTop w:val="0"/>
      <w:marBottom w:val="0"/>
      <w:divBdr>
        <w:top w:val="none" w:sz="0" w:space="0" w:color="auto"/>
        <w:left w:val="none" w:sz="0" w:space="0" w:color="auto"/>
        <w:bottom w:val="none" w:sz="0" w:space="0" w:color="auto"/>
        <w:right w:val="none" w:sz="0" w:space="0" w:color="auto"/>
      </w:divBdr>
    </w:div>
    <w:div w:id="1267225282">
      <w:bodyDiv w:val="1"/>
      <w:marLeft w:val="0"/>
      <w:marRight w:val="0"/>
      <w:marTop w:val="0"/>
      <w:marBottom w:val="0"/>
      <w:divBdr>
        <w:top w:val="none" w:sz="0" w:space="0" w:color="auto"/>
        <w:left w:val="none" w:sz="0" w:space="0" w:color="auto"/>
        <w:bottom w:val="none" w:sz="0" w:space="0" w:color="auto"/>
        <w:right w:val="none" w:sz="0" w:space="0" w:color="auto"/>
      </w:divBdr>
    </w:div>
    <w:div w:id="1267350576">
      <w:bodyDiv w:val="1"/>
      <w:marLeft w:val="0"/>
      <w:marRight w:val="0"/>
      <w:marTop w:val="0"/>
      <w:marBottom w:val="0"/>
      <w:divBdr>
        <w:top w:val="none" w:sz="0" w:space="0" w:color="auto"/>
        <w:left w:val="none" w:sz="0" w:space="0" w:color="auto"/>
        <w:bottom w:val="none" w:sz="0" w:space="0" w:color="auto"/>
        <w:right w:val="none" w:sz="0" w:space="0" w:color="auto"/>
      </w:divBdr>
    </w:div>
    <w:div w:id="1268002417">
      <w:bodyDiv w:val="1"/>
      <w:marLeft w:val="0"/>
      <w:marRight w:val="0"/>
      <w:marTop w:val="0"/>
      <w:marBottom w:val="0"/>
      <w:divBdr>
        <w:top w:val="none" w:sz="0" w:space="0" w:color="auto"/>
        <w:left w:val="none" w:sz="0" w:space="0" w:color="auto"/>
        <w:bottom w:val="none" w:sz="0" w:space="0" w:color="auto"/>
        <w:right w:val="none" w:sz="0" w:space="0" w:color="auto"/>
      </w:divBdr>
    </w:div>
    <w:div w:id="1268270727">
      <w:bodyDiv w:val="1"/>
      <w:marLeft w:val="0"/>
      <w:marRight w:val="0"/>
      <w:marTop w:val="0"/>
      <w:marBottom w:val="0"/>
      <w:divBdr>
        <w:top w:val="none" w:sz="0" w:space="0" w:color="auto"/>
        <w:left w:val="none" w:sz="0" w:space="0" w:color="auto"/>
        <w:bottom w:val="none" w:sz="0" w:space="0" w:color="auto"/>
        <w:right w:val="none" w:sz="0" w:space="0" w:color="auto"/>
      </w:divBdr>
    </w:div>
    <w:div w:id="1270159871">
      <w:bodyDiv w:val="1"/>
      <w:marLeft w:val="0"/>
      <w:marRight w:val="0"/>
      <w:marTop w:val="0"/>
      <w:marBottom w:val="0"/>
      <w:divBdr>
        <w:top w:val="none" w:sz="0" w:space="0" w:color="auto"/>
        <w:left w:val="none" w:sz="0" w:space="0" w:color="auto"/>
        <w:bottom w:val="none" w:sz="0" w:space="0" w:color="auto"/>
        <w:right w:val="none" w:sz="0" w:space="0" w:color="auto"/>
      </w:divBdr>
    </w:div>
    <w:div w:id="1270236319">
      <w:bodyDiv w:val="1"/>
      <w:marLeft w:val="0"/>
      <w:marRight w:val="0"/>
      <w:marTop w:val="0"/>
      <w:marBottom w:val="0"/>
      <w:divBdr>
        <w:top w:val="none" w:sz="0" w:space="0" w:color="auto"/>
        <w:left w:val="none" w:sz="0" w:space="0" w:color="auto"/>
        <w:bottom w:val="none" w:sz="0" w:space="0" w:color="auto"/>
        <w:right w:val="none" w:sz="0" w:space="0" w:color="auto"/>
      </w:divBdr>
    </w:div>
    <w:div w:id="1270357876">
      <w:bodyDiv w:val="1"/>
      <w:marLeft w:val="0"/>
      <w:marRight w:val="0"/>
      <w:marTop w:val="0"/>
      <w:marBottom w:val="0"/>
      <w:divBdr>
        <w:top w:val="none" w:sz="0" w:space="0" w:color="auto"/>
        <w:left w:val="none" w:sz="0" w:space="0" w:color="auto"/>
        <w:bottom w:val="none" w:sz="0" w:space="0" w:color="auto"/>
        <w:right w:val="none" w:sz="0" w:space="0" w:color="auto"/>
      </w:divBdr>
    </w:div>
    <w:div w:id="1270360460">
      <w:bodyDiv w:val="1"/>
      <w:marLeft w:val="0"/>
      <w:marRight w:val="0"/>
      <w:marTop w:val="0"/>
      <w:marBottom w:val="0"/>
      <w:divBdr>
        <w:top w:val="none" w:sz="0" w:space="0" w:color="auto"/>
        <w:left w:val="none" w:sz="0" w:space="0" w:color="auto"/>
        <w:bottom w:val="none" w:sz="0" w:space="0" w:color="auto"/>
        <w:right w:val="none" w:sz="0" w:space="0" w:color="auto"/>
      </w:divBdr>
    </w:div>
    <w:div w:id="1270510084">
      <w:bodyDiv w:val="1"/>
      <w:marLeft w:val="0"/>
      <w:marRight w:val="0"/>
      <w:marTop w:val="0"/>
      <w:marBottom w:val="0"/>
      <w:divBdr>
        <w:top w:val="none" w:sz="0" w:space="0" w:color="auto"/>
        <w:left w:val="none" w:sz="0" w:space="0" w:color="auto"/>
        <w:bottom w:val="none" w:sz="0" w:space="0" w:color="auto"/>
        <w:right w:val="none" w:sz="0" w:space="0" w:color="auto"/>
      </w:divBdr>
    </w:div>
    <w:div w:id="1271164666">
      <w:bodyDiv w:val="1"/>
      <w:marLeft w:val="0"/>
      <w:marRight w:val="0"/>
      <w:marTop w:val="0"/>
      <w:marBottom w:val="0"/>
      <w:divBdr>
        <w:top w:val="none" w:sz="0" w:space="0" w:color="auto"/>
        <w:left w:val="none" w:sz="0" w:space="0" w:color="auto"/>
        <w:bottom w:val="none" w:sz="0" w:space="0" w:color="auto"/>
        <w:right w:val="none" w:sz="0" w:space="0" w:color="auto"/>
      </w:divBdr>
    </w:div>
    <w:div w:id="1272009925">
      <w:bodyDiv w:val="1"/>
      <w:marLeft w:val="0"/>
      <w:marRight w:val="0"/>
      <w:marTop w:val="0"/>
      <w:marBottom w:val="0"/>
      <w:divBdr>
        <w:top w:val="none" w:sz="0" w:space="0" w:color="auto"/>
        <w:left w:val="none" w:sz="0" w:space="0" w:color="auto"/>
        <w:bottom w:val="none" w:sz="0" w:space="0" w:color="auto"/>
        <w:right w:val="none" w:sz="0" w:space="0" w:color="auto"/>
      </w:divBdr>
    </w:div>
    <w:div w:id="1272929821">
      <w:bodyDiv w:val="1"/>
      <w:marLeft w:val="0"/>
      <w:marRight w:val="0"/>
      <w:marTop w:val="0"/>
      <w:marBottom w:val="0"/>
      <w:divBdr>
        <w:top w:val="none" w:sz="0" w:space="0" w:color="auto"/>
        <w:left w:val="none" w:sz="0" w:space="0" w:color="auto"/>
        <w:bottom w:val="none" w:sz="0" w:space="0" w:color="auto"/>
        <w:right w:val="none" w:sz="0" w:space="0" w:color="auto"/>
      </w:divBdr>
    </w:div>
    <w:div w:id="1273509283">
      <w:bodyDiv w:val="1"/>
      <w:marLeft w:val="0"/>
      <w:marRight w:val="0"/>
      <w:marTop w:val="0"/>
      <w:marBottom w:val="0"/>
      <w:divBdr>
        <w:top w:val="none" w:sz="0" w:space="0" w:color="auto"/>
        <w:left w:val="none" w:sz="0" w:space="0" w:color="auto"/>
        <w:bottom w:val="none" w:sz="0" w:space="0" w:color="auto"/>
        <w:right w:val="none" w:sz="0" w:space="0" w:color="auto"/>
      </w:divBdr>
    </w:div>
    <w:div w:id="1275022208">
      <w:bodyDiv w:val="1"/>
      <w:marLeft w:val="0"/>
      <w:marRight w:val="0"/>
      <w:marTop w:val="0"/>
      <w:marBottom w:val="0"/>
      <w:divBdr>
        <w:top w:val="none" w:sz="0" w:space="0" w:color="auto"/>
        <w:left w:val="none" w:sz="0" w:space="0" w:color="auto"/>
        <w:bottom w:val="none" w:sz="0" w:space="0" w:color="auto"/>
        <w:right w:val="none" w:sz="0" w:space="0" w:color="auto"/>
      </w:divBdr>
    </w:div>
    <w:div w:id="1275867495">
      <w:bodyDiv w:val="1"/>
      <w:marLeft w:val="0"/>
      <w:marRight w:val="0"/>
      <w:marTop w:val="0"/>
      <w:marBottom w:val="0"/>
      <w:divBdr>
        <w:top w:val="none" w:sz="0" w:space="0" w:color="auto"/>
        <w:left w:val="none" w:sz="0" w:space="0" w:color="auto"/>
        <w:bottom w:val="none" w:sz="0" w:space="0" w:color="auto"/>
        <w:right w:val="none" w:sz="0" w:space="0" w:color="auto"/>
      </w:divBdr>
    </w:div>
    <w:div w:id="1276253418">
      <w:bodyDiv w:val="1"/>
      <w:marLeft w:val="0"/>
      <w:marRight w:val="0"/>
      <w:marTop w:val="0"/>
      <w:marBottom w:val="0"/>
      <w:divBdr>
        <w:top w:val="none" w:sz="0" w:space="0" w:color="auto"/>
        <w:left w:val="none" w:sz="0" w:space="0" w:color="auto"/>
        <w:bottom w:val="none" w:sz="0" w:space="0" w:color="auto"/>
        <w:right w:val="none" w:sz="0" w:space="0" w:color="auto"/>
      </w:divBdr>
    </w:div>
    <w:div w:id="1276323846">
      <w:bodyDiv w:val="1"/>
      <w:marLeft w:val="0"/>
      <w:marRight w:val="0"/>
      <w:marTop w:val="0"/>
      <w:marBottom w:val="0"/>
      <w:divBdr>
        <w:top w:val="none" w:sz="0" w:space="0" w:color="auto"/>
        <w:left w:val="none" w:sz="0" w:space="0" w:color="auto"/>
        <w:bottom w:val="none" w:sz="0" w:space="0" w:color="auto"/>
        <w:right w:val="none" w:sz="0" w:space="0" w:color="auto"/>
      </w:divBdr>
    </w:div>
    <w:div w:id="1276598927">
      <w:bodyDiv w:val="1"/>
      <w:marLeft w:val="0"/>
      <w:marRight w:val="0"/>
      <w:marTop w:val="0"/>
      <w:marBottom w:val="0"/>
      <w:divBdr>
        <w:top w:val="none" w:sz="0" w:space="0" w:color="auto"/>
        <w:left w:val="none" w:sz="0" w:space="0" w:color="auto"/>
        <w:bottom w:val="none" w:sz="0" w:space="0" w:color="auto"/>
        <w:right w:val="none" w:sz="0" w:space="0" w:color="auto"/>
      </w:divBdr>
    </w:div>
    <w:div w:id="1277903349">
      <w:bodyDiv w:val="1"/>
      <w:marLeft w:val="0"/>
      <w:marRight w:val="0"/>
      <w:marTop w:val="0"/>
      <w:marBottom w:val="0"/>
      <w:divBdr>
        <w:top w:val="none" w:sz="0" w:space="0" w:color="auto"/>
        <w:left w:val="none" w:sz="0" w:space="0" w:color="auto"/>
        <w:bottom w:val="none" w:sz="0" w:space="0" w:color="auto"/>
        <w:right w:val="none" w:sz="0" w:space="0" w:color="auto"/>
      </w:divBdr>
    </w:div>
    <w:div w:id="1277982794">
      <w:bodyDiv w:val="1"/>
      <w:marLeft w:val="0"/>
      <w:marRight w:val="0"/>
      <w:marTop w:val="0"/>
      <w:marBottom w:val="0"/>
      <w:divBdr>
        <w:top w:val="none" w:sz="0" w:space="0" w:color="auto"/>
        <w:left w:val="none" w:sz="0" w:space="0" w:color="auto"/>
        <w:bottom w:val="none" w:sz="0" w:space="0" w:color="auto"/>
        <w:right w:val="none" w:sz="0" w:space="0" w:color="auto"/>
      </w:divBdr>
    </w:div>
    <w:div w:id="1278024481">
      <w:bodyDiv w:val="1"/>
      <w:marLeft w:val="0"/>
      <w:marRight w:val="0"/>
      <w:marTop w:val="0"/>
      <w:marBottom w:val="0"/>
      <w:divBdr>
        <w:top w:val="none" w:sz="0" w:space="0" w:color="auto"/>
        <w:left w:val="none" w:sz="0" w:space="0" w:color="auto"/>
        <w:bottom w:val="none" w:sz="0" w:space="0" w:color="auto"/>
        <w:right w:val="none" w:sz="0" w:space="0" w:color="auto"/>
      </w:divBdr>
    </w:div>
    <w:div w:id="1278105814">
      <w:bodyDiv w:val="1"/>
      <w:marLeft w:val="0"/>
      <w:marRight w:val="0"/>
      <w:marTop w:val="0"/>
      <w:marBottom w:val="0"/>
      <w:divBdr>
        <w:top w:val="none" w:sz="0" w:space="0" w:color="auto"/>
        <w:left w:val="none" w:sz="0" w:space="0" w:color="auto"/>
        <w:bottom w:val="none" w:sz="0" w:space="0" w:color="auto"/>
        <w:right w:val="none" w:sz="0" w:space="0" w:color="auto"/>
      </w:divBdr>
    </w:div>
    <w:div w:id="1278365744">
      <w:bodyDiv w:val="1"/>
      <w:marLeft w:val="0"/>
      <w:marRight w:val="0"/>
      <w:marTop w:val="0"/>
      <w:marBottom w:val="0"/>
      <w:divBdr>
        <w:top w:val="none" w:sz="0" w:space="0" w:color="auto"/>
        <w:left w:val="none" w:sz="0" w:space="0" w:color="auto"/>
        <w:bottom w:val="none" w:sz="0" w:space="0" w:color="auto"/>
        <w:right w:val="none" w:sz="0" w:space="0" w:color="auto"/>
      </w:divBdr>
    </w:div>
    <w:div w:id="1279264883">
      <w:bodyDiv w:val="1"/>
      <w:marLeft w:val="0"/>
      <w:marRight w:val="0"/>
      <w:marTop w:val="0"/>
      <w:marBottom w:val="0"/>
      <w:divBdr>
        <w:top w:val="none" w:sz="0" w:space="0" w:color="auto"/>
        <w:left w:val="none" w:sz="0" w:space="0" w:color="auto"/>
        <w:bottom w:val="none" w:sz="0" w:space="0" w:color="auto"/>
        <w:right w:val="none" w:sz="0" w:space="0" w:color="auto"/>
      </w:divBdr>
    </w:div>
    <w:div w:id="1279294471">
      <w:bodyDiv w:val="1"/>
      <w:marLeft w:val="0"/>
      <w:marRight w:val="0"/>
      <w:marTop w:val="0"/>
      <w:marBottom w:val="0"/>
      <w:divBdr>
        <w:top w:val="none" w:sz="0" w:space="0" w:color="auto"/>
        <w:left w:val="none" w:sz="0" w:space="0" w:color="auto"/>
        <w:bottom w:val="none" w:sz="0" w:space="0" w:color="auto"/>
        <w:right w:val="none" w:sz="0" w:space="0" w:color="auto"/>
      </w:divBdr>
    </w:div>
    <w:div w:id="1279802593">
      <w:bodyDiv w:val="1"/>
      <w:marLeft w:val="0"/>
      <w:marRight w:val="0"/>
      <w:marTop w:val="0"/>
      <w:marBottom w:val="0"/>
      <w:divBdr>
        <w:top w:val="none" w:sz="0" w:space="0" w:color="auto"/>
        <w:left w:val="none" w:sz="0" w:space="0" w:color="auto"/>
        <w:bottom w:val="none" w:sz="0" w:space="0" w:color="auto"/>
        <w:right w:val="none" w:sz="0" w:space="0" w:color="auto"/>
      </w:divBdr>
    </w:div>
    <w:div w:id="1280260253">
      <w:bodyDiv w:val="1"/>
      <w:marLeft w:val="0"/>
      <w:marRight w:val="0"/>
      <w:marTop w:val="0"/>
      <w:marBottom w:val="0"/>
      <w:divBdr>
        <w:top w:val="none" w:sz="0" w:space="0" w:color="auto"/>
        <w:left w:val="none" w:sz="0" w:space="0" w:color="auto"/>
        <w:bottom w:val="none" w:sz="0" w:space="0" w:color="auto"/>
        <w:right w:val="none" w:sz="0" w:space="0" w:color="auto"/>
      </w:divBdr>
    </w:div>
    <w:div w:id="1281768467">
      <w:bodyDiv w:val="1"/>
      <w:marLeft w:val="0"/>
      <w:marRight w:val="0"/>
      <w:marTop w:val="0"/>
      <w:marBottom w:val="0"/>
      <w:divBdr>
        <w:top w:val="none" w:sz="0" w:space="0" w:color="auto"/>
        <w:left w:val="none" w:sz="0" w:space="0" w:color="auto"/>
        <w:bottom w:val="none" w:sz="0" w:space="0" w:color="auto"/>
        <w:right w:val="none" w:sz="0" w:space="0" w:color="auto"/>
      </w:divBdr>
    </w:div>
    <w:div w:id="1281912340">
      <w:bodyDiv w:val="1"/>
      <w:marLeft w:val="0"/>
      <w:marRight w:val="0"/>
      <w:marTop w:val="0"/>
      <w:marBottom w:val="0"/>
      <w:divBdr>
        <w:top w:val="none" w:sz="0" w:space="0" w:color="auto"/>
        <w:left w:val="none" w:sz="0" w:space="0" w:color="auto"/>
        <w:bottom w:val="none" w:sz="0" w:space="0" w:color="auto"/>
        <w:right w:val="none" w:sz="0" w:space="0" w:color="auto"/>
      </w:divBdr>
    </w:div>
    <w:div w:id="1282149101">
      <w:bodyDiv w:val="1"/>
      <w:marLeft w:val="0"/>
      <w:marRight w:val="0"/>
      <w:marTop w:val="0"/>
      <w:marBottom w:val="0"/>
      <w:divBdr>
        <w:top w:val="none" w:sz="0" w:space="0" w:color="auto"/>
        <w:left w:val="none" w:sz="0" w:space="0" w:color="auto"/>
        <w:bottom w:val="none" w:sz="0" w:space="0" w:color="auto"/>
        <w:right w:val="none" w:sz="0" w:space="0" w:color="auto"/>
      </w:divBdr>
    </w:div>
    <w:div w:id="1283416657">
      <w:bodyDiv w:val="1"/>
      <w:marLeft w:val="0"/>
      <w:marRight w:val="0"/>
      <w:marTop w:val="0"/>
      <w:marBottom w:val="0"/>
      <w:divBdr>
        <w:top w:val="none" w:sz="0" w:space="0" w:color="auto"/>
        <w:left w:val="none" w:sz="0" w:space="0" w:color="auto"/>
        <w:bottom w:val="none" w:sz="0" w:space="0" w:color="auto"/>
        <w:right w:val="none" w:sz="0" w:space="0" w:color="auto"/>
      </w:divBdr>
    </w:div>
    <w:div w:id="1284339691">
      <w:bodyDiv w:val="1"/>
      <w:marLeft w:val="0"/>
      <w:marRight w:val="0"/>
      <w:marTop w:val="0"/>
      <w:marBottom w:val="0"/>
      <w:divBdr>
        <w:top w:val="none" w:sz="0" w:space="0" w:color="auto"/>
        <w:left w:val="none" w:sz="0" w:space="0" w:color="auto"/>
        <w:bottom w:val="none" w:sz="0" w:space="0" w:color="auto"/>
        <w:right w:val="none" w:sz="0" w:space="0" w:color="auto"/>
      </w:divBdr>
    </w:div>
    <w:div w:id="1285119831">
      <w:bodyDiv w:val="1"/>
      <w:marLeft w:val="0"/>
      <w:marRight w:val="0"/>
      <w:marTop w:val="0"/>
      <w:marBottom w:val="0"/>
      <w:divBdr>
        <w:top w:val="none" w:sz="0" w:space="0" w:color="auto"/>
        <w:left w:val="none" w:sz="0" w:space="0" w:color="auto"/>
        <w:bottom w:val="none" w:sz="0" w:space="0" w:color="auto"/>
        <w:right w:val="none" w:sz="0" w:space="0" w:color="auto"/>
      </w:divBdr>
    </w:div>
    <w:div w:id="1285189657">
      <w:bodyDiv w:val="1"/>
      <w:marLeft w:val="0"/>
      <w:marRight w:val="0"/>
      <w:marTop w:val="0"/>
      <w:marBottom w:val="0"/>
      <w:divBdr>
        <w:top w:val="none" w:sz="0" w:space="0" w:color="auto"/>
        <w:left w:val="none" w:sz="0" w:space="0" w:color="auto"/>
        <w:bottom w:val="none" w:sz="0" w:space="0" w:color="auto"/>
        <w:right w:val="none" w:sz="0" w:space="0" w:color="auto"/>
      </w:divBdr>
    </w:div>
    <w:div w:id="1286036991">
      <w:bodyDiv w:val="1"/>
      <w:marLeft w:val="0"/>
      <w:marRight w:val="0"/>
      <w:marTop w:val="0"/>
      <w:marBottom w:val="0"/>
      <w:divBdr>
        <w:top w:val="none" w:sz="0" w:space="0" w:color="auto"/>
        <w:left w:val="none" w:sz="0" w:space="0" w:color="auto"/>
        <w:bottom w:val="none" w:sz="0" w:space="0" w:color="auto"/>
        <w:right w:val="none" w:sz="0" w:space="0" w:color="auto"/>
      </w:divBdr>
    </w:div>
    <w:div w:id="1286960723">
      <w:bodyDiv w:val="1"/>
      <w:marLeft w:val="0"/>
      <w:marRight w:val="0"/>
      <w:marTop w:val="0"/>
      <w:marBottom w:val="0"/>
      <w:divBdr>
        <w:top w:val="none" w:sz="0" w:space="0" w:color="auto"/>
        <w:left w:val="none" w:sz="0" w:space="0" w:color="auto"/>
        <w:bottom w:val="none" w:sz="0" w:space="0" w:color="auto"/>
        <w:right w:val="none" w:sz="0" w:space="0" w:color="auto"/>
      </w:divBdr>
    </w:div>
    <w:div w:id="1287078121">
      <w:bodyDiv w:val="1"/>
      <w:marLeft w:val="0"/>
      <w:marRight w:val="0"/>
      <w:marTop w:val="0"/>
      <w:marBottom w:val="0"/>
      <w:divBdr>
        <w:top w:val="none" w:sz="0" w:space="0" w:color="auto"/>
        <w:left w:val="none" w:sz="0" w:space="0" w:color="auto"/>
        <w:bottom w:val="none" w:sz="0" w:space="0" w:color="auto"/>
        <w:right w:val="none" w:sz="0" w:space="0" w:color="auto"/>
      </w:divBdr>
    </w:div>
    <w:div w:id="1287079242">
      <w:bodyDiv w:val="1"/>
      <w:marLeft w:val="0"/>
      <w:marRight w:val="0"/>
      <w:marTop w:val="0"/>
      <w:marBottom w:val="0"/>
      <w:divBdr>
        <w:top w:val="none" w:sz="0" w:space="0" w:color="auto"/>
        <w:left w:val="none" w:sz="0" w:space="0" w:color="auto"/>
        <w:bottom w:val="none" w:sz="0" w:space="0" w:color="auto"/>
        <w:right w:val="none" w:sz="0" w:space="0" w:color="auto"/>
      </w:divBdr>
    </w:div>
    <w:div w:id="1288317305">
      <w:bodyDiv w:val="1"/>
      <w:marLeft w:val="0"/>
      <w:marRight w:val="0"/>
      <w:marTop w:val="0"/>
      <w:marBottom w:val="0"/>
      <w:divBdr>
        <w:top w:val="none" w:sz="0" w:space="0" w:color="auto"/>
        <w:left w:val="none" w:sz="0" w:space="0" w:color="auto"/>
        <w:bottom w:val="none" w:sz="0" w:space="0" w:color="auto"/>
        <w:right w:val="none" w:sz="0" w:space="0" w:color="auto"/>
      </w:divBdr>
    </w:div>
    <w:div w:id="1288856602">
      <w:bodyDiv w:val="1"/>
      <w:marLeft w:val="0"/>
      <w:marRight w:val="0"/>
      <w:marTop w:val="0"/>
      <w:marBottom w:val="0"/>
      <w:divBdr>
        <w:top w:val="none" w:sz="0" w:space="0" w:color="auto"/>
        <w:left w:val="none" w:sz="0" w:space="0" w:color="auto"/>
        <w:bottom w:val="none" w:sz="0" w:space="0" w:color="auto"/>
        <w:right w:val="none" w:sz="0" w:space="0" w:color="auto"/>
      </w:divBdr>
    </w:div>
    <w:div w:id="1290086667">
      <w:bodyDiv w:val="1"/>
      <w:marLeft w:val="0"/>
      <w:marRight w:val="0"/>
      <w:marTop w:val="0"/>
      <w:marBottom w:val="0"/>
      <w:divBdr>
        <w:top w:val="none" w:sz="0" w:space="0" w:color="auto"/>
        <w:left w:val="none" w:sz="0" w:space="0" w:color="auto"/>
        <w:bottom w:val="none" w:sz="0" w:space="0" w:color="auto"/>
        <w:right w:val="none" w:sz="0" w:space="0" w:color="auto"/>
      </w:divBdr>
    </w:div>
    <w:div w:id="1290892655">
      <w:bodyDiv w:val="1"/>
      <w:marLeft w:val="0"/>
      <w:marRight w:val="0"/>
      <w:marTop w:val="0"/>
      <w:marBottom w:val="0"/>
      <w:divBdr>
        <w:top w:val="none" w:sz="0" w:space="0" w:color="auto"/>
        <w:left w:val="none" w:sz="0" w:space="0" w:color="auto"/>
        <w:bottom w:val="none" w:sz="0" w:space="0" w:color="auto"/>
        <w:right w:val="none" w:sz="0" w:space="0" w:color="auto"/>
      </w:divBdr>
    </w:div>
    <w:div w:id="1291353615">
      <w:bodyDiv w:val="1"/>
      <w:marLeft w:val="0"/>
      <w:marRight w:val="0"/>
      <w:marTop w:val="0"/>
      <w:marBottom w:val="0"/>
      <w:divBdr>
        <w:top w:val="none" w:sz="0" w:space="0" w:color="auto"/>
        <w:left w:val="none" w:sz="0" w:space="0" w:color="auto"/>
        <w:bottom w:val="none" w:sz="0" w:space="0" w:color="auto"/>
        <w:right w:val="none" w:sz="0" w:space="0" w:color="auto"/>
      </w:divBdr>
    </w:div>
    <w:div w:id="1292859361">
      <w:bodyDiv w:val="1"/>
      <w:marLeft w:val="0"/>
      <w:marRight w:val="0"/>
      <w:marTop w:val="0"/>
      <w:marBottom w:val="0"/>
      <w:divBdr>
        <w:top w:val="none" w:sz="0" w:space="0" w:color="auto"/>
        <w:left w:val="none" w:sz="0" w:space="0" w:color="auto"/>
        <w:bottom w:val="none" w:sz="0" w:space="0" w:color="auto"/>
        <w:right w:val="none" w:sz="0" w:space="0" w:color="auto"/>
      </w:divBdr>
    </w:div>
    <w:div w:id="1293248449">
      <w:bodyDiv w:val="1"/>
      <w:marLeft w:val="0"/>
      <w:marRight w:val="0"/>
      <w:marTop w:val="0"/>
      <w:marBottom w:val="0"/>
      <w:divBdr>
        <w:top w:val="none" w:sz="0" w:space="0" w:color="auto"/>
        <w:left w:val="none" w:sz="0" w:space="0" w:color="auto"/>
        <w:bottom w:val="none" w:sz="0" w:space="0" w:color="auto"/>
        <w:right w:val="none" w:sz="0" w:space="0" w:color="auto"/>
      </w:divBdr>
    </w:div>
    <w:div w:id="1293290172">
      <w:bodyDiv w:val="1"/>
      <w:marLeft w:val="0"/>
      <w:marRight w:val="0"/>
      <w:marTop w:val="0"/>
      <w:marBottom w:val="0"/>
      <w:divBdr>
        <w:top w:val="none" w:sz="0" w:space="0" w:color="auto"/>
        <w:left w:val="none" w:sz="0" w:space="0" w:color="auto"/>
        <w:bottom w:val="none" w:sz="0" w:space="0" w:color="auto"/>
        <w:right w:val="none" w:sz="0" w:space="0" w:color="auto"/>
      </w:divBdr>
    </w:div>
    <w:div w:id="1293557114">
      <w:bodyDiv w:val="1"/>
      <w:marLeft w:val="0"/>
      <w:marRight w:val="0"/>
      <w:marTop w:val="0"/>
      <w:marBottom w:val="0"/>
      <w:divBdr>
        <w:top w:val="none" w:sz="0" w:space="0" w:color="auto"/>
        <w:left w:val="none" w:sz="0" w:space="0" w:color="auto"/>
        <w:bottom w:val="none" w:sz="0" w:space="0" w:color="auto"/>
        <w:right w:val="none" w:sz="0" w:space="0" w:color="auto"/>
      </w:divBdr>
    </w:div>
    <w:div w:id="1297292294">
      <w:bodyDiv w:val="1"/>
      <w:marLeft w:val="0"/>
      <w:marRight w:val="0"/>
      <w:marTop w:val="0"/>
      <w:marBottom w:val="0"/>
      <w:divBdr>
        <w:top w:val="none" w:sz="0" w:space="0" w:color="auto"/>
        <w:left w:val="none" w:sz="0" w:space="0" w:color="auto"/>
        <w:bottom w:val="none" w:sz="0" w:space="0" w:color="auto"/>
        <w:right w:val="none" w:sz="0" w:space="0" w:color="auto"/>
      </w:divBdr>
    </w:div>
    <w:div w:id="1297488118">
      <w:bodyDiv w:val="1"/>
      <w:marLeft w:val="0"/>
      <w:marRight w:val="0"/>
      <w:marTop w:val="0"/>
      <w:marBottom w:val="0"/>
      <w:divBdr>
        <w:top w:val="none" w:sz="0" w:space="0" w:color="auto"/>
        <w:left w:val="none" w:sz="0" w:space="0" w:color="auto"/>
        <w:bottom w:val="none" w:sz="0" w:space="0" w:color="auto"/>
        <w:right w:val="none" w:sz="0" w:space="0" w:color="auto"/>
      </w:divBdr>
    </w:div>
    <w:div w:id="1299535223">
      <w:bodyDiv w:val="1"/>
      <w:marLeft w:val="0"/>
      <w:marRight w:val="0"/>
      <w:marTop w:val="0"/>
      <w:marBottom w:val="0"/>
      <w:divBdr>
        <w:top w:val="none" w:sz="0" w:space="0" w:color="auto"/>
        <w:left w:val="none" w:sz="0" w:space="0" w:color="auto"/>
        <w:bottom w:val="none" w:sz="0" w:space="0" w:color="auto"/>
        <w:right w:val="none" w:sz="0" w:space="0" w:color="auto"/>
      </w:divBdr>
    </w:div>
    <w:div w:id="1299994305">
      <w:bodyDiv w:val="1"/>
      <w:marLeft w:val="0"/>
      <w:marRight w:val="0"/>
      <w:marTop w:val="0"/>
      <w:marBottom w:val="0"/>
      <w:divBdr>
        <w:top w:val="none" w:sz="0" w:space="0" w:color="auto"/>
        <w:left w:val="none" w:sz="0" w:space="0" w:color="auto"/>
        <w:bottom w:val="none" w:sz="0" w:space="0" w:color="auto"/>
        <w:right w:val="none" w:sz="0" w:space="0" w:color="auto"/>
      </w:divBdr>
    </w:div>
    <w:div w:id="1301569373">
      <w:bodyDiv w:val="1"/>
      <w:marLeft w:val="0"/>
      <w:marRight w:val="0"/>
      <w:marTop w:val="0"/>
      <w:marBottom w:val="0"/>
      <w:divBdr>
        <w:top w:val="none" w:sz="0" w:space="0" w:color="auto"/>
        <w:left w:val="none" w:sz="0" w:space="0" w:color="auto"/>
        <w:bottom w:val="none" w:sz="0" w:space="0" w:color="auto"/>
        <w:right w:val="none" w:sz="0" w:space="0" w:color="auto"/>
      </w:divBdr>
    </w:div>
    <w:div w:id="1301694639">
      <w:bodyDiv w:val="1"/>
      <w:marLeft w:val="0"/>
      <w:marRight w:val="0"/>
      <w:marTop w:val="0"/>
      <w:marBottom w:val="0"/>
      <w:divBdr>
        <w:top w:val="none" w:sz="0" w:space="0" w:color="auto"/>
        <w:left w:val="none" w:sz="0" w:space="0" w:color="auto"/>
        <w:bottom w:val="none" w:sz="0" w:space="0" w:color="auto"/>
        <w:right w:val="none" w:sz="0" w:space="0" w:color="auto"/>
      </w:divBdr>
    </w:div>
    <w:div w:id="1302154534">
      <w:bodyDiv w:val="1"/>
      <w:marLeft w:val="0"/>
      <w:marRight w:val="0"/>
      <w:marTop w:val="0"/>
      <w:marBottom w:val="0"/>
      <w:divBdr>
        <w:top w:val="none" w:sz="0" w:space="0" w:color="auto"/>
        <w:left w:val="none" w:sz="0" w:space="0" w:color="auto"/>
        <w:bottom w:val="none" w:sz="0" w:space="0" w:color="auto"/>
        <w:right w:val="none" w:sz="0" w:space="0" w:color="auto"/>
      </w:divBdr>
    </w:div>
    <w:div w:id="1302232776">
      <w:bodyDiv w:val="1"/>
      <w:marLeft w:val="0"/>
      <w:marRight w:val="0"/>
      <w:marTop w:val="0"/>
      <w:marBottom w:val="0"/>
      <w:divBdr>
        <w:top w:val="none" w:sz="0" w:space="0" w:color="auto"/>
        <w:left w:val="none" w:sz="0" w:space="0" w:color="auto"/>
        <w:bottom w:val="none" w:sz="0" w:space="0" w:color="auto"/>
        <w:right w:val="none" w:sz="0" w:space="0" w:color="auto"/>
      </w:divBdr>
    </w:div>
    <w:div w:id="1304503106">
      <w:bodyDiv w:val="1"/>
      <w:marLeft w:val="0"/>
      <w:marRight w:val="0"/>
      <w:marTop w:val="0"/>
      <w:marBottom w:val="0"/>
      <w:divBdr>
        <w:top w:val="none" w:sz="0" w:space="0" w:color="auto"/>
        <w:left w:val="none" w:sz="0" w:space="0" w:color="auto"/>
        <w:bottom w:val="none" w:sz="0" w:space="0" w:color="auto"/>
        <w:right w:val="none" w:sz="0" w:space="0" w:color="auto"/>
      </w:divBdr>
    </w:div>
    <w:div w:id="1305089452">
      <w:bodyDiv w:val="1"/>
      <w:marLeft w:val="0"/>
      <w:marRight w:val="0"/>
      <w:marTop w:val="0"/>
      <w:marBottom w:val="0"/>
      <w:divBdr>
        <w:top w:val="none" w:sz="0" w:space="0" w:color="auto"/>
        <w:left w:val="none" w:sz="0" w:space="0" w:color="auto"/>
        <w:bottom w:val="none" w:sz="0" w:space="0" w:color="auto"/>
        <w:right w:val="none" w:sz="0" w:space="0" w:color="auto"/>
      </w:divBdr>
    </w:div>
    <w:div w:id="1306855567">
      <w:bodyDiv w:val="1"/>
      <w:marLeft w:val="0"/>
      <w:marRight w:val="0"/>
      <w:marTop w:val="0"/>
      <w:marBottom w:val="0"/>
      <w:divBdr>
        <w:top w:val="none" w:sz="0" w:space="0" w:color="auto"/>
        <w:left w:val="none" w:sz="0" w:space="0" w:color="auto"/>
        <w:bottom w:val="none" w:sz="0" w:space="0" w:color="auto"/>
        <w:right w:val="none" w:sz="0" w:space="0" w:color="auto"/>
      </w:divBdr>
    </w:div>
    <w:div w:id="1307055428">
      <w:bodyDiv w:val="1"/>
      <w:marLeft w:val="0"/>
      <w:marRight w:val="0"/>
      <w:marTop w:val="0"/>
      <w:marBottom w:val="0"/>
      <w:divBdr>
        <w:top w:val="none" w:sz="0" w:space="0" w:color="auto"/>
        <w:left w:val="none" w:sz="0" w:space="0" w:color="auto"/>
        <w:bottom w:val="none" w:sz="0" w:space="0" w:color="auto"/>
        <w:right w:val="none" w:sz="0" w:space="0" w:color="auto"/>
      </w:divBdr>
    </w:div>
    <w:div w:id="1307199762">
      <w:bodyDiv w:val="1"/>
      <w:marLeft w:val="0"/>
      <w:marRight w:val="0"/>
      <w:marTop w:val="0"/>
      <w:marBottom w:val="0"/>
      <w:divBdr>
        <w:top w:val="none" w:sz="0" w:space="0" w:color="auto"/>
        <w:left w:val="none" w:sz="0" w:space="0" w:color="auto"/>
        <w:bottom w:val="none" w:sz="0" w:space="0" w:color="auto"/>
        <w:right w:val="none" w:sz="0" w:space="0" w:color="auto"/>
      </w:divBdr>
    </w:div>
    <w:div w:id="1308170904">
      <w:bodyDiv w:val="1"/>
      <w:marLeft w:val="0"/>
      <w:marRight w:val="0"/>
      <w:marTop w:val="0"/>
      <w:marBottom w:val="0"/>
      <w:divBdr>
        <w:top w:val="none" w:sz="0" w:space="0" w:color="auto"/>
        <w:left w:val="none" w:sz="0" w:space="0" w:color="auto"/>
        <w:bottom w:val="none" w:sz="0" w:space="0" w:color="auto"/>
        <w:right w:val="none" w:sz="0" w:space="0" w:color="auto"/>
      </w:divBdr>
    </w:div>
    <w:div w:id="1308970246">
      <w:bodyDiv w:val="1"/>
      <w:marLeft w:val="0"/>
      <w:marRight w:val="0"/>
      <w:marTop w:val="0"/>
      <w:marBottom w:val="0"/>
      <w:divBdr>
        <w:top w:val="none" w:sz="0" w:space="0" w:color="auto"/>
        <w:left w:val="none" w:sz="0" w:space="0" w:color="auto"/>
        <w:bottom w:val="none" w:sz="0" w:space="0" w:color="auto"/>
        <w:right w:val="none" w:sz="0" w:space="0" w:color="auto"/>
      </w:divBdr>
    </w:div>
    <w:div w:id="1310088156">
      <w:bodyDiv w:val="1"/>
      <w:marLeft w:val="0"/>
      <w:marRight w:val="0"/>
      <w:marTop w:val="0"/>
      <w:marBottom w:val="0"/>
      <w:divBdr>
        <w:top w:val="none" w:sz="0" w:space="0" w:color="auto"/>
        <w:left w:val="none" w:sz="0" w:space="0" w:color="auto"/>
        <w:bottom w:val="none" w:sz="0" w:space="0" w:color="auto"/>
        <w:right w:val="none" w:sz="0" w:space="0" w:color="auto"/>
      </w:divBdr>
    </w:div>
    <w:div w:id="1311590107">
      <w:bodyDiv w:val="1"/>
      <w:marLeft w:val="0"/>
      <w:marRight w:val="0"/>
      <w:marTop w:val="0"/>
      <w:marBottom w:val="0"/>
      <w:divBdr>
        <w:top w:val="none" w:sz="0" w:space="0" w:color="auto"/>
        <w:left w:val="none" w:sz="0" w:space="0" w:color="auto"/>
        <w:bottom w:val="none" w:sz="0" w:space="0" w:color="auto"/>
        <w:right w:val="none" w:sz="0" w:space="0" w:color="auto"/>
      </w:divBdr>
    </w:div>
    <w:div w:id="1312907883">
      <w:bodyDiv w:val="1"/>
      <w:marLeft w:val="0"/>
      <w:marRight w:val="0"/>
      <w:marTop w:val="0"/>
      <w:marBottom w:val="0"/>
      <w:divBdr>
        <w:top w:val="none" w:sz="0" w:space="0" w:color="auto"/>
        <w:left w:val="none" w:sz="0" w:space="0" w:color="auto"/>
        <w:bottom w:val="none" w:sz="0" w:space="0" w:color="auto"/>
        <w:right w:val="none" w:sz="0" w:space="0" w:color="auto"/>
      </w:divBdr>
    </w:div>
    <w:div w:id="1313174135">
      <w:bodyDiv w:val="1"/>
      <w:marLeft w:val="0"/>
      <w:marRight w:val="0"/>
      <w:marTop w:val="0"/>
      <w:marBottom w:val="0"/>
      <w:divBdr>
        <w:top w:val="none" w:sz="0" w:space="0" w:color="auto"/>
        <w:left w:val="none" w:sz="0" w:space="0" w:color="auto"/>
        <w:bottom w:val="none" w:sz="0" w:space="0" w:color="auto"/>
        <w:right w:val="none" w:sz="0" w:space="0" w:color="auto"/>
      </w:divBdr>
    </w:div>
    <w:div w:id="1313486622">
      <w:bodyDiv w:val="1"/>
      <w:marLeft w:val="0"/>
      <w:marRight w:val="0"/>
      <w:marTop w:val="0"/>
      <w:marBottom w:val="0"/>
      <w:divBdr>
        <w:top w:val="none" w:sz="0" w:space="0" w:color="auto"/>
        <w:left w:val="none" w:sz="0" w:space="0" w:color="auto"/>
        <w:bottom w:val="none" w:sz="0" w:space="0" w:color="auto"/>
        <w:right w:val="none" w:sz="0" w:space="0" w:color="auto"/>
      </w:divBdr>
    </w:div>
    <w:div w:id="1313755043">
      <w:bodyDiv w:val="1"/>
      <w:marLeft w:val="0"/>
      <w:marRight w:val="0"/>
      <w:marTop w:val="0"/>
      <w:marBottom w:val="0"/>
      <w:divBdr>
        <w:top w:val="none" w:sz="0" w:space="0" w:color="auto"/>
        <w:left w:val="none" w:sz="0" w:space="0" w:color="auto"/>
        <w:bottom w:val="none" w:sz="0" w:space="0" w:color="auto"/>
        <w:right w:val="none" w:sz="0" w:space="0" w:color="auto"/>
      </w:divBdr>
    </w:div>
    <w:div w:id="1313824972">
      <w:bodyDiv w:val="1"/>
      <w:marLeft w:val="0"/>
      <w:marRight w:val="0"/>
      <w:marTop w:val="0"/>
      <w:marBottom w:val="0"/>
      <w:divBdr>
        <w:top w:val="none" w:sz="0" w:space="0" w:color="auto"/>
        <w:left w:val="none" w:sz="0" w:space="0" w:color="auto"/>
        <w:bottom w:val="none" w:sz="0" w:space="0" w:color="auto"/>
        <w:right w:val="none" w:sz="0" w:space="0" w:color="auto"/>
      </w:divBdr>
    </w:div>
    <w:div w:id="1314674638">
      <w:bodyDiv w:val="1"/>
      <w:marLeft w:val="0"/>
      <w:marRight w:val="0"/>
      <w:marTop w:val="0"/>
      <w:marBottom w:val="0"/>
      <w:divBdr>
        <w:top w:val="none" w:sz="0" w:space="0" w:color="auto"/>
        <w:left w:val="none" w:sz="0" w:space="0" w:color="auto"/>
        <w:bottom w:val="none" w:sz="0" w:space="0" w:color="auto"/>
        <w:right w:val="none" w:sz="0" w:space="0" w:color="auto"/>
      </w:divBdr>
    </w:div>
    <w:div w:id="1316102382">
      <w:bodyDiv w:val="1"/>
      <w:marLeft w:val="0"/>
      <w:marRight w:val="0"/>
      <w:marTop w:val="0"/>
      <w:marBottom w:val="0"/>
      <w:divBdr>
        <w:top w:val="none" w:sz="0" w:space="0" w:color="auto"/>
        <w:left w:val="none" w:sz="0" w:space="0" w:color="auto"/>
        <w:bottom w:val="none" w:sz="0" w:space="0" w:color="auto"/>
        <w:right w:val="none" w:sz="0" w:space="0" w:color="auto"/>
      </w:divBdr>
    </w:div>
    <w:div w:id="1316566591">
      <w:bodyDiv w:val="1"/>
      <w:marLeft w:val="0"/>
      <w:marRight w:val="0"/>
      <w:marTop w:val="0"/>
      <w:marBottom w:val="0"/>
      <w:divBdr>
        <w:top w:val="none" w:sz="0" w:space="0" w:color="auto"/>
        <w:left w:val="none" w:sz="0" w:space="0" w:color="auto"/>
        <w:bottom w:val="none" w:sz="0" w:space="0" w:color="auto"/>
        <w:right w:val="none" w:sz="0" w:space="0" w:color="auto"/>
      </w:divBdr>
    </w:div>
    <w:div w:id="1316761808">
      <w:bodyDiv w:val="1"/>
      <w:marLeft w:val="0"/>
      <w:marRight w:val="0"/>
      <w:marTop w:val="0"/>
      <w:marBottom w:val="0"/>
      <w:divBdr>
        <w:top w:val="none" w:sz="0" w:space="0" w:color="auto"/>
        <w:left w:val="none" w:sz="0" w:space="0" w:color="auto"/>
        <w:bottom w:val="none" w:sz="0" w:space="0" w:color="auto"/>
        <w:right w:val="none" w:sz="0" w:space="0" w:color="auto"/>
      </w:divBdr>
    </w:div>
    <w:div w:id="1317883662">
      <w:bodyDiv w:val="1"/>
      <w:marLeft w:val="0"/>
      <w:marRight w:val="0"/>
      <w:marTop w:val="0"/>
      <w:marBottom w:val="0"/>
      <w:divBdr>
        <w:top w:val="none" w:sz="0" w:space="0" w:color="auto"/>
        <w:left w:val="none" w:sz="0" w:space="0" w:color="auto"/>
        <w:bottom w:val="none" w:sz="0" w:space="0" w:color="auto"/>
        <w:right w:val="none" w:sz="0" w:space="0" w:color="auto"/>
      </w:divBdr>
    </w:div>
    <w:div w:id="1318463429">
      <w:bodyDiv w:val="1"/>
      <w:marLeft w:val="0"/>
      <w:marRight w:val="0"/>
      <w:marTop w:val="0"/>
      <w:marBottom w:val="0"/>
      <w:divBdr>
        <w:top w:val="none" w:sz="0" w:space="0" w:color="auto"/>
        <w:left w:val="none" w:sz="0" w:space="0" w:color="auto"/>
        <w:bottom w:val="none" w:sz="0" w:space="0" w:color="auto"/>
        <w:right w:val="none" w:sz="0" w:space="0" w:color="auto"/>
      </w:divBdr>
    </w:div>
    <w:div w:id="1319264734">
      <w:bodyDiv w:val="1"/>
      <w:marLeft w:val="0"/>
      <w:marRight w:val="0"/>
      <w:marTop w:val="0"/>
      <w:marBottom w:val="0"/>
      <w:divBdr>
        <w:top w:val="none" w:sz="0" w:space="0" w:color="auto"/>
        <w:left w:val="none" w:sz="0" w:space="0" w:color="auto"/>
        <w:bottom w:val="none" w:sz="0" w:space="0" w:color="auto"/>
        <w:right w:val="none" w:sz="0" w:space="0" w:color="auto"/>
      </w:divBdr>
    </w:div>
    <w:div w:id="1319384445">
      <w:bodyDiv w:val="1"/>
      <w:marLeft w:val="0"/>
      <w:marRight w:val="0"/>
      <w:marTop w:val="0"/>
      <w:marBottom w:val="0"/>
      <w:divBdr>
        <w:top w:val="none" w:sz="0" w:space="0" w:color="auto"/>
        <w:left w:val="none" w:sz="0" w:space="0" w:color="auto"/>
        <w:bottom w:val="none" w:sz="0" w:space="0" w:color="auto"/>
        <w:right w:val="none" w:sz="0" w:space="0" w:color="auto"/>
      </w:divBdr>
    </w:div>
    <w:div w:id="1319576827">
      <w:bodyDiv w:val="1"/>
      <w:marLeft w:val="0"/>
      <w:marRight w:val="0"/>
      <w:marTop w:val="0"/>
      <w:marBottom w:val="0"/>
      <w:divBdr>
        <w:top w:val="none" w:sz="0" w:space="0" w:color="auto"/>
        <w:left w:val="none" w:sz="0" w:space="0" w:color="auto"/>
        <w:bottom w:val="none" w:sz="0" w:space="0" w:color="auto"/>
        <w:right w:val="none" w:sz="0" w:space="0" w:color="auto"/>
      </w:divBdr>
    </w:div>
    <w:div w:id="1320646479">
      <w:bodyDiv w:val="1"/>
      <w:marLeft w:val="0"/>
      <w:marRight w:val="0"/>
      <w:marTop w:val="0"/>
      <w:marBottom w:val="0"/>
      <w:divBdr>
        <w:top w:val="none" w:sz="0" w:space="0" w:color="auto"/>
        <w:left w:val="none" w:sz="0" w:space="0" w:color="auto"/>
        <w:bottom w:val="none" w:sz="0" w:space="0" w:color="auto"/>
        <w:right w:val="none" w:sz="0" w:space="0" w:color="auto"/>
      </w:divBdr>
    </w:div>
    <w:div w:id="1321235497">
      <w:bodyDiv w:val="1"/>
      <w:marLeft w:val="0"/>
      <w:marRight w:val="0"/>
      <w:marTop w:val="0"/>
      <w:marBottom w:val="0"/>
      <w:divBdr>
        <w:top w:val="none" w:sz="0" w:space="0" w:color="auto"/>
        <w:left w:val="none" w:sz="0" w:space="0" w:color="auto"/>
        <w:bottom w:val="none" w:sz="0" w:space="0" w:color="auto"/>
        <w:right w:val="none" w:sz="0" w:space="0" w:color="auto"/>
      </w:divBdr>
    </w:div>
    <w:div w:id="1321274542">
      <w:bodyDiv w:val="1"/>
      <w:marLeft w:val="0"/>
      <w:marRight w:val="0"/>
      <w:marTop w:val="0"/>
      <w:marBottom w:val="0"/>
      <w:divBdr>
        <w:top w:val="none" w:sz="0" w:space="0" w:color="auto"/>
        <w:left w:val="none" w:sz="0" w:space="0" w:color="auto"/>
        <w:bottom w:val="none" w:sz="0" w:space="0" w:color="auto"/>
        <w:right w:val="none" w:sz="0" w:space="0" w:color="auto"/>
      </w:divBdr>
    </w:div>
    <w:div w:id="1323044033">
      <w:bodyDiv w:val="1"/>
      <w:marLeft w:val="0"/>
      <w:marRight w:val="0"/>
      <w:marTop w:val="0"/>
      <w:marBottom w:val="0"/>
      <w:divBdr>
        <w:top w:val="none" w:sz="0" w:space="0" w:color="auto"/>
        <w:left w:val="none" w:sz="0" w:space="0" w:color="auto"/>
        <w:bottom w:val="none" w:sz="0" w:space="0" w:color="auto"/>
        <w:right w:val="none" w:sz="0" w:space="0" w:color="auto"/>
      </w:divBdr>
    </w:div>
    <w:div w:id="1324316756">
      <w:bodyDiv w:val="1"/>
      <w:marLeft w:val="0"/>
      <w:marRight w:val="0"/>
      <w:marTop w:val="0"/>
      <w:marBottom w:val="0"/>
      <w:divBdr>
        <w:top w:val="none" w:sz="0" w:space="0" w:color="auto"/>
        <w:left w:val="none" w:sz="0" w:space="0" w:color="auto"/>
        <w:bottom w:val="none" w:sz="0" w:space="0" w:color="auto"/>
        <w:right w:val="none" w:sz="0" w:space="0" w:color="auto"/>
      </w:divBdr>
    </w:div>
    <w:div w:id="1325091182">
      <w:bodyDiv w:val="1"/>
      <w:marLeft w:val="0"/>
      <w:marRight w:val="0"/>
      <w:marTop w:val="0"/>
      <w:marBottom w:val="0"/>
      <w:divBdr>
        <w:top w:val="none" w:sz="0" w:space="0" w:color="auto"/>
        <w:left w:val="none" w:sz="0" w:space="0" w:color="auto"/>
        <w:bottom w:val="none" w:sz="0" w:space="0" w:color="auto"/>
        <w:right w:val="none" w:sz="0" w:space="0" w:color="auto"/>
      </w:divBdr>
    </w:div>
    <w:div w:id="1326939412">
      <w:bodyDiv w:val="1"/>
      <w:marLeft w:val="0"/>
      <w:marRight w:val="0"/>
      <w:marTop w:val="0"/>
      <w:marBottom w:val="0"/>
      <w:divBdr>
        <w:top w:val="none" w:sz="0" w:space="0" w:color="auto"/>
        <w:left w:val="none" w:sz="0" w:space="0" w:color="auto"/>
        <w:bottom w:val="none" w:sz="0" w:space="0" w:color="auto"/>
        <w:right w:val="none" w:sz="0" w:space="0" w:color="auto"/>
      </w:divBdr>
    </w:div>
    <w:div w:id="1327243027">
      <w:bodyDiv w:val="1"/>
      <w:marLeft w:val="0"/>
      <w:marRight w:val="0"/>
      <w:marTop w:val="0"/>
      <w:marBottom w:val="0"/>
      <w:divBdr>
        <w:top w:val="none" w:sz="0" w:space="0" w:color="auto"/>
        <w:left w:val="none" w:sz="0" w:space="0" w:color="auto"/>
        <w:bottom w:val="none" w:sz="0" w:space="0" w:color="auto"/>
        <w:right w:val="none" w:sz="0" w:space="0" w:color="auto"/>
      </w:divBdr>
    </w:div>
    <w:div w:id="1327636154">
      <w:bodyDiv w:val="1"/>
      <w:marLeft w:val="0"/>
      <w:marRight w:val="0"/>
      <w:marTop w:val="0"/>
      <w:marBottom w:val="0"/>
      <w:divBdr>
        <w:top w:val="none" w:sz="0" w:space="0" w:color="auto"/>
        <w:left w:val="none" w:sz="0" w:space="0" w:color="auto"/>
        <w:bottom w:val="none" w:sz="0" w:space="0" w:color="auto"/>
        <w:right w:val="none" w:sz="0" w:space="0" w:color="auto"/>
      </w:divBdr>
    </w:div>
    <w:div w:id="1327711649">
      <w:bodyDiv w:val="1"/>
      <w:marLeft w:val="0"/>
      <w:marRight w:val="0"/>
      <w:marTop w:val="0"/>
      <w:marBottom w:val="0"/>
      <w:divBdr>
        <w:top w:val="none" w:sz="0" w:space="0" w:color="auto"/>
        <w:left w:val="none" w:sz="0" w:space="0" w:color="auto"/>
        <w:bottom w:val="none" w:sz="0" w:space="0" w:color="auto"/>
        <w:right w:val="none" w:sz="0" w:space="0" w:color="auto"/>
      </w:divBdr>
    </w:div>
    <w:div w:id="1329672050">
      <w:bodyDiv w:val="1"/>
      <w:marLeft w:val="0"/>
      <w:marRight w:val="0"/>
      <w:marTop w:val="0"/>
      <w:marBottom w:val="0"/>
      <w:divBdr>
        <w:top w:val="none" w:sz="0" w:space="0" w:color="auto"/>
        <w:left w:val="none" w:sz="0" w:space="0" w:color="auto"/>
        <w:bottom w:val="none" w:sz="0" w:space="0" w:color="auto"/>
        <w:right w:val="none" w:sz="0" w:space="0" w:color="auto"/>
      </w:divBdr>
    </w:div>
    <w:div w:id="1330333996">
      <w:bodyDiv w:val="1"/>
      <w:marLeft w:val="0"/>
      <w:marRight w:val="0"/>
      <w:marTop w:val="0"/>
      <w:marBottom w:val="0"/>
      <w:divBdr>
        <w:top w:val="none" w:sz="0" w:space="0" w:color="auto"/>
        <w:left w:val="none" w:sz="0" w:space="0" w:color="auto"/>
        <w:bottom w:val="none" w:sz="0" w:space="0" w:color="auto"/>
        <w:right w:val="none" w:sz="0" w:space="0" w:color="auto"/>
      </w:divBdr>
    </w:div>
    <w:div w:id="1330408054">
      <w:bodyDiv w:val="1"/>
      <w:marLeft w:val="0"/>
      <w:marRight w:val="0"/>
      <w:marTop w:val="0"/>
      <w:marBottom w:val="0"/>
      <w:divBdr>
        <w:top w:val="none" w:sz="0" w:space="0" w:color="auto"/>
        <w:left w:val="none" w:sz="0" w:space="0" w:color="auto"/>
        <w:bottom w:val="none" w:sz="0" w:space="0" w:color="auto"/>
        <w:right w:val="none" w:sz="0" w:space="0" w:color="auto"/>
      </w:divBdr>
    </w:div>
    <w:div w:id="1334142458">
      <w:bodyDiv w:val="1"/>
      <w:marLeft w:val="0"/>
      <w:marRight w:val="0"/>
      <w:marTop w:val="0"/>
      <w:marBottom w:val="0"/>
      <w:divBdr>
        <w:top w:val="none" w:sz="0" w:space="0" w:color="auto"/>
        <w:left w:val="none" w:sz="0" w:space="0" w:color="auto"/>
        <w:bottom w:val="none" w:sz="0" w:space="0" w:color="auto"/>
        <w:right w:val="none" w:sz="0" w:space="0" w:color="auto"/>
      </w:divBdr>
    </w:div>
    <w:div w:id="1334257244">
      <w:bodyDiv w:val="1"/>
      <w:marLeft w:val="0"/>
      <w:marRight w:val="0"/>
      <w:marTop w:val="0"/>
      <w:marBottom w:val="0"/>
      <w:divBdr>
        <w:top w:val="none" w:sz="0" w:space="0" w:color="auto"/>
        <w:left w:val="none" w:sz="0" w:space="0" w:color="auto"/>
        <w:bottom w:val="none" w:sz="0" w:space="0" w:color="auto"/>
        <w:right w:val="none" w:sz="0" w:space="0" w:color="auto"/>
      </w:divBdr>
    </w:div>
    <w:div w:id="1335766693">
      <w:bodyDiv w:val="1"/>
      <w:marLeft w:val="0"/>
      <w:marRight w:val="0"/>
      <w:marTop w:val="0"/>
      <w:marBottom w:val="0"/>
      <w:divBdr>
        <w:top w:val="none" w:sz="0" w:space="0" w:color="auto"/>
        <w:left w:val="none" w:sz="0" w:space="0" w:color="auto"/>
        <w:bottom w:val="none" w:sz="0" w:space="0" w:color="auto"/>
        <w:right w:val="none" w:sz="0" w:space="0" w:color="auto"/>
      </w:divBdr>
    </w:div>
    <w:div w:id="1336230298">
      <w:bodyDiv w:val="1"/>
      <w:marLeft w:val="0"/>
      <w:marRight w:val="0"/>
      <w:marTop w:val="0"/>
      <w:marBottom w:val="0"/>
      <w:divBdr>
        <w:top w:val="none" w:sz="0" w:space="0" w:color="auto"/>
        <w:left w:val="none" w:sz="0" w:space="0" w:color="auto"/>
        <w:bottom w:val="none" w:sz="0" w:space="0" w:color="auto"/>
        <w:right w:val="none" w:sz="0" w:space="0" w:color="auto"/>
      </w:divBdr>
    </w:div>
    <w:div w:id="1338575144">
      <w:bodyDiv w:val="1"/>
      <w:marLeft w:val="0"/>
      <w:marRight w:val="0"/>
      <w:marTop w:val="0"/>
      <w:marBottom w:val="0"/>
      <w:divBdr>
        <w:top w:val="none" w:sz="0" w:space="0" w:color="auto"/>
        <w:left w:val="none" w:sz="0" w:space="0" w:color="auto"/>
        <w:bottom w:val="none" w:sz="0" w:space="0" w:color="auto"/>
        <w:right w:val="none" w:sz="0" w:space="0" w:color="auto"/>
      </w:divBdr>
    </w:div>
    <w:div w:id="1338576678">
      <w:bodyDiv w:val="1"/>
      <w:marLeft w:val="0"/>
      <w:marRight w:val="0"/>
      <w:marTop w:val="0"/>
      <w:marBottom w:val="0"/>
      <w:divBdr>
        <w:top w:val="none" w:sz="0" w:space="0" w:color="auto"/>
        <w:left w:val="none" w:sz="0" w:space="0" w:color="auto"/>
        <w:bottom w:val="none" w:sz="0" w:space="0" w:color="auto"/>
        <w:right w:val="none" w:sz="0" w:space="0" w:color="auto"/>
      </w:divBdr>
    </w:div>
    <w:div w:id="1339427290">
      <w:bodyDiv w:val="1"/>
      <w:marLeft w:val="0"/>
      <w:marRight w:val="0"/>
      <w:marTop w:val="0"/>
      <w:marBottom w:val="0"/>
      <w:divBdr>
        <w:top w:val="none" w:sz="0" w:space="0" w:color="auto"/>
        <w:left w:val="none" w:sz="0" w:space="0" w:color="auto"/>
        <w:bottom w:val="none" w:sz="0" w:space="0" w:color="auto"/>
        <w:right w:val="none" w:sz="0" w:space="0" w:color="auto"/>
      </w:divBdr>
    </w:div>
    <w:div w:id="1341009866">
      <w:bodyDiv w:val="1"/>
      <w:marLeft w:val="0"/>
      <w:marRight w:val="0"/>
      <w:marTop w:val="0"/>
      <w:marBottom w:val="0"/>
      <w:divBdr>
        <w:top w:val="none" w:sz="0" w:space="0" w:color="auto"/>
        <w:left w:val="none" w:sz="0" w:space="0" w:color="auto"/>
        <w:bottom w:val="none" w:sz="0" w:space="0" w:color="auto"/>
        <w:right w:val="none" w:sz="0" w:space="0" w:color="auto"/>
      </w:divBdr>
    </w:div>
    <w:div w:id="1344669518">
      <w:bodyDiv w:val="1"/>
      <w:marLeft w:val="0"/>
      <w:marRight w:val="0"/>
      <w:marTop w:val="0"/>
      <w:marBottom w:val="0"/>
      <w:divBdr>
        <w:top w:val="none" w:sz="0" w:space="0" w:color="auto"/>
        <w:left w:val="none" w:sz="0" w:space="0" w:color="auto"/>
        <w:bottom w:val="none" w:sz="0" w:space="0" w:color="auto"/>
        <w:right w:val="none" w:sz="0" w:space="0" w:color="auto"/>
      </w:divBdr>
    </w:div>
    <w:div w:id="1346398823">
      <w:bodyDiv w:val="1"/>
      <w:marLeft w:val="0"/>
      <w:marRight w:val="0"/>
      <w:marTop w:val="0"/>
      <w:marBottom w:val="0"/>
      <w:divBdr>
        <w:top w:val="none" w:sz="0" w:space="0" w:color="auto"/>
        <w:left w:val="none" w:sz="0" w:space="0" w:color="auto"/>
        <w:bottom w:val="none" w:sz="0" w:space="0" w:color="auto"/>
        <w:right w:val="none" w:sz="0" w:space="0" w:color="auto"/>
      </w:divBdr>
    </w:div>
    <w:div w:id="1346980216">
      <w:bodyDiv w:val="1"/>
      <w:marLeft w:val="0"/>
      <w:marRight w:val="0"/>
      <w:marTop w:val="0"/>
      <w:marBottom w:val="0"/>
      <w:divBdr>
        <w:top w:val="none" w:sz="0" w:space="0" w:color="auto"/>
        <w:left w:val="none" w:sz="0" w:space="0" w:color="auto"/>
        <w:bottom w:val="none" w:sz="0" w:space="0" w:color="auto"/>
        <w:right w:val="none" w:sz="0" w:space="0" w:color="auto"/>
      </w:divBdr>
    </w:div>
    <w:div w:id="1349452859">
      <w:bodyDiv w:val="1"/>
      <w:marLeft w:val="0"/>
      <w:marRight w:val="0"/>
      <w:marTop w:val="0"/>
      <w:marBottom w:val="0"/>
      <w:divBdr>
        <w:top w:val="none" w:sz="0" w:space="0" w:color="auto"/>
        <w:left w:val="none" w:sz="0" w:space="0" w:color="auto"/>
        <w:bottom w:val="none" w:sz="0" w:space="0" w:color="auto"/>
        <w:right w:val="none" w:sz="0" w:space="0" w:color="auto"/>
      </w:divBdr>
    </w:div>
    <w:div w:id="1350522224">
      <w:bodyDiv w:val="1"/>
      <w:marLeft w:val="0"/>
      <w:marRight w:val="0"/>
      <w:marTop w:val="0"/>
      <w:marBottom w:val="0"/>
      <w:divBdr>
        <w:top w:val="none" w:sz="0" w:space="0" w:color="auto"/>
        <w:left w:val="none" w:sz="0" w:space="0" w:color="auto"/>
        <w:bottom w:val="none" w:sz="0" w:space="0" w:color="auto"/>
        <w:right w:val="none" w:sz="0" w:space="0" w:color="auto"/>
      </w:divBdr>
    </w:div>
    <w:div w:id="1351953035">
      <w:bodyDiv w:val="1"/>
      <w:marLeft w:val="0"/>
      <w:marRight w:val="0"/>
      <w:marTop w:val="0"/>
      <w:marBottom w:val="0"/>
      <w:divBdr>
        <w:top w:val="none" w:sz="0" w:space="0" w:color="auto"/>
        <w:left w:val="none" w:sz="0" w:space="0" w:color="auto"/>
        <w:bottom w:val="none" w:sz="0" w:space="0" w:color="auto"/>
        <w:right w:val="none" w:sz="0" w:space="0" w:color="auto"/>
      </w:divBdr>
    </w:div>
    <w:div w:id="1352490420">
      <w:bodyDiv w:val="1"/>
      <w:marLeft w:val="0"/>
      <w:marRight w:val="0"/>
      <w:marTop w:val="0"/>
      <w:marBottom w:val="0"/>
      <w:divBdr>
        <w:top w:val="none" w:sz="0" w:space="0" w:color="auto"/>
        <w:left w:val="none" w:sz="0" w:space="0" w:color="auto"/>
        <w:bottom w:val="none" w:sz="0" w:space="0" w:color="auto"/>
        <w:right w:val="none" w:sz="0" w:space="0" w:color="auto"/>
      </w:divBdr>
    </w:div>
    <w:div w:id="1352881517">
      <w:bodyDiv w:val="1"/>
      <w:marLeft w:val="0"/>
      <w:marRight w:val="0"/>
      <w:marTop w:val="0"/>
      <w:marBottom w:val="0"/>
      <w:divBdr>
        <w:top w:val="none" w:sz="0" w:space="0" w:color="auto"/>
        <w:left w:val="none" w:sz="0" w:space="0" w:color="auto"/>
        <w:bottom w:val="none" w:sz="0" w:space="0" w:color="auto"/>
        <w:right w:val="none" w:sz="0" w:space="0" w:color="auto"/>
      </w:divBdr>
    </w:div>
    <w:div w:id="1353528115">
      <w:bodyDiv w:val="1"/>
      <w:marLeft w:val="0"/>
      <w:marRight w:val="0"/>
      <w:marTop w:val="0"/>
      <w:marBottom w:val="0"/>
      <w:divBdr>
        <w:top w:val="none" w:sz="0" w:space="0" w:color="auto"/>
        <w:left w:val="none" w:sz="0" w:space="0" w:color="auto"/>
        <w:bottom w:val="none" w:sz="0" w:space="0" w:color="auto"/>
        <w:right w:val="none" w:sz="0" w:space="0" w:color="auto"/>
      </w:divBdr>
    </w:div>
    <w:div w:id="1355034417">
      <w:bodyDiv w:val="1"/>
      <w:marLeft w:val="0"/>
      <w:marRight w:val="0"/>
      <w:marTop w:val="0"/>
      <w:marBottom w:val="0"/>
      <w:divBdr>
        <w:top w:val="none" w:sz="0" w:space="0" w:color="auto"/>
        <w:left w:val="none" w:sz="0" w:space="0" w:color="auto"/>
        <w:bottom w:val="none" w:sz="0" w:space="0" w:color="auto"/>
        <w:right w:val="none" w:sz="0" w:space="0" w:color="auto"/>
      </w:divBdr>
    </w:div>
    <w:div w:id="1355690358">
      <w:bodyDiv w:val="1"/>
      <w:marLeft w:val="0"/>
      <w:marRight w:val="0"/>
      <w:marTop w:val="0"/>
      <w:marBottom w:val="0"/>
      <w:divBdr>
        <w:top w:val="none" w:sz="0" w:space="0" w:color="auto"/>
        <w:left w:val="none" w:sz="0" w:space="0" w:color="auto"/>
        <w:bottom w:val="none" w:sz="0" w:space="0" w:color="auto"/>
        <w:right w:val="none" w:sz="0" w:space="0" w:color="auto"/>
      </w:divBdr>
    </w:div>
    <w:div w:id="1356227555">
      <w:bodyDiv w:val="1"/>
      <w:marLeft w:val="0"/>
      <w:marRight w:val="0"/>
      <w:marTop w:val="0"/>
      <w:marBottom w:val="0"/>
      <w:divBdr>
        <w:top w:val="none" w:sz="0" w:space="0" w:color="auto"/>
        <w:left w:val="none" w:sz="0" w:space="0" w:color="auto"/>
        <w:bottom w:val="none" w:sz="0" w:space="0" w:color="auto"/>
        <w:right w:val="none" w:sz="0" w:space="0" w:color="auto"/>
      </w:divBdr>
    </w:div>
    <w:div w:id="1356270761">
      <w:bodyDiv w:val="1"/>
      <w:marLeft w:val="0"/>
      <w:marRight w:val="0"/>
      <w:marTop w:val="0"/>
      <w:marBottom w:val="0"/>
      <w:divBdr>
        <w:top w:val="none" w:sz="0" w:space="0" w:color="auto"/>
        <w:left w:val="none" w:sz="0" w:space="0" w:color="auto"/>
        <w:bottom w:val="none" w:sz="0" w:space="0" w:color="auto"/>
        <w:right w:val="none" w:sz="0" w:space="0" w:color="auto"/>
      </w:divBdr>
    </w:div>
    <w:div w:id="1356425462">
      <w:bodyDiv w:val="1"/>
      <w:marLeft w:val="0"/>
      <w:marRight w:val="0"/>
      <w:marTop w:val="0"/>
      <w:marBottom w:val="0"/>
      <w:divBdr>
        <w:top w:val="none" w:sz="0" w:space="0" w:color="auto"/>
        <w:left w:val="none" w:sz="0" w:space="0" w:color="auto"/>
        <w:bottom w:val="none" w:sz="0" w:space="0" w:color="auto"/>
        <w:right w:val="none" w:sz="0" w:space="0" w:color="auto"/>
      </w:divBdr>
    </w:div>
    <w:div w:id="1356728975">
      <w:bodyDiv w:val="1"/>
      <w:marLeft w:val="0"/>
      <w:marRight w:val="0"/>
      <w:marTop w:val="0"/>
      <w:marBottom w:val="0"/>
      <w:divBdr>
        <w:top w:val="none" w:sz="0" w:space="0" w:color="auto"/>
        <w:left w:val="none" w:sz="0" w:space="0" w:color="auto"/>
        <w:bottom w:val="none" w:sz="0" w:space="0" w:color="auto"/>
        <w:right w:val="none" w:sz="0" w:space="0" w:color="auto"/>
      </w:divBdr>
    </w:div>
    <w:div w:id="1356929051">
      <w:bodyDiv w:val="1"/>
      <w:marLeft w:val="0"/>
      <w:marRight w:val="0"/>
      <w:marTop w:val="0"/>
      <w:marBottom w:val="0"/>
      <w:divBdr>
        <w:top w:val="none" w:sz="0" w:space="0" w:color="auto"/>
        <w:left w:val="none" w:sz="0" w:space="0" w:color="auto"/>
        <w:bottom w:val="none" w:sz="0" w:space="0" w:color="auto"/>
        <w:right w:val="none" w:sz="0" w:space="0" w:color="auto"/>
      </w:divBdr>
    </w:div>
    <w:div w:id="1357996587">
      <w:bodyDiv w:val="1"/>
      <w:marLeft w:val="0"/>
      <w:marRight w:val="0"/>
      <w:marTop w:val="0"/>
      <w:marBottom w:val="0"/>
      <w:divBdr>
        <w:top w:val="none" w:sz="0" w:space="0" w:color="auto"/>
        <w:left w:val="none" w:sz="0" w:space="0" w:color="auto"/>
        <w:bottom w:val="none" w:sz="0" w:space="0" w:color="auto"/>
        <w:right w:val="none" w:sz="0" w:space="0" w:color="auto"/>
      </w:divBdr>
    </w:div>
    <w:div w:id="1359043072">
      <w:bodyDiv w:val="1"/>
      <w:marLeft w:val="0"/>
      <w:marRight w:val="0"/>
      <w:marTop w:val="0"/>
      <w:marBottom w:val="0"/>
      <w:divBdr>
        <w:top w:val="none" w:sz="0" w:space="0" w:color="auto"/>
        <w:left w:val="none" w:sz="0" w:space="0" w:color="auto"/>
        <w:bottom w:val="none" w:sz="0" w:space="0" w:color="auto"/>
        <w:right w:val="none" w:sz="0" w:space="0" w:color="auto"/>
      </w:divBdr>
    </w:div>
    <w:div w:id="1359240305">
      <w:bodyDiv w:val="1"/>
      <w:marLeft w:val="0"/>
      <w:marRight w:val="0"/>
      <w:marTop w:val="0"/>
      <w:marBottom w:val="0"/>
      <w:divBdr>
        <w:top w:val="none" w:sz="0" w:space="0" w:color="auto"/>
        <w:left w:val="none" w:sz="0" w:space="0" w:color="auto"/>
        <w:bottom w:val="none" w:sz="0" w:space="0" w:color="auto"/>
        <w:right w:val="none" w:sz="0" w:space="0" w:color="auto"/>
      </w:divBdr>
    </w:div>
    <w:div w:id="1359508316">
      <w:bodyDiv w:val="1"/>
      <w:marLeft w:val="0"/>
      <w:marRight w:val="0"/>
      <w:marTop w:val="0"/>
      <w:marBottom w:val="0"/>
      <w:divBdr>
        <w:top w:val="none" w:sz="0" w:space="0" w:color="auto"/>
        <w:left w:val="none" w:sz="0" w:space="0" w:color="auto"/>
        <w:bottom w:val="none" w:sz="0" w:space="0" w:color="auto"/>
        <w:right w:val="none" w:sz="0" w:space="0" w:color="auto"/>
      </w:divBdr>
    </w:div>
    <w:div w:id="1360467415">
      <w:bodyDiv w:val="1"/>
      <w:marLeft w:val="0"/>
      <w:marRight w:val="0"/>
      <w:marTop w:val="0"/>
      <w:marBottom w:val="0"/>
      <w:divBdr>
        <w:top w:val="none" w:sz="0" w:space="0" w:color="auto"/>
        <w:left w:val="none" w:sz="0" w:space="0" w:color="auto"/>
        <w:bottom w:val="none" w:sz="0" w:space="0" w:color="auto"/>
        <w:right w:val="none" w:sz="0" w:space="0" w:color="auto"/>
      </w:divBdr>
    </w:div>
    <w:div w:id="1362239145">
      <w:bodyDiv w:val="1"/>
      <w:marLeft w:val="0"/>
      <w:marRight w:val="0"/>
      <w:marTop w:val="0"/>
      <w:marBottom w:val="0"/>
      <w:divBdr>
        <w:top w:val="none" w:sz="0" w:space="0" w:color="auto"/>
        <w:left w:val="none" w:sz="0" w:space="0" w:color="auto"/>
        <w:bottom w:val="none" w:sz="0" w:space="0" w:color="auto"/>
        <w:right w:val="none" w:sz="0" w:space="0" w:color="auto"/>
      </w:divBdr>
    </w:div>
    <w:div w:id="1362316203">
      <w:bodyDiv w:val="1"/>
      <w:marLeft w:val="0"/>
      <w:marRight w:val="0"/>
      <w:marTop w:val="0"/>
      <w:marBottom w:val="0"/>
      <w:divBdr>
        <w:top w:val="none" w:sz="0" w:space="0" w:color="auto"/>
        <w:left w:val="none" w:sz="0" w:space="0" w:color="auto"/>
        <w:bottom w:val="none" w:sz="0" w:space="0" w:color="auto"/>
        <w:right w:val="none" w:sz="0" w:space="0" w:color="auto"/>
      </w:divBdr>
    </w:div>
    <w:div w:id="1362515620">
      <w:bodyDiv w:val="1"/>
      <w:marLeft w:val="0"/>
      <w:marRight w:val="0"/>
      <w:marTop w:val="0"/>
      <w:marBottom w:val="0"/>
      <w:divBdr>
        <w:top w:val="none" w:sz="0" w:space="0" w:color="auto"/>
        <w:left w:val="none" w:sz="0" w:space="0" w:color="auto"/>
        <w:bottom w:val="none" w:sz="0" w:space="0" w:color="auto"/>
        <w:right w:val="none" w:sz="0" w:space="0" w:color="auto"/>
      </w:divBdr>
    </w:div>
    <w:div w:id="1364138619">
      <w:bodyDiv w:val="1"/>
      <w:marLeft w:val="0"/>
      <w:marRight w:val="0"/>
      <w:marTop w:val="0"/>
      <w:marBottom w:val="0"/>
      <w:divBdr>
        <w:top w:val="none" w:sz="0" w:space="0" w:color="auto"/>
        <w:left w:val="none" w:sz="0" w:space="0" w:color="auto"/>
        <w:bottom w:val="none" w:sz="0" w:space="0" w:color="auto"/>
        <w:right w:val="none" w:sz="0" w:space="0" w:color="auto"/>
      </w:divBdr>
    </w:div>
    <w:div w:id="1364212802">
      <w:bodyDiv w:val="1"/>
      <w:marLeft w:val="0"/>
      <w:marRight w:val="0"/>
      <w:marTop w:val="0"/>
      <w:marBottom w:val="0"/>
      <w:divBdr>
        <w:top w:val="none" w:sz="0" w:space="0" w:color="auto"/>
        <w:left w:val="none" w:sz="0" w:space="0" w:color="auto"/>
        <w:bottom w:val="none" w:sz="0" w:space="0" w:color="auto"/>
        <w:right w:val="none" w:sz="0" w:space="0" w:color="auto"/>
      </w:divBdr>
    </w:div>
    <w:div w:id="1365867344">
      <w:bodyDiv w:val="1"/>
      <w:marLeft w:val="0"/>
      <w:marRight w:val="0"/>
      <w:marTop w:val="0"/>
      <w:marBottom w:val="0"/>
      <w:divBdr>
        <w:top w:val="none" w:sz="0" w:space="0" w:color="auto"/>
        <w:left w:val="none" w:sz="0" w:space="0" w:color="auto"/>
        <w:bottom w:val="none" w:sz="0" w:space="0" w:color="auto"/>
        <w:right w:val="none" w:sz="0" w:space="0" w:color="auto"/>
      </w:divBdr>
    </w:div>
    <w:div w:id="1365979304">
      <w:bodyDiv w:val="1"/>
      <w:marLeft w:val="0"/>
      <w:marRight w:val="0"/>
      <w:marTop w:val="0"/>
      <w:marBottom w:val="0"/>
      <w:divBdr>
        <w:top w:val="none" w:sz="0" w:space="0" w:color="auto"/>
        <w:left w:val="none" w:sz="0" w:space="0" w:color="auto"/>
        <w:bottom w:val="none" w:sz="0" w:space="0" w:color="auto"/>
        <w:right w:val="none" w:sz="0" w:space="0" w:color="auto"/>
      </w:divBdr>
    </w:div>
    <w:div w:id="1367754044">
      <w:bodyDiv w:val="1"/>
      <w:marLeft w:val="0"/>
      <w:marRight w:val="0"/>
      <w:marTop w:val="0"/>
      <w:marBottom w:val="0"/>
      <w:divBdr>
        <w:top w:val="none" w:sz="0" w:space="0" w:color="auto"/>
        <w:left w:val="none" w:sz="0" w:space="0" w:color="auto"/>
        <w:bottom w:val="none" w:sz="0" w:space="0" w:color="auto"/>
        <w:right w:val="none" w:sz="0" w:space="0" w:color="auto"/>
      </w:divBdr>
    </w:div>
    <w:div w:id="1372195422">
      <w:bodyDiv w:val="1"/>
      <w:marLeft w:val="0"/>
      <w:marRight w:val="0"/>
      <w:marTop w:val="0"/>
      <w:marBottom w:val="0"/>
      <w:divBdr>
        <w:top w:val="none" w:sz="0" w:space="0" w:color="auto"/>
        <w:left w:val="none" w:sz="0" w:space="0" w:color="auto"/>
        <w:bottom w:val="none" w:sz="0" w:space="0" w:color="auto"/>
        <w:right w:val="none" w:sz="0" w:space="0" w:color="auto"/>
      </w:divBdr>
    </w:div>
    <w:div w:id="1373581059">
      <w:bodyDiv w:val="1"/>
      <w:marLeft w:val="0"/>
      <w:marRight w:val="0"/>
      <w:marTop w:val="0"/>
      <w:marBottom w:val="0"/>
      <w:divBdr>
        <w:top w:val="none" w:sz="0" w:space="0" w:color="auto"/>
        <w:left w:val="none" w:sz="0" w:space="0" w:color="auto"/>
        <w:bottom w:val="none" w:sz="0" w:space="0" w:color="auto"/>
        <w:right w:val="none" w:sz="0" w:space="0" w:color="auto"/>
      </w:divBdr>
    </w:div>
    <w:div w:id="1373729512">
      <w:bodyDiv w:val="1"/>
      <w:marLeft w:val="0"/>
      <w:marRight w:val="0"/>
      <w:marTop w:val="0"/>
      <w:marBottom w:val="0"/>
      <w:divBdr>
        <w:top w:val="none" w:sz="0" w:space="0" w:color="auto"/>
        <w:left w:val="none" w:sz="0" w:space="0" w:color="auto"/>
        <w:bottom w:val="none" w:sz="0" w:space="0" w:color="auto"/>
        <w:right w:val="none" w:sz="0" w:space="0" w:color="auto"/>
      </w:divBdr>
    </w:div>
    <w:div w:id="1374113757">
      <w:bodyDiv w:val="1"/>
      <w:marLeft w:val="0"/>
      <w:marRight w:val="0"/>
      <w:marTop w:val="0"/>
      <w:marBottom w:val="0"/>
      <w:divBdr>
        <w:top w:val="none" w:sz="0" w:space="0" w:color="auto"/>
        <w:left w:val="none" w:sz="0" w:space="0" w:color="auto"/>
        <w:bottom w:val="none" w:sz="0" w:space="0" w:color="auto"/>
        <w:right w:val="none" w:sz="0" w:space="0" w:color="auto"/>
      </w:divBdr>
    </w:div>
    <w:div w:id="1374113828">
      <w:bodyDiv w:val="1"/>
      <w:marLeft w:val="0"/>
      <w:marRight w:val="0"/>
      <w:marTop w:val="0"/>
      <w:marBottom w:val="0"/>
      <w:divBdr>
        <w:top w:val="none" w:sz="0" w:space="0" w:color="auto"/>
        <w:left w:val="none" w:sz="0" w:space="0" w:color="auto"/>
        <w:bottom w:val="none" w:sz="0" w:space="0" w:color="auto"/>
        <w:right w:val="none" w:sz="0" w:space="0" w:color="auto"/>
      </w:divBdr>
    </w:div>
    <w:div w:id="1374115088">
      <w:bodyDiv w:val="1"/>
      <w:marLeft w:val="0"/>
      <w:marRight w:val="0"/>
      <w:marTop w:val="0"/>
      <w:marBottom w:val="0"/>
      <w:divBdr>
        <w:top w:val="none" w:sz="0" w:space="0" w:color="auto"/>
        <w:left w:val="none" w:sz="0" w:space="0" w:color="auto"/>
        <w:bottom w:val="none" w:sz="0" w:space="0" w:color="auto"/>
        <w:right w:val="none" w:sz="0" w:space="0" w:color="auto"/>
      </w:divBdr>
    </w:div>
    <w:div w:id="1374379875">
      <w:bodyDiv w:val="1"/>
      <w:marLeft w:val="0"/>
      <w:marRight w:val="0"/>
      <w:marTop w:val="0"/>
      <w:marBottom w:val="0"/>
      <w:divBdr>
        <w:top w:val="none" w:sz="0" w:space="0" w:color="auto"/>
        <w:left w:val="none" w:sz="0" w:space="0" w:color="auto"/>
        <w:bottom w:val="none" w:sz="0" w:space="0" w:color="auto"/>
        <w:right w:val="none" w:sz="0" w:space="0" w:color="auto"/>
      </w:divBdr>
    </w:div>
    <w:div w:id="1374765189">
      <w:bodyDiv w:val="1"/>
      <w:marLeft w:val="0"/>
      <w:marRight w:val="0"/>
      <w:marTop w:val="0"/>
      <w:marBottom w:val="0"/>
      <w:divBdr>
        <w:top w:val="none" w:sz="0" w:space="0" w:color="auto"/>
        <w:left w:val="none" w:sz="0" w:space="0" w:color="auto"/>
        <w:bottom w:val="none" w:sz="0" w:space="0" w:color="auto"/>
        <w:right w:val="none" w:sz="0" w:space="0" w:color="auto"/>
      </w:divBdr>
    </w:div>
    <w:div w:id="1374845415">
      <w:bodyDiv w:val="1"/>
      <w:marLeft w:val="0"/>
      <w:marRight w:val="0"/>
      <w:marTop w:val="0"/>
      <w:marBottom w:val="0"/>
      <w:divBdr>
        <w:top w:val="none" w:sz="0" w:space="0" w:color="auto"/>
        <w:left w:val="none" w:sz="0" w:space="0" w:color="auto"/>
        <w:bottom w:val="none" w:sz="0" w:space="0" w:color="auto"/>
        <w:right w:val="none" w:sz="0" w:space="0" w:color="auto"/>
      </w:divBdr>
    </w:div>
    <w:div w:id="1376811225">
      <w:bodyDiv w:val="1"/>
      <w:marLeft w:val="0"/>
      <w:marRight w:val="0"/>
      <w:marTop w:val="0"/>
      <w:marBottom w:val="0"/>
      <w:divBdr>
        <w:top w:val="none" w:sz="0" w:space="0" w:color="auto"/>
        <w:left w:val="none" w:sz="0" w:space="0" w:color="auto"/>
        <w:bottom w:val="none" w:sz="0" w:space="0" w:color="auto"/>
        <w:right w:val="none" w:sz="0" w:space="0" w:color="auto"/>
      </w:divBdr>
    </w:div>
    <w:div w:id="1381055018">
      <w:bodyDiv w:val="1"/>
      <w:marLeft w:val="0"/>
      <w:marRight w:val="0"/>
      <w:marTop w:val="0"/>
      <w:marBottom w:val="0"/>
      <w:divBdr>
        <w:top w:val="none" w:sz="0" w:space="0" w:color="auto"/>
        <w:left w:val="none" w:sz="0" w:space="0" w:color="auto"/>
        <w:bottom w:val="none" w:sz="0" w:space="0" w:color="auto"/>
        <w:right w:val="none" w:sz="0" w:space="0" w:color="auto"/>
      </w:divBdr>
    </w:div>
    <w:div w:id="1382631183">
      <w:bodyDiv w:val="1"/>
      <w:marLeft w:val="0"/>
      <w:marRight w:val="0"/>
      <w:marTop w:val="0"/>
      <w:marBottom w:val="0"/>
      <w:divBdr>
        <w:top w:val="none" w:sz="0" w:space="0" w:color="auto"/>
        <w:left w:val="none" w:sz="0" w:space="0" w:color="auto"/>
        <w:bottom w:val="none" w:sz="0" w:space="0" w:color="auto"/>
        <w:right w:val="none" w:sz="0" w:space="0" w:color="auto"/>
      </w:divBdr>
    </w:div>
    <w:div w:id="1383284343">
      <w:bodyDiv w:val="1"/>
      <w:marLeft w:val="0"/>
      <w:marRight w:val="0"/>
      <w:marTop w:val="0"/>
      <w:marBottom w:val="0"/>
      <w:divBdr>
        <w:top w:val="none" w:sz="0" w:space="0" w:color="auto"/>
        <w:left w:val="none" w:sz="0" w:space="0" w:color="auto"/>
        <w:bottom w:val="none" w:sz="0" w:space="0" w:color="auto"/>
        <w:right w:val="none" w:sz="0" w:space="0" w:color="auto"/>
      </w:divBdr>
    </w:div>
    <w:div w:id="1383286586">
      <w:bodyDiv w:val="1"/>
      <w:marLeft w:val="0"/>
      <w:marRight w:val="0"/>
      <w:marTop w:val="0"/>
      <w:marBottom w:val="0"/>
      <w:divBdr>
        <w:top w:val="none" w:sz="0" w:space="0" w:color="auto"/>
        <w:left w:val="none" w:sz="0" w:space="0" w:color="auto"/>
        <w:bottom w:val="none" w:sz="0" w:space="0" w:color="auto"/>
        <w:right w:val="none" w:sz="0" w:space="0" w:color="auto"/>
      </w:divBdr>
    </w:div>
    <w:div w:id="1383753115">
      <w:bodyDiv w:val="1"/>
      <w:marLeft w:val="0"/>
      <w:marRight w:val="0"/>
      <w:marTop w:val="0"/>
      <w:marBottom w:val="0"/>
      <w:divBdr>
        <w:top w:val="none" w:sz="0" w:space="0" w:color="auto"/>
        <w:left w:val="none" w:sz="0" w:space="0" w:color="auto"/>
        <w:bottom w:val="none" w:sz="0" w:space="0" w:color="auto"/>
        <w:right w:val="none" w:sz="0" w:space="0" w:color="auto"/>
      </w:divBdr>
    </w:div>
    <w:div w:id="1384984472">
      <w:bodyDiv w:val="1"/>
      <w:marLeft w:val="0"/>
      <w:marRight w:val="0"/>
      <w:marTop w:val="0"/>
      <w:marBottom w:val="0"/>
      <w:divBdr>
        <w:top w:val="none" w:sz="0" w:space="0" w:color="auto"/>
        <w:left w:val="none" w:sz="0" w:space="0" w:color="auto"/>
        <w:bottom w:val="none" w:sz="0" w:space="0" w:color="auto"/>
        <w:right w:val="none" w:sz="0" w:space="0" w:color="auto"/>
      </w:divBdr>
    </w:div>
    <w:div w:id="1385107338">
      <w:bodyDiv w:val="1"/>
      <w:marLeft w:val="0"/>
      <w:marRight w:val="0"/>
      <w:marTop w:val="0"/>
      <w:marBottom w:val="0"/>
      <w:divBdr>
        <w:top w:val="none" w:sz="0" w:space="0" w:color="auto"/>
        <w:left w:val="none" w:sz="0" w:space="0" w:color="auto"/>
        <w:bottom w:val="none" w:sz="0" w:space="0" w:color="auto"/>
        <w:right w:val="none" w:sz="0" w:space="0" w:color="auto"/>
      </w:divBdr>
    </w:div>
    <w:div w:id="1385447736">
      <w:bodyDiv w:val="1"/>
      <w:marLeft w:val="0"/>
      <w:marRight w:val="0"/>
      <w:marTop w:val="0"/>
      <w:marBottom w:val="0"/>
      <w:divBdr>
        <w:top w:val="none" w:sz="0" w:space="0" w:color="auto"/>
        <w:left w:val="none" w:sz="0" w:space="0" w:color="auto"/>
        <w:bottom w:val="none" w:sz="0" w:space="0" w:color="auto"/>
        <w:right w:val="none" w:sz="0" w:space="0" w:color="auto"/>
      </w:divBdr>
    </w:div>
    <w:div w:id="1385913499">
      <w:bodyDiv w:val="1"/>
      <w:marLeft w:val="0"/>
      <w:marRight w:val="0"/>
      <w:marTop w:val="0"/>
      <w:marBottom w:val="0"/>
      <w:divBdr>
        <w:top w:val="none" w:sz="0" w:space="0" w:color="auto"/>
        <w:left w:val="none" w:sz="0" w:space="0" w:color="auto"/>
        <w:bottom w:val="none" w:sz="0" w:space="0" w:color="auto"/>
        <w:right w:val="none" w:sz="0" w:space="0" w:color="auto"/>
      </w:divBdr>
    </w:div>
    <w:div w:id="1387992178">
      <w:bodyDiv w:val="1"/>
      <w:marLeft w:val="0"/>
      <w:marRight w:val="0"/>
      <w:marTop w:val="0"/>
      <w:marBottom w:val="0"/>
      <w:divBdr>
        <w:top w:val="none" w:sz="0" w:space="0" w:color="auto"/>
        <w:left w:val="none" w:sz="0" w:space="0" w:color="auto"/>
        <w:bottom w:val="none" w:sz="0" w:space="0" w:color="auto"/>
        <w:right w:val="none" w:sz="0" w:space="0" w:color="auto"/>
      </w:divBdr>
    </w:div>
    <w:div w:id="1388142575">
      <w:bodyDiv w:val="1"/>
      <w:marLeft w:val="0"/>
      <w:marRight w:val="0"/>
      <w:marTop w:val="0"/>
      <w:marBottom w:val="0"/>
      <w:divBdr>
        <w:top w:val="none" w:sz="0" w:space="0" w:color="auto"/>
        <w:left w:val="none" w:sz="0" w:space="0" w:color="auto"/>
        <w:bottom w:val="none" w:sz="0" w:space="0" w:color="auto"/>
        <w:right w:val="none" w:sz="0" w:space="0" w:color="auto"/>
      </w:divBdr>
    </w:div>
    <w:div w:id="1388989513">
      <w:bodyDiv w:val="1"/>
      <w:marLeft w:val="0"/>
      <w:marRight w:val="0"/>
      <w:marTop w:val="0"/>
      <w:marBottom w:val="0"/>
      <w:divBdr>
        <w:top w:val="none" w:sz="0" w:space="0" w:color="auto"/>
        <w:left w:val="none" w:sz="0" w:space="0" w:color="auto"/>
        <w:bottom w:val="none" w:sz="0" w:space="0" w:color="auto"/>
        <w:right w:val="none" w:sz="0" w:space="0" w:color="auto"/>
      </w:divBdr>
    </w:div>
    <w:div w:id="1389919847">
      <w:bodyDiv w:val="1"/>
      <w:marLeft w:val="0"/>
      <w:marRight w:val="0"/>
      <w:marTop w:val="0"/>
      <w:marBottom w:val="0"/>
      <w:divBdr>
        <w:top w:val="none" w:sz="0" w:space="0" w:color="auto"/>
        <w:left w:val="none" w:sz="0" w:space="0" w:color="auto"/>
        <w:bottom w:val="none" w:sz="0" w:space="0" w:color="auto"/>
        <w:right w:val="none" w:sz="0" w:space="0" w:color="auto"/>
      </w:divBdr>
    </w:div>
    <w:div w:id="1390181871">
      <w:bodyDiv w:val="1"/>
      <w:marLeft w:val="0"/>
      <w:marRight w:val="0"/>
      <w:marTop w:val="0"/>
      <w:marBottom w:val="0"/>
      <w:divBdr>
        <w:top w:val="none" w:sz="0" w:space="0" w:color="auto"/>
        <w:left w:val="none" w:sz="0" w:space="0" w:color="auto"/>
        <w:bottom w:val="none" w:sz="0" w:space="0" w:color="auto"/>
        <w:right w:val="none" w:sz="0" w:space="0" w:color="auto"/>
      </w:divBdr>
    </w:div>
    <w:div w:id="1390497011">
      <w:bodyDiv w:val="1"/>
      <w:marLeft w:val="0"/>
      <w:marRight w:val="0"/>
      <w:marTop w:val="0"/>
      <w:marBottom w:val="0"/>
      <w:divBdr>
        <w:top w:val="none" w:sz="0" w:space="0" w:color="auto"/>
        <w:left w:val="none" w:sz="0" w:space="0" w:color="auto"/>
        <w:bottom w:val="none" w:sz="0" w:space="0" w:color="auto"/>
        <w:right w:val="none" w:sz="0" w:space="0" w:color="auto"/>
      </w:divBdr>
    </w:div>
    <w:div w:id="1391923773">
      <w:bodyDiv w:val="1"/>
      <w:marLeft w:val="0"/>
      <w:marRight w:val="0"/>
      <w:marTop w:val="0"/>
      <w:marBottom w:val="0"/>
      <w:divBdr>
        <w:top w:val="none" w:sz="0" w:space="0" w:color="auto"/>
        <w:left w:val="none" w:sz="0" w:space="0" w:color="auto"/>
        <w:bottom w:val="none" w:sz="0" w:space="0" w:color="auto"/>
        <w:right w:val="none" w:sz="0" w:space="0" w:color="auto"/>
      </w:divBdr>
    </w:div>
    <w:div w:id="1392121862">
      <w:bodyDiv w:val="1"/>
      <w:marLeft w:val="0"/>
      <w:marRight w:val="0"/>
      <w:marTop w:val="0"/>
      <w:marBottom w:val="0"/>
      <w:divBdr>
        <w:top w:val="none" w:sz="0" w:space="0" w:color="auto"/>
        <w:left w:val="none" w:sz="0" w:space="0" w:color="auto"/>
        <w:bottom w:val="none" w:sz="0" w:space="0" w:color="auto"/>
        <w:right w:val="none" w:sz="0" w:space="0" w:color="auto"/>
      </w:divBdr>
    </w:div>
    <w:div w:id="1393429509">
      <w:bodyDiv w:val="1"/>
      <w:marLeft w:val="0"/>
      <w:marRight w:val="0"/>
      <w:marTop w:val="0"/>
      <w:marBottom w:val="0"/>
      <w:divBdr>
        <w:top w:val="none" w:sz="0" w:space="0" w:color="auto"/>
        <w:left w:val="none" w:sz="0" w:space="0" w:color="auto"/>
        <w:bottom w:val="none" w:sz="0" w:space="0" w:color="auto"/>
        <w:right w:val="none" w:sz="0" w:space="0" w:color="auto"/>
      </w:divBdr>
    </w:div>
    <w:div w:id="1393503340">
      <w:bodyDiv w:val="1"/>
      <w:marLeft w:val="0"/>
      <w:marRight w:val="0"/>
      <w:marTop w:val="0"/>
      <w:marBottom w:val="0"/>
      <w:divBdr>
        <w:top w:val="none" w:sz="0" w:space="0" w:color="auto"/>
        <w:left w:val="none" w:sz="0" w:space="0" w:color="auto"/>
        <w:bottom w:val="none" w:sz="0" w:space="0" w:color="auto"/>
        <w:right w:val="none" w:sz="0" w:space="0" w:color="auto"/>
      </w:divBdr>
    </w:div>
    <w:div w:id="1394810191">
      <w:bodyDiv w:val="1"/>
      <w:marLeft w:val="0"/>
      <w:marRight w:val="0"/>
      <w:marTop w:val="0"/>
      <w:marBottom w:val="0"/>
      <w:divBdr>
        <w:top w:val="none" w:sz="0" w:space="0" w:color="auto"/>
        <w:left w:val="none" w:sz="0" w:space="0" w:color="auto"/>
        <w:bottom w:val="none" w:sz="0" w:space="0" w:color="auto"/>
        <w:right w:val="none" w:sz="0" w:space="0" w:color="auto"/>
      </w:divBdr>
    </w:div>
    <w:div w:id="1395085824">
      <w:bodyDiv w:val="1"/>
      <w:marLeft w:val="0"/>
      <w:marRight w:val="0"/>
      <w:marTop w:val="0"/>
      <w:marBottom w:val="0"/>
      <w:divBdr>
        <w:top w:val="none" w:sz="0" w:space="0" w:color="auto"/>
        <w:left w:val="none" w:sz="0" w:space="0" w:color="auto"/>
        <w:bottom w:val="none" w:sz="0" w:space="0" w:color="auto"/>
        <w:right w:val="none" w:sz="0" w:space="0" w:color="auto"/>
      </w:divBdr>
    </w:div>
    <w:div w:id="1396196038">
      <w:bodyDiv w:val="1"/>
      <w:marLeft w:val="0"/>
      <w:marRight w:val="0"/>
      <w:marTop w:val="0"/>
      <w:marBottom w:val="0"/>
      <w:divBdr>
        <w:top w:val="none" w:sz="0" w:space="0" w:color="auto"/>
        <w:left w:val="none" w:sz="0" w:space="0" w:color="auto"/>
        <w:bottom w:val="none" w:sz="0" w:space="0" w:color="auto"/>
        <w:right w:val="none" w:sz="0" w:space="0" w:color="auto"/>
      </w:divBdr>
    </w:div>
    <w:div w:id="1396507276">
      <w:bodyDiv w:val="1"/>
      <w:marLeft w:val="0"/>
      <w:marRight w:val="0"/>
      <w:marTop w:val="0"/>
      <w:marBottom w:val="0"/>
      <w:divBdr>
        <w:top w:val="none" w:sz="0" w:space="0" w:color="auto"/>
        <w:left w:val="none" w:sz="0" w:space="0" w:color="auto"/>
        <w:bottom w:val="none" w:sz="0" w:space="0" w:color="auto"/>
        <w:right w:val="none" w:sz="0" w:space="0" w:color="auto"/>
      </w:divBdr>
    </w:div>
    <w:div w:id="1397820897">
      <w:bodyDiv w:val="1"/>
      <w:marLeft w:val="0"/>
      <w:marRight w:val="0"/>
      <w:marTop w:val="0"/>
      <w:marBottom w:val="0"/>
      <w:divBdr>
        <w:top w:val="none" w:sz="0" w:space="0" w:color="auto"/>
        <w:left w:val="none" w:sz="0" w:space="0" w:color="auto"/>
        <w:bottom w:val="none" w:sz="0" w:space="0" w:color="auto"/>
        <w:right w:val="none" w:sz="0" w:space="0" w:color="auto"/>
      </w:divBdr>
    </w:div>
    <w:div w:id="1397826121">
      <w:bodyDiv w:val="1"/>
      <w:marLeft w:val="0"/>
      <w:marRight w:val="0"/>
      <w:marTop w:val="0"/>
      <w:marBottom w:val="0"/>
      <w:divBdr>
        <w:top w:val="none" w:sz="0" w:space="0" w:color="auto"/>
        <w:left w:val="none" w:sz="0" w:space="0" w:color="auto"/>
        <w:bottom w:val="none" w:sz="0" w:space="0" w:color="auto"/>
        <w:right w:val="none" w:sz="0" w:space="0" w:color="auto"/>
      </w:divBdr>
    </w:div>
    <w:div w:id="1397895235">
      <w:bodyDiv w:val="1"/>
      <w:marLeft w:val="0"/>
      <w:marRight w:val="0"/>
      <w:marTop w:val="0"/>
      <w:marBottom w:val="0"/>
      <w:divBdr>
        <w:top w:val="none" w:sz="0" w:space="0" w:color="auto"/>
        <w:left w:val="none" w:sz="0" w:space="0" w:color="auto"/>
        <w:bottom w:val="none" w:sz="0" w:space="0" w:color="auto"/>
        <w:right w:val="none" w:sz="0" w:space="0" w:color="auto"/>
      </w:divBdr>
    </w:div>
    <w:div w:id="1398284772">
      <w:bodyDiv w:val="1"/>
      <w:marLeft w:val="0"/>
      <w:marRight w:val="0"/>
      <w:marTop w:val="0"/>
      <w:marBottom w:val="0"/>
      <w:divBdr>
        <w:top w:val="none" w:sz="0" w:space="0" w:color="auto"/>
        <w:left w:val="none" w:sz="0" w:space="0" w:color="auto"/>
        <w:bottom w:val="none" w:sz="0" w:space="0" w:color="auto"/>
        <w:right w:val="none" w:sz="0" w:space="0" w:color="auto"/>
      </w:divBdr>
    </w:div>
    <w:div w:id="1398628415">
      <w:bodyDiv w:val="1"/>
      <w:marLeft w:val="0"/>
      <w:marRight w:val="0"/>
      <w:marTop w:val="0"/>
      <w:marBottom w:val="0"/>
      <w:divBdr>
        <w:top w:val="none" w:sz="0" w:space="0" w:color="auto"/>
        <w:left w:val="none" w:sz="0" w:space="0" w:color="auto"/>
        <w:bottom w:val="none" w:sz="0" w:space="0" w:color="auto"/>
        <w:right w:val="none" w:sz="0" w:space="0" w:color="auto"/>
      </w:divBdr>
    </w:div>
    <w:div w:id="1399086594">
      <w:bodyDiv w:val="1"/>
      <w:marLeft w:val="0"/>
      <w:marRight w:val="0"/>
      <w:marTop w:val="0"/>
      <w:marBottom w:val="0"/>
      <w:divBdr>
        <w:top w:val="none" w:sz="0" w:space="0" w:color="auto"/>
        <w:left w:val="none" w:sz="0" w:space="0" w:color="auto"/>
        <w:bottom w:val="none" w:sz="0" w:space="0" w:color="auto"/>
        <w:right w:val="none" w:sz="0" w:space="0" w:color="auto"/>
      </w:divBdr>
    </w:div>
    <w:div w:id="1401051094">
      <w:bodyDiv w:val="1"/>
      <w:marLeft w:val="0"/>
      <w:marRight w:val="0"/>
      <w:marTop w:val="0"/>
      <w:marBottom w:val="0"/>
      <w:divBdr>
        <w:top w:val="none" w:sz="0" w:space="0" w:color="auto"/>
        <w:left w:val="none" w:sz="0" w:space="0" w:color="auto"/>
        <w:bottom w:val="none" w:sz="0" w:space="0" w:color="auto"/>
        <w:right w:val="none" w:sz="0" w:space="0" w:color="auto"/>
      </w:divBdr>
    </w:div>
    <w:div w:id="1401170432">
      <w:bodyDiv w:val="1"/>
      <w:marLeft w:val="0"/>
      <w:marRight w:val="0"/>
      <w:marTop w:val="0"/>
      <w:marBottom w:val="0"/>
      <w:divBdr>
        <w:top w:val="none" w:sz="0" w:space="0" w:color="auto"/>
        <w:left w:val="none" w:sz="0" w:space="0" w:color="auto"/>
        <w:bottom w:val="none" w:sz="0" w:space="0" w:color="auto"/>
        <w:right w:val="none" w:sz="0" w:space="0" w:color="auto"/>
      </w:divBdr>
    </w:div>
    <w:div w:id="1402870068">
      <w:bodyDiv w:val="1"/>
      <w:marLeft w:val="0"/>
      <w:marRight w:val="0"/>
      <w:marTop w:val="0"/>
      <w:marBottom w:val="0"/>
      <w:divBdr>
        <w:top w:val="none" w:sz="0" w:space="0" w:color="auto"/>
        <w:left w:val="none" w:sz="0" w:space="0" w:color="auto"/>
        <w:bottom w:val="none" w:sz="0" w:space="0" w:color="auto"/>
        <w:right w:val="none" w:sz="0" w:space="0" w:color="auto"/>
      </w:divBdr>
    </w:div>
    <w:div w:id="1403064749">
      <w:bodyDiv w:val="1"/>
      <w:marLeft w:val="0"/>
      <w:marRight w:val="0"/>
      <w:marTop w:val="0"/>
      <w:marBottom w:val="0"/>
      <w:divBdr>
        <w:top w:val="none" w:sz="0" w:space="0" w:color="auto"/>
        <w:left w:val="none" w:sz="0" w:space="0" w:color="auto"/>
        <w:bottom w:val="none" w:sz="0" w:space="0" w:color="auto"/>
        <w:right w:val="none" w:sz="0" w:space="0" w:color="auto"/>
      </w:divBdr>
    </w:div>
    <w:div w:id="1403329475">
      <w:bodyDiv w:val="1"/>
      <w:marLeft w:val="0"/>
      <w:marRight w:val="0"/>
      <w:marTop w:val="0"/>
      <w:marBottom w:val="0"/>
      <w:divBdr>
        <w:top w:val="none" w:sz="0" w:space="0" w:color="auto"/>
        <w:left w:val="none" w:sz="0" w:space="0" w:color="auto"/>
        <w:bottom w:val="none" w:sz="0" w:space="0" w:color="auto"/>
        <w:right w:val="none" w:sz="0" w:space="0" w:color="auto"/>
      </w:divBdr>
    </w:div>
    <w:div w:id="1403672368">
      <w:bodyDiv w:val="1"/>
      <w:marLeft w:val="0"/>
      <w:marRight w:val="0"/>
      <w:marTop w:val="0"/>
      <w:marBottom w:val="0"/>
      <w:divBdr>
        <w:top w:val="none" w:sz="0" w:space="0" w:color="auto"/>
        <w:left w:val="none" w:sz="0" w:space="0" w:color="auto"/>
        <w:bottom w:val="none" w:sz="0" w:space="0" w:color="auto"/>
        <w:right w:val="none" w:sz="0" w:space="0" w:color="auto"/>
      </w:divBdr>
    </w:div>
    <w:div w:id="1403672576">
      <w:bodyDiv w:val="1"/>
      <w:marLeft w:val="0"/>
      <w:marRight w:val="0"/>
      <w:marTop w:val="0"/>
      <w:marBottom w:val="0"/>
      <w:divBdr>
        <w:top w:val="none" w:sz="0" w:space="0" w:color="auto"/>
        <w:left w:val="none" w:sz="0" w:space="0" w:color="auto"/>
        <w:bottom w:val="none" w:sz="0" w:space="0" w:color="auto"/>
        <w:right w:val="none" w:sz="0" w:space="0" w:color="auto"/>
      </w:divBdr>
    </w:div>
    <w:div w:id="1403990691">
      <w:bodyDiv w:val="1"/>
      <w:marLeft w:val="0"/>
      <w:marRight w:val="0"/>
      <w:marTop w:val="0"/>
      <w:marBottom w:val="0"/>
      <w:divBdr>
        <w:top w:val="none" w:sz="0" w:space="0" w:color="auto"/>
        <w:left w:val="none" w:sz="0" w:space="0" w:color="auto"/>
        <w:bottom w:val="none" w:sz="0" w:space="0" w:color="auto"/>
        <w:right w:val="none" w:sz="0" w:space="0" w:color="auto"/>
      </w:divBdr>
    </w:div>
    <w:div w:id="1404329061">
      <w:bodyDiv w:val="1"/>
      <w:marLeft w:val="0"/>
      <w:marRight w:val="0"/>
      <w:marTop w:val="0"/>
      <w:marBottom w:val="0"/>
      <w:divBdr>
        <w:top w:val="none" w:sz="0" w:space="0" w:color="auto"/>
        <w:left w:val="none" w:sz="0" w:space="0" w:color="auto"/>
        <w:bottom w:val="none" w:sz="0" w:space="0" w:color="auto"/>
        <w:right w:val="none" w:sz="0" w:space="0" w:color="auto"/>
      </w:divBdr>
    </w:div>
    <w:div w:id="1404985643">
      <w:bodyDiv w:val="1"/>
      <w:marLeft w:val="0"/>
      <w:marRight w:val="0"/>
      <w:marTop w:val="0"/>
      <w:marBottom w:val="0"/>
      <w:divBdr>
        <w:top w:val="none" w:sz="0" w:space="0" w:color="auto"/>
        <w:left w:val="none" w:sz="0" w:space="0" w:color="auto"/>
        <w:bottom w:val="none" w:sz="0" w:space="0" w:color="auto"/>
        <w:right w:val="none" w:sz="0" w:space="0" w:color="auto"/>
      </w:divBdr>
    </w:div>
    <w:div w:id="1405908493">
      <w:bodyDiv w:val="1"/>
      <w:marLeft w:val="0"/>
      <w:marRight w:val="0"/>
      <w:marTop w:val="0"/>
      <w:marBottom w:val="0"/>
      <w:divBdr>
        <w:top w:val="none" w:sz="0" w:space="0" w:color="auto"/>
        <w:left w:val="none" w:sz="0" w:space="0" w:color="auto"/>
        <w:bottom w:val="none" w:sz="0" w:space="0" w:color="auto"/>
        <w:right w:val="none" w:sz="0" w:space="0" w:color="auto"/>
      </w:divBdr>
    </w:div>
    <w:div w:id="1406680171">
      <w:bodyDiv w:val="1"/>
      <w:marLeft w:val="0"/>
      <w:marRight w:val="0"/>
      <w:marTop w:val="0"/>
      <w:marBottom w:val="0"/>
      <w:divBdr>
        <w:top w:val="none" w:sz="0" w:space="0" w:color="auto"/>
        <w:left w:val="none" w:sz="0" w:space="0" w:color="auto"/>
        <w:bottom w:val="none" w:sz="0" w:space="0" w:color="auto"/>
        <w:right w:val="none" w:sz="0" w:space="0" w:color="auto"/>
      </w:divBdr>
    </w:div>
    <w:div w:id="1408461702">
      <w:bodyDiv w:val="1"/>
      <w:marLeft w:val="0"/>
      <w:marRight w:val="0"/>
      <w:marTop w:val="0"/>
      <w:marBottom w:val="0"/>
      <w:divBdr>
        <w:top w:val="none" w:sz="0" w:space="0" w:color="auto"/>
        <w:left w:val="none" w:sz="0" w:space="0" w:color="auto"/>
        <w:bottom w:val="none" w:sz="0" w:space="0" w:color="auto"/>
        <w:right w:val="none" w:sz="0" w:space="0" w:color="auto"/>
      </w:divBdr>
    </w:div>
    <w:div w:id="1408578859">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09422293">
      <w:bodyDiv w:val="1"/>
      <w:marLeft w:val="0"/>
      <w:marRight w:val="0"/>
      <w:marTop w:val="0"/>
      <w:marBottom w:val="0"/>
      <w:divBdr>
        <w:top w:val="none" w:sz="0" w:space="0" w:color="auto"/>
        <w:left w:val="none" w:sz="0" w:space="0" w:color="auto"/>
        <w:bottom w:val="none" w:sz="0" w:space="0" w:color="auto"/>
        <w:right w:val="none" w:sz="0" w:space="0" w:color="auto"/>
      </w:divBdr>
    </w:div>
    <w:div w:id="1409880544">
      <w:bodyDiv w:val="1"/>
      <w:marLeft w:val="0"/>
      <w:marRight w:val="0"/>
      <w:marTop w:val="0"/>
      <w:marBottom w:val="0"/>
      <w:divBdr>
        <w:top w:val="none" w:sz="0" w:space="0" w:color="auto"/>
        <w:left w:val="none" w:sz="0" w:space="0" w:color="auto"/>
        <w:bottom w:val="none" w:sz="0" w:space="0" w:color="auto"/>
        <w:right w:val="none" w:sz="0" w:space="0" w:color="auto"/>
      </w:divBdr>
    </w:div>
    <w:div w:id="1409956503">
      <w:bodyDiv w:val="1"/>
      <w:marLeft w:val="0"/>
      <w:marRight w:val="0"/>
      <w:marTop w:val="0"/>
      <w:marBottom w:val="0"/>
      <w:divBdr>
        <w:top w:val="none" w:sz="0" w:space="0" w:color="auto"/>
        <w:left w:val="none" w:sz="0" w:space="0" w:color="auto"/>
        <w:bottom w:val="none" w:sz="0" w:space="0" w:color="auto"/>
        <w:right w:val="none" w:sz="0" w:space="0" w:color="auto"/>
      </w:divBdr>
    </w:div>
    <w:div w:id="1410889190">
      <w:bodyDiv w:val="1"/>
      <w:marLeft w:val="0"/>
      <w:marRight w:val="0"/>
      <w:marTop w:val="0"/>
      <w:marBottom w:val="0"/>
      <w:divBdr>
        <w:top w:val="none" w:sz="0" w:space="0" w:color="auto"/>
        <w:left w:val="none" w:sz="0" w:space="0" w:color="auto"/>
        <w:bottom w:val="none" w:sz="0" w:space="0" w:color="auto"/>
        <w:right w:val="none" w:sz="0" w:space="0" w:color="auto"/>
      </w:divBdr>
    </w:div>
    <w:div w:id="1411391978">
      <w:bodyDiv w:val="1"/>
      <w:marLeft w:val="0"/>
      <w:marRight w:val="0"/>
      <w:marTop w:val="0"/>
      <w:marBottom w:val="0"/>
      <w:divBdr>
        <w:top w:val="none" w:sz="0" w:space="0" w:color="auto"/>
        <w:left w:val="none" w:sz="0" w:space="0" w:color="auto"/>
        <w:bottom w:val="none" w:sz="0" w:space="0" w:color="auto"/>
        <w:right w:val="none" w:sz="0" w:space="0" w:color="auto"/>
      </w:divBdr>
    </w:div>
    <w:div w:id="1411538450">
      <w:bodyDiv w:val="1"/>
      <w:marLeft w:val="0"/>
      <w:marRight w:val="0"/>
      <w:marTop w:val="0"/>
      <w:marBottom w:val="0"/>
      <w:divBdr>
        <w:top w:val="none" w:sz="0" w:space="0" w:color="auto"/>
        <w:left w:val="none" w:sz="0" w:space="0" w:color="auto"/>
        <w:bottom w:val="none" w:sz="0" w:space="0" w:color="auto"/>
        <w:right w:val="none" w:sz="0" w:space="0" w:color="auto"/>
      </w:divBdr>
    </w:div>
    <w:div w:id="1413355562">
      <w:bodyDiv w:val="1"/>
      <w:marLeft w:val="0"/>
      <w:marRight w:val="0"/>
      <w:marTop w:val="0"/>
      <w:marBottom w:val="0"/>
      <w:divBdr>
        <w:top w:val="none" w:sz="0" w:space="0" w:color="auto"/>
        <w:left w:val="none" w:sz="0" w:space="0" w:color="auto"/>
        <w:bottom w:val="none" w:sz="0" w:space="0" w:color="auto"/>
        <w:right w:val="none" w:sz="0" w:space="0" w:color="auto"/>
      </w:divBdr>
    </w:div>
    <w:div w:id="1414354691">
      <w:bodyDiv w:val="1"/>
      <w:marLeft w:val="0"/>
      <w:marRight w:val="0"/>
      <w:marTop w:val="0"/>
      <w:marBottom w:val="0"/>
      <w:divBdr>
        <w:top w:val="none" w:sz="0" w:space="0" w:color="auto"/>
        <w:left w:val="none" w:sz="0" w:space="0" w:color="auto"/>
        <w:bottom w:val="none" w:sz="0" w:space="0" w:color="auto"/>
        <w:right w:val="none" w:sz="0" w:space="0" w:color="auto"/>
      </w:divBdr>
    </w:div>
    <w:div w:id="1415125405">
      <w:bodyDiv w:val="1"/>
      <w:marLeft w:val="0"/>
      <w:marRight w:val="0"/>
      <w:marTop w:val="0"/>
      <w:marBottom w:val="0"/>
      <w:divBdr>
        <w:top w:val="none" w:sz="0" w:space="0" w:color="auto"/>
        <w:left w:val="none" w:sz="0" w:space="0" w:color="auto"/>
        <w:bottom w:val="none" w:sz="0" w:space="0" w:color="auto"/>
        <w:right w:val="none" w:sz="0" w:space="0" w:color="auto"/>
      </w:divBdr>
    </w:div>
    <w:div w:id="1416322403">
      <w:bodyDiv w:val="1"/>
      <w:marLeft w:val="0"/>
      <w:marRight w:val="0"/>
      <w:marTop w:val="0"/>
      <w:marBottom w:val="0"/>
      <w:divBdr>
        <w:top w:val="none" w:sz="0" w:space="0" w:color="auto"/>
        <w:left w:val="none" w:sz="0" w:space="0" w:color="auto"/>
        <w:bottom w:val="none" w:sz="0" w:space="0" w:color="auto"/>
        <w:right w:val="none" w:sz="0" w:space="0" w:color="auto"/>
      </w:divBdr>
    </w:div>
    <w:div w:id="1417747592">
      <w:bodyDiv w:val="1"/>
      <w:marLeft w:val="0"/>
      <w:marRight w:val="0"/>
      <w:marTop w:val="0"/>
      <w:marBottom w:val="0"/>
      <w:divBdr>
        <w:top w:val="none" w:sz="0" w:space="0" w:color="auto"/>
        <w:left w:val="none" w:sz="0" w:space="0" w:color="auto"/>
        <w:bottom w:val="none" w:sz="0" w:space="0" w:color="auto"/>
        <w:right w:val="none" w:sz="0" w:space="0" w:color="auto"/>
      </w:divBdr>
    </w:div>
    <w:div w:id="1418210023">
      <w:bodyDiv w:val="1"/>
      <w:marLeft w:val="0"/>
      <w:marRight w:val="0"/>
      <w:marTop w:val="0"/>
      <w:marBottom w:val="0"/>
      <w:divBdr>
        <w:top w:val="none" w:sz="0" w:space="0" w:color="auto"/>
        <w:left w:val="none" w:sz="0" w:space="0" w:color="auto"/>
        <w:bottom w:val="none" w:sz="0" w:space="0" w:color="auto"/>
        <w:right w:val="none" w:sz="0" w:space="0" w:color="auto"/>
      </w:divBdr>
    </w:div>
    <w:div w:id="1418945972">
      <w:bodyDiv w:val="1"/>
      <w:marLeft w:val="0"/>
      <w:marRight w:val="0"/>
      <w:marTop w:val="0"/>
      <w:marBottom w:val="0"/>
      <w:divBdr>
        <w:top w:val="none" w:sz="0" w:space="0" w:color="auto"/>
        <w:left w:val="none" w:sz="0" w:space="0" w:color="auto"/>
        <w:bottom w:val="none" w:sz="0" w:space="0" w:color="auto"/>
        <w:right w:val="none" w:sz="0" w:space="0" w:color="auto"/>
      </w:divBdr>
    </w:div>
    <w:div w:id="1419406257">
      <w:bodyDiv w:val="1"/>
      <w:marLeft w:val="0"/>
      <w:marRight w:val="0"/>
      <w:marTop w:val="0"/>
      <w:marBottom w:val="0"/>
      <w:divBdr>
        <w:top w:val="none" w:sz="0" w:space="0" w:color="auto"/>
        <w:left w:val="none" w:sz="0" w:space="0" w:color="auto"/>
        <w:bottom w:val="none" w:sz="0" w:space="0" w:color="auto"/>
        <w:right w:val="none" w:sz="0" w:space="0" w:color="auto"/>
      </w:divBdr>
    </w:div>
    <w:div w:id="1419985042">
      <w:bodyDiv w:val="1"/>
      <w:marLeft w:val="0"/>
      <w:marRight w:val="0"/>
      <w:marTop w:val="0"/>
      <w:marBottom w:val="0"/>
      <w:divBdr>
        <w:top w:val="none" w:sz="0" w:space="0" w:color="auto"/>
        <w:left w:val="none" w:sz="0" w:space="0" w:color="auto"/>
        <w:bottom w:val="none" w:sz="0" w:space="0" w:color="auto"/>
        <w:right w:val="none" w:sz="0" w:space="0" w:color="auto"/>
      </w:divBdr>
    </w:div>
    <w:div w:id="1420130800">
      <w:bodyDiv w:val="1"/>
      <w:marLeft w:val="0"/>
      <w:marRight w:val="0"/>
      <w:marTop w:val="0"/>
      <w:marBottom w:val="0"/>
      <w:divBdr>
        <w:top w:val="none" w:sz="0" w:space="0" w:color="auto"/>
        <w:left w:val="none" w:sz="0" w:space="0" w:color="auto"/>
        <w:bottom w:val="none" w:sz="0" w:space="0" w:color="auto"/>
        <w:right w:val="none" w:sz="0" w:space="0" w:color="auto"/>
      </w:divBdr>
    </w:div>
    <w:div w:id="1421636297">
      <w:bodyDiv w:val="1"/>
      <w:marLeft w:val="0"/>
      <w:marRight w:val="0"/>
      <w:marTop w:val="0"/>
      <w:marBottom w:val="0"/>
      <w:divBdr>
        <w:top w:val="none" w:sz="0" w:space="0" w:color="auto"/>
        <w:left w:val="none" w:sz="0" w:space="0" w:color="auto"/>
        <w:bottom w:val="none" w:sz="0" w:space="0" w:color="auto"/>
        <w:right w:val="none" w:sz="0" w:space="0" w:color="auto"/>
      </w:divBdr>
    </w:div>
    <w:div w:id="1424104995">
      <w:bodyDiv w:val="1"/>
      <w:marLeft w:val="0"/>
      <w:marRight w:val="0"/>
      <w:marTop w:val="0"/>
      <w:marBottom w:val="0"/>
      <w:divBdr>
        <w:top w:val="none" w:sz="0" w:space="0" w:color="auto"/>
        <w:left w:val="none" w:sz="0" w:space="0" w:color="auto"/>
        <w:bottom w:val="none" w:sz="0" w:space="0" w:color="auto"/>
        <w:right w:val="none" w:sz="0" w:space="0" w:color="auto"/>
      </w:divBdr>
    </w:div>
    <w:div w:id="1427195506">
      <w:bodyDiv w:val="1"/>
      <w:marLeft w:val="0"/>
      <w:marRight w:val="0"/>
      <w:marTop w:val="0"/>
      <w:marBottom w:val="0"/>
      <w:divBdr>
        <w:top w:val="none" w:sz="0" w:space="0" w:color="auto"/>
        <w:left w:val="none" w:sz="0" w:space="0" w:color="auto"/>
        <w:bottom w:val="none" w:sz="0" w:space="0" w:color="auto"/>
        <w:right w:val="none" w:sz="0" w:space="0" w:color="auto"/>
      </w:divBdr>
    </w:div>
    <w:div w:id="1428578912">
      <w:bodyDiv w:val="1"/>
      <w:marLeft w:val="0"/>
      <w:marRight w:val="0"/>
      <w:marTop w:val="0"/>
      <w:marBottom w:val="0"/>
      <w:divBdr>
        <w:top w:val="none" w:sz="0" w:space="0" w:color="auto"/>
        <w:left w:val="none" w:sz="0" w:space="0" w:color="auto"/>
        <w:bottom w:val="none" w:sz="0" w:space="0" w:color="auto"/>
        <w:right w:val="none" w:sz="0" w:space="0" w:color="auto"/>
      </w:divBdr>
    </w:div>
    <w:div w:id="1430001513">
      <w:bodyDiv w:val="1"/>
      <w:marLeft w:val="0"/>
      <w:marRight w:val="0"/>
      <w:marTop w:val="0"/>
      <w:marBottom w:val="0"/>
      <w:divBdr>
        <w:top w:val="none" w:sz="0" w:space="0" w:color="auto"/>
        <w:left w:val="none" w:sz="0" w:space="0" w:color="auto"/>
        <w:bottom w:val="none" w:sz="0" w:space="0" w:color="auto"/>
        <w:right w:val="none" w:sz="0" w:space="0" w:color="auto"/>
      </w:divBdr>
    </w:div>
    <w:div w:id="1430588991">
      <w:bodyDiv w:val="1"/>
      <w:marLeft w:val="0"/>
      <w:marRight w:val="0"/>
      <w:marTop w:val="0"/>
      <w:marBottom w:val="0"/>
      <w:divBdr>
        <w:top w:val="none" w:sz="0" w:space="0" w:color="auto"/>
        <w:left w:val="none" w:sz="0" w:space="0" w:color="auto"/>
        <w:bottom w:val="none" w:sz="0" w:space="0" w:color="auto"/>
        <w:right w:val="none" w:sz="0" w:space="0" w:color="auto"/>
      </w:divBdr>
    </w:div>
    <w:div w:id="1430659872">
      <w:bodyDiv w:val="1"/>
      <w:marLeft w:val="0"/>
      <w:marRight w:val="0"/>
      <w:marTop w:val="0"/>
      <w:marBottom w:val="0"/>
      <w:divBdr>
        <w:top w:val="none" w:sz="0" w:space="0" w:color="auto"/>
        <w:left w:val="none" w:sz="0" w:space="0" w:color="auto"/>
        <w:bottom w:val="none" w:sz="0" w:space="0" w:color="auto"/>
        <w:right w:val="none" w:sz="0" w:space="0" w:color="auto"/>
      </w:divBdr>
    </w:div>
    <w:div w:id="1431196372">
      <w:bodyDiv w:val="1"/>
      <w:marLeft w:val="0"/>
      <w:marRight w:val="0"/>
      <w:marTop w:val="0"/>
      <w:marBottom w:val="0"/>
      <w:divBdr>
        <w:top w:val="none" w:sz="0" w:space="0" w:color="auto"/>
        <w:left w:val="none" w:sz="0" w:space="0" w:color="auto"/>
        <w:bottom w:val="none" w:sz="0" w:space="0" w:color="auto"/>
        <w:right w:val="none" w:sz="0" w:space="0" w:color="auto"/>
      </w:divBdr>
    </w:div>
    <w:div w:id="1431242871">
      <w:bodyDiv w:val="1"/>
      <w:marLeft w:val="0"/>
      <w:marRight w:val="0"/>
      <w:marTop w:val="0"/>
      <w:marBottom w:val="0"/>
      <w:divBdr>
        <w:top w:val="none" w:sz="0" w:space="0" w:color="auto"/>
        <w:left w:val="none" w:sz="0" w:space="0" w:color="auto"/>
        <w:bottom w:val="none" w:sz="0" w:space="0" w:color="auto"/>
        <w:right w:val="none" w:sz="0" w:space="0" w:color="auto"/>
      </w:divBdr>
    </w:div>
    <w:div w:id="1431775628">
      <w:bodyDiv w:val="1"/>
      <w:marLeft w:val="0"/>
      <w:marRight w:val="0"/>
      <w:marTop w:val="0"/>
      <w:marBottom w:val="0"/>
      <w:divBdr>
        <w:top w:val="none" w:sz="0" w:space="0" w:color="auto"/>
        <w:left w:val="none" w:sz="0" w:space="0" w:color="auto"/>
        <w:bottom w:val="none" w:sz="0" w:space="0" w:color="auto"/>
        <w:right w:val="none" w:sz="0" w:space="0" w:color="auto"/>
      </w:divBdr>
    </w:div>
    <w:div w:id="1432316964">
      <w:bodyDiv w:val="1"/>
      <w:marLeft w:val="0"/>
      <w:marRight w:val="0"/>
      <w:marTop w:val="0"/>
      <w:marBottom w:val="0"/>
      <w:divBdr>
        <w:top w:val="none" w:sz="0" w:space="0" w:color="auto"/>
        <w:left w:val="none" w:sz="0" w:space="0" w:color="auto"/>
        <w:bottom w:val="none" w:sz="0" w:space="0" w:color="auto"/>
        <w:right w:val="none" w:sz="0" w:space="0" w:color="auto"/>
      </w:divBdr>
    </w:div>
    <w:div w:id="1433236614">
      <w:bodyDiv w:val="1"/>
      <w:marLeft w:val="0"/>
      <w:marRight w:val="0"/>
      <w:marTop w:val="0"/>
      <w:marBottom w:val="0"/>
      <w:divBdr>
        <w:top w:val="none" w:sz="0" w:space="0" w:color="auto"/>
        <w:left w:val="none" w:sz="0" w:space="0" w:color="auto"/>
        <w:bottom w:val="none" w:sz="0" w:space="0" w:color="auto"/>
        <w:right w:val="none" w:sz="0" w:space="0" w:color="auto"/>
      </w:divBdr>
    </w:div>
    <w:div w:id="1435245746">
      <w:bodyDiv w:val="1"/>
      <w:marLeft w:val="0"/>
      <w:marRight w:val="0"/>
      <w:marTop w:val="0"/>
      <w:marBottom w:val="0"/>
      <w:divBdr>
        <w:top w:val="none" w:sz="0" w:space="0" w:color="auto"/>
        <w:left w:val="none" w:sz="0" w:space="0" w:color="auto"/>
        <w:bottom w:val="none" w:sz="0" w:space="0" w:color="auto"/>
        <w:right w:val="none" w:sz="0" w:space="0" w:color="auto"/>
      </w:divBdr>
    </w:div>
    <w:div w:id="1435592841">
      <w:bodyDiv w:val="1"/>
      <w:marLeft w:val="0"/>
      <w:marRight w:val="0"/>
      <w:marTop w:val="0"/>
      <w:marBottom w:val="0"/>
      <w:divBdr>
        <w:top w:val="none" w:sz="0" w:space="0" w:color="auto"/>
        <w:left w:val="none" w:sz="0" w:space="0" w:color="auto"/>
        <w:bottom w:val="none" w:sz="0" w:space="0" w:color="auto"/>
        <w:right w:val="none" w:sz="0" w:space="0" w:color="auto"/>
      </w:divBdr>
    </w:div>
    <w:div w:id="1435829305">
      <w:bodyDiv w:val="1"/>
      <w:marLeft w:val="0"/>
      <w:marRight w:val="0"/>
      <w:marTop w:val="0"/>
      <w:marBottom w:val="0"/>
      <w:divBdr>
        <w:top w:val="none" w:sz="0" w:space="0" w:color="auto"/>
        <w:left w:val="none" w:sz="0" w:space="0" w:color="auto"/>
        <w:bottom w:val="none" w:sz="0" w:space="0" w:color="auto"/>
        <w:right w:val="none" w:sz="0" w:space="0" w:color="auto"/>
      </w:divBdr>
    </w:div>
    <w:div w:id="1436899063">
      <w:bodyDiv w:val="1"/>
      <w:marLeft w:val="0"/>
      <w:marRight w:val="0"/>
      <w:marTop w:val="0"/>
      <w:marBottom w:val="0"/>
      <w:divBdr>
        <w:top w:val="none" w:sz="0" w:space="0" w:color="auto"/>
        <w:left w:val="none" w:sz="0" w:space="0" w:color="auto"/>
        <w:bottom w:val="none" w:sz="0" w:space="0" w:color="auto"/>
        <w:right w:val="none" w:sz="0" w:space="0" w:color="auto"/>
      </w:divBdr>
    </w:div>
    <w:div w:id="1437628893">
      <w:bodyDiv w:val="1"/>
      <w:marLeft w:val="0"/>
      <w:marRight w:val="0"/>
      <w:marTop w:val="0"/>
      <w:marBottom w:val="0"/>
      <w:divBdr>
        <w:top w:val="none" w:sz="0" w:space="0" w:color="auto"/>
        <w:left w:val="none" w:sz="0" w:space="0" w:color="auto"/>
        <w:bottom w:val="none" w:sz="0" w:space="0" w:color="auto"/>
        <w:right w:val="none" w:sz="0" w:space="0" w:color="auto"/>
      </w:divBdr>
    </w:div>
    <w:div w:id="1438057904">
      <w:bodyDiv w:val="1"/>
      <w:marLeft w:val="0"/>
      <w:marRight w:val="0"/>
      <w:marTop w:val="0"/>
      <w:marBottom w:val="0"/>
      <w:divBdr>
        <w:top w:val="none" w:sz="0" w:space="0" w:color="auto"/>
        <w:left w:val="none" w:sz="0" w:space="0" w:color="auto"/>
        <w:bottom w:val="none" w:sz="0" w:space="0" w:color="auto"/>
        <w:right w:val="none" w:sz="0" w:space="0" w:color="auto"/>
      </w:divBdr>
    </w:div>
    <w:div w:id="1439957114">
      <w:bodyDiv w:val="1"/>
      <w:marLeft w:val="0"/>
      <w:marRight w:val="0"/>
      <w:marTop w:val="0"/>
      <w:marBottom w:val="0"/>
      <w:divBdr>
        <w:top w:val="none" w:sz="0" w:space="0" w:color="auto"/>
        <w:left w:val="none" w:sz="0" w:space="0" w:color="auto"/>
        <w:bottom w:val="none" w:sz="0" w:space="0" w:color="auto"/>
        <w:right w:val="none" w:sz="0" w:space="0" w:color="auto"/>
      </w:divBdr>
    </w:div>
    <w:div w:id="1440370455">
      <w:bodyDiv w:val="1"/>
      <w:marLeft w:val="0"/>
      <w:marRight w:val="0"/>
      <w:marTop w:val="0"/>
      <w:marBottom w:val="0"/>
      <w:divBdr>
        <w:top w:val="none" w:sz="0" w:space="0" w:color="auto"/>
        <w:left w:val="none" w:sz="0" w:space="0" w:color="auto"/>
        <w:bottom w:val="none" w:sz="0" w:space="0" w:color="auto"/>
        <w:right w:val="none" w:sz="0" w:space="0" w:color="auto"/>
      </w:divBdr>
    </w:div>
    <w:div w:id="1440568078">
      <w:bodyDiv w:val="1"/>
      <w:marLeft w:val="0"/>
      <w:marRight w:val="0"/>
      <w:marTop w:val="0"/>
      <w:marBottom w:val="0"/>
      <w:divBdr>
        <w:top w:val="none" w:sz="0" w:space="0" w:color="auto"/>
        <w:left w:val="none" w:sz="0" w:space="0" w:color="auto"/>
        <w:bottom w:val="none" w:sz="0" w:space="0" w:color="auto"/>
        <w:right w:val="none" w:sz="0" w:space="0" w:color="auto"/>
      </w:divBdr>
    </w:div>
    <w:div w:id="1440757775">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2455799">
      <w:bodyDiv w:val="1"/>
      <w:marLeft w:val="0"/>
      <w:marRight w:val="0"/>
      <w:marTop w:val="0"/>
      <w:marBottom w:val="0"/>
      <w:divBdr>
        <w:top w:val="none" w:sz="0" w:space="0" w:color="auto"/>
        <w:left w:val="none" w:sz="0" w:space="0" w:color="auto"/>
        <w:bottom w:val="none" w:sz="0" w:space="0" w:color="auto"/>
        <w:right w:val="none" w:sz="0" w:space="0" w:color="auto"/>
      </w:divBdr>
    </w:div>
    <w:div w:id="1444688934">
      <w:bodyDiv w:val="1"/>
      <w:marLeft w:val="0"/>
      <w:marRight w:val="0"/>
      <w:marTop w:val="0"/>
      <w:marBottom w:val="0"/>
      <w:divBdr>
        <w:top w:val="none" w:sz="0" w:space="0" w:color="auto"/>
        <w:left w:val="none" w:sz="0" w:space="0" w:color="auto"/>
        <w:bottom w:val="none" w:sz="0" w:space="0" w:color="auto"/>
        <w:right w:val="none" w:sz="0" w:space="0" w:color="auto"/>
      </w:divBdr>
    </w:div>
    <w:div w:id="1444769198">
      <w:bodyDiv w:val="1"/>
      <w:marLeft w:val="0"/>
      <w:marRight w:val="0"/>
      <w:marTop w:val="0"/>
      <w:marBottom w:val="0"/>
      <w:divBdr>
        <w:top w:val="none" w:sz="0" w:space="0" w:color="auto"/>
        <w:left w:val="none" w:sz="0" w:space="0" w:color="auto"/>
        <w:bottom w:val="none" w:sz="0" w:space="0" w:color="auto"/>
        <w:right w:val="none" w:sz="0" w:space="0" w:color="auto"/>
      </w:divBdr>
    </w:div>
    <w:div w:id="1445344091">
      <w:bodyDiv w:val="1"/>
      <w:marLeft w:val="0"/>
      <w:marRight w:val="0"/>
      <w:marTop w:val="0"/>
      <w:marBottom w:val="0"/>
      <w:divBdr>
        <w:top w:val="none" w:sz="0" w:space="0" w:color="auto"/>
        <w:left w:val="none" w:sz="0" w:space="0" w:color="auto"/>
        <w:bottom w:val="none" w:sz="0" w:space="0" w:color="auto"/>
        <w:right w:val="none" w:sz="0" w:space="0" w:color="auto"/>
      </w:divBdr>
    </w:div>
    <w:div w:id="1445494524">
      <w:bodyDiv w:val="1"/>
      <w:marLeft w:val="0"/>
      <w:marRight w:val="0"/>
      <w:marTop w:val="0"/>
      <w:marBottom w:val="0"/>
      <w:divBdr>
        <w:top w:val="none" w:sz="0" w:space="0" w:color="auto"/>
        <w:left w:val="none" w:sz="0" w:space="0" w:color="auto"/>
        <w:bottom w:val="none" w:sz="0" w:space="0" w:color="auto"/>
        <w:right w:val="none" w:sz="0" w:space="0" w:color="auto"/>
      </w:divBdr>
    </w:div>
    <w:div w:id="1445533812">
      <w:bodyDiv w:val="1"/>
      <w:marLeft w:val="0"/>
      <w:marRight w:val="0"/>
      <w:marTop w:val="0"/>
      <w:marBottom w:val="0"/>
      <w:divBdr>
        <w:top w:val="none" w:sz="0" w:space="0" w:color="auto"/>
        <w:left w:val="none" w:sz="0" w:space="0" w:color="auto"/>
        <w:bottom w:val="none" w:sz="0" w:space="0" w:color="auto"/>
        <w:right w:val="none" w:sz="0" w:space="0" w:color="auto"/>
      </w:divBdr>
    </w:div>
    <w:div w:id="1445539287">
      <w:bodyDiv w:val="1"/>
      <w:marLeft w:val="0"/>
      <w:marRight w:val="0"/>
      <w:marTop w:val="0"/>
      <w:marBottom w:val="0"/>
      <w:divBdr>
        <w:top w:val="none" w:sz="0" w:space="0" w:color="auto"/>
        <w:left w:val="none" w:sz="0" w:space="0" w:color="auto"/>
        <w:bottom w:val="none" w:sz="0" w:space="0" w:color="auto"/>
        <w:right w:val="none" w:sz="0" w:space="0" w:color="auto"/>
      </w:divBdr>
    </w:div>
    <w:div w:id="1446803833">
      <w:bodyDiv w:val="1"/>
      <w:marLeft w:val="0"/>
      <w:marRight w:val="0"/>
      <w:marTop w:val="0"/>
      <w:marBottom w:val="0"/>
      <w:divBdr>
        <w:top w:val="none" w:sz="0" w:space="0" w:color="auto"/>
        <w:left w:val="none" w:sz="0" w:space="0" w:color="auto"/>
        <w:bottom w:val="none" w:sz="0" w:space="0" w:color="auto"/>
        <w:right w:val="none" w:sz="0" w:space="0" w:color="auto"/>
      </w:divBdr>
    </w:div>
    <w:div w:id="1448811127">
      <w:bodyDiv w:val="1"/>
      <w:marLeft w:val="0"/>
      <w:marRight w:val="0"/>
      <w:marTop w:val="0"/>
      <w:marBottom w:val="0"/>
      <w:divBdr>
        <w:top w:val="none" w:sz="0" w:space="0" w:color="auto"/>
        <w:left w:val="none" w:sz="0" w:space="0" w:color="auto"/>
        <w:bottom w:val="none" w:sz="0" w:space="0" w:color="auto"/>
        <w:right w:val="none" w:sz="0" w:space="0" w:color="auto"/>
      </w:divBdr>
    </w:div>
    <w:div w:id="1450123925">
      <w:bodyDiv w:val="1"/>
      <w:marLeft w:val="0"/>
      <w:marRight w:val="0"/>
      <w:marTop w:val="0"/>
      <w:marBottom w:val="0"/>
      <w:divBdr>
        <w:top w:val="none" w:sz="0" w:space="0" w:color="auto"/>
        <w:left w:val="none" w:sz="0" w:space="0" w:color="auto"/>
        <w:bottom w:val="none" w:sz="0" w:space="0" w:color="auto"/>
        <w:right w:val="none" w:sz="0" w:space="0" w:color="auto"/>
      </w:divBdr>
    </w:div>
    <w:div w:id="1450708973">
      <w:bodyDiv w:val="1"/>
      <w:marLeft w:val="0"/>
      <w:marRight w:val="0"/>
      <w:marTop w:val="0"/>
      <w:marBottom w:val="0"/>
      <w:divBdr>
        <w:top w:val="none" w:sz="0" w:space="0" w:color="auto"/>
        <w:left w:val="none" w:sz="0" w:space="0" w:color="auto"/>
        <w:bottom w:val="none" w:sz="0" w:space="0" w:color="auto"/>
        <w:right w:val="none" w:sz="0" w:space="0" w:color="auto"/>
      </w:divBdr>
    </w:div>
    <w:div w:id="1451044623">
      <w:bodyDiv w:val="1"/>
      <w:marLeft w:val="0"/>
      <w:marRight w:val="0"/>
      <w:marTop w:val="0"/>
      <w:marBottom w:val="0"/>
      <w:divBdr>
        <w:top w:val="none" w:sz="0" w:space="0" w:color="auto"/>
        <w:left w:val="none" w:sz="0" w:space="0" w:color="auto"/>
        <w:bottom w:val="none" w:sz="0" w:space="0" w:color="auto"/>
        <w:right w:val="none" w:sz="0" w:space="0" w:color="auto"/>
      </w:divBdr>
    </w:div>
    <w:div w:id="1451361167">
      <w:bodyDiv w:val="1"/>
      <w:marLeft w:val="0"/>
      <w:marRight w:val="0"/>
      <w:marTop w:val="0"/>
      <w:marBottom w:val="0"/>
      <w:divBdr>
        <w:top w:val="none" w:sz="0" w:space="0" w:color="auto"/>
        <w:left w:val="none" w:sz="0" w:space="0" w:color="auto"/>
        <w:bottom w:val="none" w:sz="0" w:space="0" w:color="auto"/>
        <w:right w:val="none" w:sz="0" w:space="0" w:color="auto"/>
      </w:divBdr>
    </w:div>
    <w:div w:id="1452281827">
      <w:bodyDiv w:val="1"/>
      <w:marLeft w:val="0"/>
      <w:marRight w:val="0"/>
      <w:marTop w:val="0"/>
      <w:marBottom w:val="0"/>
      <w:divBdr>
        <w:top w:val="none" w:sz="0" w:space="0" w:color="auto"/>
        <w:left w:val="none" w:sz="0" w:space="0" w:color="auto"/>
        <w:bottom w:val="none" w:sz="0" w:space="0" w:color="auto"/>
        <w:right w:val="none" w:sz="0" w:space="0" w:color="auto"/>
      </w:divBdr>
    </w:div>
    <w:div w:id="1455051841">
      <w:bodyDiv w:val="1"/>
      <w:marLeft w:val="0"/>
      <w:marRight w:val="0"/>
      <w:marTop w:val="0"/>
      <w:marBottom w:val="0"/>
      <w:divBdr>
        <w:top w:val="none" w:sz="0" w:space="0" w:color="auto"/>
        <w:left w:val="none" w:sz="0" w:space="0" w:color="auto"/>
        <w:bottom w:val="none" w:sz="0" w:space="0" w:color="auto"/>
        <w:right w:val="none" w:sz="0" w:space="0" w:color="auto"/>
      </w:divBdr>
    </w:div>
    <w:div w:id="1456023664">
      <w:bodyDiv w:val="1"/>
      <w:marLeft w:val="0"/>
      <w:marRight w:val="0"/>
      <w:marTop w:val="0"/>
      <w:marBottom w:val="0"/>
      <w:divBdr>
        <w:top w:val="none" w:sz="0" w:space="0" w:color="auto"/>
        <w:left w:val="none" w:sz="0" w:space="0" w:color="auto"/>
        <w:bottom w:val="none" w:sz="0" w:space="0" w:color="auto"/>
        <w:right w:val="none" w:sz="0" w:space="0" w:color="auto"/>
      </w:divBdr>
    </w:div>
    <w:div w:id="1457719570">
      <w:bodyDiv w:val="1"/>
      <w:marLeft w:val="0"/>
      <w:marRight w:val="0"/>
      <w:marTop w:val="0"/>
      <w:marBottom w:val="0"/>
      <w:divBdr>
        <w:top w:val="none" w:sz="0" w:space="0" w:color="auto"/>
        <w:left w:val="none" w:sz="0" w:space="0" w:color="auto"/>
        <w:bottom w:val="none" w:sz="0" w:space="0" w:color="auto"/>
        <w:right w:val="none" w:sz="0" w:space="0" w:color="auto"/>
      </w:divBdr>
    </w:div>
    <w:div w:id="1457749496">
      <w:bodyDiv w:val="1"/>
      <w:marLeft w:val="0"/>
      <w:marRight w:val="0"/>
      <w:marTop w:val="0"/>
      <w:marBottom w:val="0"/>
      <w:divBdr>
        <w:top w:val="none" w:sz="0" w:space="0" w:color="auto"/>
        <w:left w:val="none" w:sz="0" w:space="0" w:color="auto"/>
        <w:bottom w:val="none" w:sz="0" w:space="0" w:color="auto"/>
        <w:right w:val="none" w:sz="0" w:space="0" w:color="auto"/>
      </w:divBdr>
    </w:div>
    <w:div w:id="1458449906">
      <w:bodyDiv w:val="1"/>
      <w:marLeft w:val="0"/>
      <w:marRight w:val="0"/>
      <w:marTop w:val="0"/>
      <w:marBottom w:val="0"/>
      <w:divBdr>
        <w:top w:val="none" w:sz="0" w:space="0" w:color="auto"/>
        <w:left w:val="none" w:sz="0" w:space="0" w:color="auto"/>
        <w:bottom w:val="none" w:sz="0" w:space="0" w:color="auto"/>
        <w:right w:val="none" w:sz="0" w:space="0" w:color="auto"/>
      </w:divBdr>
    </w:div>
    <w:div w:id="1458792626">
      <w:bodyDiv w:val="1"/>
      <w:marLeft w:val="0"/>
      <w:marRight w:val="0"/>
      <w:marTop w:val="0"/>
      <w:marBottom w:val="0"/>
      <w:divBdr>
        <w:top w:val="none" w:sz="0" w:space="0" w:color="auto"/>
        <w:left w:val="none" w:sz="0" w:space="0" w:color="auto"/>
        <w:bottom w:val="none" w:sz="0" w:space="0" w:color="auto"/>
        <w:right w:val="none" w:sz="0" w:space="0" w:color="auto"/>
      </w:divBdr>
    </w:div>
    <w:div w:id="1459639507">
      <w:bodyDiv w:val="1"/>
      <w:marLeft w:val="0"/>
      <w:marRight w:val="0"/>
      <w:marTop w:val="0"/>
      <w:marBottom w:val="0"/>
      <w:divBdr>
        <w:top w:val="none" w:sz="0" w:space="0" w:color="auto"/>
        <w:left w:val="none" w:sz="0" w:space="0" w:color="auto"/>
        <w:bottom w:val="none" w:sz="0" w:space="0" w:color="auto"/>
        <w:right w:val="none" w:sz="0" w:space="0" w:color="auto"/>
      </w:divBdr>
    </w:div>
    <w:div w:id="1459835193">
      <w:bodyDiv w:val="1"/>
      <w:marLeft w:val="0"/>
      <w:marRight w:val="0"/>
      <w:marTop w:val="0"/>
      <w:marBottom w:val="0"/>
      <w:divBdr>
        <w:top w:val="none" w:sz="0" w:space="0" w:color="auto"/>
        <w:left w:val="none" w:sz="0" w:space="0" w:color="auto"/>
        <w:bottom w:val="none" w:sz="0" w:space="0" w:color="auto"/>
        <w:right w:val="none" w:sz="0" w:space="0" w:color="auto"/>
      </w:divBdr>
    </w:div>
    <w:div w:id="1460107084">
      <w:bodyDiv w:val="1"/>
      <w:marLeft w:val="0"/>
      <w:marRight w:val="0"/>
      <w:marTop w:val="0"/>
      <w:marBottom w:val="0"/>
      <w:divBdr>
        <w:top w:val="none" w:sz="0" w:space="0" w:color="auto"/>
        <w:left w:val="none" w:sz="0" w:space="0" w:color="auto"/>
        <w:bottom w:val="none" w:sz="0" w:space="0" w:color="auto"/>
        <w:right w:val="none" w:sz="0" w:space="0" w:color="auto"/>
      </w:divBdr>
    </w:div>
    <w:div w:id="1460489283">
      <w:bodyDiv w:val="1"/>
      <w:marLeft w:val="0"/>
      <w:marRight w:val="0"/>
      <w:marTop w:val="0"/>
      <w:marBottom w:val="0"/>
      <w:divBdr>
        <w:top w:val="none" w:sz="0" w:space="0" w:color="auto"/>
        <w:left w:val="none" w:sz="0" w:space="0" w:color="auto"/>
        <w:bottom w:val="none" w:sz="0" w:space="0" w:color="auto"/>
        <w:right w:val="none" w:sz="0" w:space="0" w:color="auto"/>
      </w:divBdr>
    </w:div>
    <w:div w:id="1461150451">
      <w:bodyDiv w:val="1"/>
      <w:marLeft w:val="0"/>
      <w:marRight w:val="0"/>
      <w:marTop w:val="0"/>
      <w:marBottom w:val="0"/>
      <w:divBdr>
        <w:top w:val="none" w:sz="0" w:space="0" w:color="auto"/>
        <w:left w:val="none" w:sz="0" w:space="0" w:color="auto"/>
        <w:bottom w:val="none" w:sz="0" w:space="0" w:color="auto"/>
        <w:right w:val="none" w:sz="0" w:space="0" w:color="auto"/>
      </w:divBdr>
    </w:div>
    <w:div w:id="1461337134">
      <w:bodyDiv w:val="1"/>
      <w:marLeft w:val="0"/>
      <w:marRight w:val="0"/>
      <w:marTop w:val="0"/>
      <w:marBottom w:val="0"/>
      <w:divBdr>
        <w:top w:val="none" w:sz="0" w:space="0" w:color="auto"/>
        <w:left w:val="none" w:sz="0" w:space="0" w:color="auto"/>
        <w:bottom w:val="none" w:sz="0" w:space="0" w:color="auto"/>
        <w:right w:val="none" w:sz="0" w:space="0" w:color="auto"/>
      </w:divBdr>
    </w:div>
    <w:div w:id="1462771074">
      <w:bodyDiv w:val="1"/>
      <w:marLeft w:val="0"/>
      <w:marRight w:val="0"/>
      <w:marTop w:val="0"/>
      <w:marBottom w:val="0"/>
      <w:divBdr>
        <w:top w:val="none" w:sz="0" w:space="0" w:color="auto"/>
        <w:left w:val="none" w:sz="0" w:space="0" w:color="auto"/>
        <w:bottom w:val="none" w:sz="0" w:space="0" w:color="auto"/>
        <w:right w:val="none" w:sz="0" w:space="0" w:color="auto"/>
      </w:divBdr>
    </w:div>
    <w:div w:id="1462965937">
      <w:bodyDiv w:val="1"/>
      <w:marLeft w:val="0"/>
      <w:marRight w:val="0"/>
      <w:marTop w:val="0"/>
      <w:marBottom w:val="0"/>
      <w:divBdr>
        <w:top w:val="none" w:sz="0" w:space="0" w:color="auto"/>
        <w:left w:val="none" w:sz="0" w:space="0" w:color="auto"/>
        <w:bottom w:val="none" w:sz="0" w:space="0" w:color="auto"/>
        <w:right w:val="none" w:sz="0" w:space="0" w:color="auto"/>
      </w:divBdr>
    </w:div>
    <w:div w:id="1463377223">
      <w:bodyDiv w:val="1"/>
      <w:marLeft w:val="0"/>
      <w:marRight w:val="0"/>
      <w:marTop w:val="0"/>
      <w:marBottom w:val="0"/>
      <w:divBdr>
        <w:top w:val="none" w:sz="0" w:space="0" w:color="auto"/>
        <w:left w:val="none" w:sz="0" w:space="0" w:color="auto"/>
        <w:bottom w:val="none" w:sz="0" w:space="0" w:color="auto"/>
        <w:right w:val="none" w:sz="0" w:space="0" w:color="auto"/>
      </w:divBdr>
    </w:div>
    <w:div w:id="1464423112">
      <w:bodyDiv w:val="1"/>
      <w:marLeft w:val="0"/>
      <w:marRight w:val="0"/>
      <w:marTop w:val="0"/>
      <w:marBottom w:val="0"/>
      <w:divBdr>
        <w:top w:val="none" w:sz="0" w:space="0" w:color="auto"/>
        <w:left w:val="none" w:sz="0" w:space="0" w:color="auto"/>
        <w:bottom w:val="none" w:sz="0" w:space="0" w:color="auto"/>
        <w:right w:val="none" w:sz="0" w:space="0" w:color="auto"/>
      </w:divBdr>
    </w:div>
    <w:div w:id="1464739545">
      <w:bodyDiv w:val="1"/>
      <w:marLeft w:val="0"/>
      <w:marRight w:val="0"/>
      <w:marTop w:val="0"/>
      <w:marBottom w:val="0"/>
      <w:divBdr>
        <w:top w:val="none" w:sz="0" w:space="0" w:color="auto"/>
        <w:left w:val="none" w:sz="0" w:space="0" w:color="auto"/>
        <w:bottom w:val="none" w:sz="0" w:space="0" w:color="auto"/>
        <w:right w:val="none" w:sz="0" w:space="0" w:color="auto"/>
      </w:divBdr>
    </w:div>
    <w:div w:id="1465082365">
      <w:bodyDiv w:val="1"/>
      <w:marLeft w:val="0"/>
      <w:marRight w:val="0"/>
      <w:marTop w:val="0"/>
      <w:marBottom w:val="0"/>
      <w:divBdr>
        <w:top w:val="none" w:sz="0" w:space="0" w:color="auto"/>
        <w:left w:val="none" w:sz="0" w:space="0" w:color="auto"/>
        <w:bottom w:val="none" w:sz="0" w:space="0" w:color="auto"/>
        <w:right w:val="none" w:sz="0" w:space="0" w:color="auto"/>
      </w:divBdr>
    </w:div>
    <w:div w:id="1466317471">
      <w:bodyDiv w:val="1"/>
      <w:marLeft w:val="0"/>
      <w:marRight w:val="0"/>
      <w:marTop w:val="0"/>
      <w:marBottom w:val="0"/>
      <w:divBdr>
        <w:top w:val="none" w:sz="0" w:space="0" w:color="auto"/>
        <w:left w:val="none" w:sz="0" w:space="0" w:color="auto"/>
        <w:bottom w:val="none" w:sz="0" w:space="0" w:color="auto"/>
        <w:right w:val="none" w:sz="0" w:space="0" w:color="auto"/>
      </w:divBdr>
    </w:div>
    <w:div w:id="1466847104">
      <w:bodyDiv w:val="1"/>
      <w:marLeft w:val="0"/>
      <w:marRight w:val="0"/>
      <w:marTop w:val="0"/>
      <w:marBottom w:val="0"/>
      <w:divBdr>
        <w:top w:val="none" w:sz="0" w:space="0" w:color="auto"/>
        <w:left w:val="none" w:sz="0" w:space="0" w:color="auto"/>
        <w:bottom w:val="none" w:sz="0" w:space="0" w:color="auto"/>
        <w:right w:val="none" w:sz="0" w:space="0" w:color="auto"/>
      </w:divBdr>
    </w:div>
    <w:div w:id="1467624941">
      <w:bodyDiv w:val="1"/>
      <w:marLeft w:val="0"/>
      <w:marRight w:val="0"/>
      <w:marTop w:val="0"/>
      <w:marBottom w:val="0"/>
      <w:divBdr>
        <w:top w:val="none" w:sz="0" w:space="0" w:color="auto"/>
        <w:left w:val="none" w:sz="0" w:space="0" w:color="auto"/>
        <w:bottom w:val="none" w:sz="0" w:space="0" w:color="auto"/>
        <w:right w:val="none" w:sz="0" w:space="0" w:color="auto"/>
      </w:divBdr>
    </w:div>
    <w:div w:id="1471166460">
      <w:bodyDiv w:val="1"/>
      <w:marLeft w:val="0"/>
      <w:marRight w:val="0"/>
      <w:marTop w:val="0"/>
      <w:marBottom w:val="0"/>
      <w:divBdr>
        <w:top w:val="none" w:sz="0" w:space="0" w:color="auto"/>
        <w:left w:val="none" w:sz="0" w:space="0" w:color="auto"/>
        <w:bottom w:val="none" w:sz="0" w:space="0" w:color="auto"/>
        <w:right w:val="none" w:sz="0" w:space="0" w:color="auto"/>
      </w:divBdr>
    </w:div>
    <w:div w:id="1471168692">
      <w:bodyDiv w:val="1"/>
      <w:marLeft w:val="0"/>
      <w:marRight w:val="0"/>
      <w:marTop w:val="0"/>
      <w:marBottom w:val="0"/>
      <w:divBdr>
        <w:top w:val="none" w:sz="0" w:space="0" w:color="auto"/>
        <w:left w:val="none" w:sz="0" w:space="0" w:color="auto"/>
        <w:bottom w:val="none" w:sz="0" w:space="0" w:color="auto"/>
        <w:right w:val="none" w:sz="0" w:space="0" w:color="auto"/>
      </w:divBdr>
    </w:div>
    <w:div w:id="1472360088">
      <w:bodyDiv w:val="1"/>
      <w:marLeft w:val="0"/>
      <w:marRight w:val="0"/>
      <w:marTop w:val="0"/>
      <w:marBottom w:val="0"/>
      <w:divBdr>
        <w:top w:val="none" w:sz="0" w:space="0" w:color="auto"/>
        <w:left w:val="none" w:sz="0" w:space="0" w:color="auto"/>
        <w:bottom w:val="none" w:sz="0" w:space="0" w:color="auto"/>
        <w:right w:val="none" w:sz="0" w:space="0" w:color="auto"/>
      </w:divBdr>
    </w:div>
    <w:div w:id="1474325328">
      <w:bodyDiv w:val="1"/>
      <w:marLeft w:val="0"/>
      <w:marRight w:val="0"/>
      <w:marTop w:val="0"/>
      <w:marBottom w:val="0"/>
      <w:divBdr>
        <w:top w:val="none" w:sz="0" w:space="0" w:color="auto"/>
        <w:left w:val="none" w:sz="0" w:space="0" w:color="auto"/>
        <w:bottom w:val="none" w:sz="0" w:space="0" w:color="auto"/>
        <w:right w:val="none" w:sz="0" w:space="0" w:color="auto"/>
      </w:divBdr>
    </w:div>
    <w:div w:id="1475372518">
      <w:bodyDiv w:val="1"/>
      <w:marLeft w:val="0"/>
      <w:marRight w:val="0"/>
      <w:marTop w:val="0"/>
      <w:marBottom w:val="0"/>
      <w:divBdr>
        <w:top w:val="none" w:sz="0" w:space="0" w:color="auto"/>
        <w:left w:val="none" w:sz="0" w:space="0" w:color="auto"/>
        <w:bottom w:val="none" w:sz="0" w:space="0" w:color="auto"/>
        <w:right w:val="none" w:sz="0" w:space="0" w:color="auto"/>
      </w:divBdr>
    </w:div>
    <w:div w:id="1477649481">
      <w:bodyDiv w:val="1"/>
      <w:marLeft w:val="0"/>
      <w:marRight w:val="0"/>
      <w:marTop w:val="0"/>
      <w:marBottom w:val="0"/>
      <w:divBdr>
        <w:top w:val="none" w:sz="0" w:space="0" w:color="auto"/>
        <w:left w:val="none" w:sz="0" w:space="0" w:color="auto"/>
        <w:bottom w:val="none" w:sz="0" w:space="0" w:color="auto"/>
        <w:right w:val="none" w:sz="0" w:space="0" w:color="auto"/>
      </w:divBdr>
    </w:div>
    <w:div w:id="1480002872">
      <w:bodyDiv w:val="1"/>
      <w:marLeft w:val="0"/>
      <w:marRight w:val="0"/>
      <w:marTop w:val="0"/>
      <w:marBottom w:val="0"/>
      <w:divBdr>
        <w:top w:val="none" w:sz="0" w:space="0" w:color="auto"/>
        <w:left w:val="none" w:sz="0" w:space="0" w:color="auto"/>
        <w:bottom w:val="none" w:sz="0" w:space="0" w:color="auto"/>
        <w:right w:val="none" w:sz="0" w:space="0" w:color="auto"/>
      </w:divBdr>
    </w:div>
    <w:div w:id="1482698706">
      <w:bodyDiv w:val="1"/>
      <w:marLeft w:val="0"/>
      <w:marRight w:val="0"/>
      <w:marTop w:val="0"/>
      <w:marBottom w:val="0"/>
      <w:divBdr>
        <w:top w:val="none" w:sz="0" w:space="0" w:color="auto"/>
        <w:left w:val="none" w:sz="0" w:space="0" w:color="auto"/>
        <w:bottom w:val="none" w:sz="0" w:space="0" w:color="auto"/>
        <w:right w:val="none" w:sz="0" w:space="0" w:color="auto"/>
      </w:divBdr>
    </w:div>
    <w:div w:id="1483110963">
      <w:bodyDiv w:val="1"/>
      <w:marLeft w:val="0"/>
      <w:marRight w:val="0"/>
      <w:marTop w:val="0"/>
      <w:marBottom w:val="0"/>
      <w:divBdr>
        <w:top w:val="none" w:sz="0" w:space="0" w:color="auto"/>
        <w:left w:val="none" w:sz="0" w:space="0" w:color="auto"/>
        <w:bottom w:val="none" w:sz="0" w:space="0" w:color="auto"/>
        <w:right w:val="none" w:sz="0" w:space="0" w:color="auto"/>
      </w:divBdr>
    </w:div>
    <w:div w:id="1484345451">
      <w:bodyDiv w:val="1"/>
      <w:marLeft w:val="0"/>
      <w:marRight w:val="0"/>
      <w:marTop w:val="0"/>
      <w:marBottom w:val="0"/>
      <w:divBdr>
        <w:top w:val="none" w:sz="0" w:space="0" w:color="auto"/>
        <w:left w:val="none" w:sz="0" w:space="0" w:color="auto"/>
        <w:bottom w:val="none" w:sz="0" w:space="0" w:color="auto"/>
        <w:right w:val="none" w:sz="0" w:space="0" w:color="auto"/>
      </w:divBdr>
    </w:div>
    <w:div w:id="1486817569">
      <w:bodyDiv w:val="1"/>
      <w:marLeft w:val="0"/>
      <w:marRight w:val="0"/>
      <w:marTop w:val="0"/>
      <w:marBottom w:val="0"/>
      <w:divBdr>
        <w:top w:val="none" w:sz="0" w:space="0" w:color="auto"/>
        <w:left w:val="none" w:sz="0" w:space="0" w:color="auto"/>
        <w:bottom w:val="none" w:sz="0" w:space="0" w:color="auto"/>
        <w:right w:val="none" w:sz="0" w:space="0" w:color="auto"/>
      </w:divBdr>
    </w:div>
    <w:div w:id="1487865127">
      <w:bodyDiv w:val="1"/>
      <w:marLeft w:val="0"/>
      <w:marRight w:val="0"/>
      <w:marTop w:val="0"/>
      <w:marBottom w:val="0"/>
      <w:divBdr>
        <w:top w:val="none" w:sz="0" w:space="0" w:color="auto"/>
        <w:left w:val="none" w:sz="0" w:space="0" w:color="auto"/>
        <w:bottom w:val="none" w:sz="0" w:space="0" w:color="auto"/>
        <w:right w:val="none" w:sz="0" w:space="0" w:color="auto"/>
      </w:divBdr>
    </w:div>
    <w:div w:id="1488672549">
      <w:bodyDiv w:val="1"/>
      <w:marLeft w:val="0"/>
      <w:marRight w:val="0"/>
      <w:marTop w:val="0"/>
      <w:marBottom w:val="0"/>
      <w:divBdr>
        <w:top w:val="none" w:sz="0" w:space="0" w:color="auto"/>
        <w:left w:val="none" w:sz="0" w:space="0" w:color="auto"/>
        <w:bottom w:val="none" w:sz="0" w:space="0" w:color="auto"/>
        <w:right w:val="none" w:sz="0" w:space="0" w:color="auto"/>
      </w:divBdr>
    </w:div>
    <w:div w:id="1488937456">
      <w:bodyDiv w:val="1"/>
      <w:marLeft w:val="0"/>
      <w:marRight w:val="0"/>
      <w:marTop w:val="0"/>
      <w:marBottom w:val="0"/>
      <w:divBdr>
        <w:top w:val="none" w:sz="0" w:space="0" w:color="auto"/>
        <w:left w:val="none" w:sz="0" w:space="0" w:color="auto"/>
        <w:bottom w:val="none" w:sz="0" w:space="0" w:color="auto"/>
        <w:right w:val="none" w:sz="0" w:space="0" w:color="auto"/>
      </w:divBdr>
    </w:div>
    <w:div w:id="1492286695">
      <w:bodyDiv w:val="1"/>
      <w:marLeft w:val="0"/>
      <w:marRight w:val="0"/>
      <w:marTop w:val="0"/>
      <w:marBottom w:val="0"/>
      <w:divBdr>
        <w:top w:val="none" w:sz="0" w:space="0" w:color="auto"/>
        <w:left w:val="none" w:sz="0" w:space="0" w:color="auto"/>
        <w:bottom w:val="none" w:sz="0" w:space="0" w:color="auto"/>
        <w:right w:val="none" w:sz="0" w:space="0" w:color="auto"/>
      </w:divBdr>
    </w:div>
    <w:div w:id="1492722252">
      <w:bodyDiv w:val="1"/>
      <w:marLeft w:val="0"/>
      <w:marRight w:val="0"/>
      <w:marTop w:val="0"/>
      <w:marBottom w:val="0"/>
      <w:divBdr>
        <w:top w:val="none" w:sz="0" w:space="0" w:color="auto"/>
        <w:left w:val="none" w:sz="0" w:space="0" w:color="auto"/>
        <w:bottom w:val="none" w:sz="0" w:space="0" w:color="auto"/>
        <w:right w:val="none" w:sz="0" w:space="0" w:color="auto"/>
      </w:divBdr>
    </w:div>
    <w:div w:id="1494253491">
      <w:bodyDiv w:val="1"/>
      <w:marLeft w:val="0"/>
      <w:marRight w:val="0"/>
      <w:marTop w:val="0"/>
      <w:marBottom w:val="0"/>
      <w:divBdr>
        <w:top w:val="none" w:sz="0" w:space="0" w:color="auto"/>
        <w:left w:val="none" w:sz="0" w:space="0" w:color="auto"/>
        <w:bottom w:val="none" w:sz="0" w:space="0" w:color="auto"/>
        <w:right w:val="none" w:sz="0" w:space="0" w:color="auto"/>
      </w:divBdr>
    </w:div>
    <w:div w:id="1494761494">
      <w:bodyDiv w:val="1"/>
      <w:marLeft w:val="0"/>
      <w:marRight w:val="0"/>
      <w:marTop w:val="0"/>
      <w:marBottom w:val="0"/>
      <w:divBdr>
        <w:top w:val="none" w:sz="0" w:space="0" w:color="auto"/>
        <w:left w:val="none" w:sz="0" w:space="0" w:color="auto"/>
        <w:bottom w:val="none" w:sz="0" w:space="0" w:color="auto"/>
        <w:right w:val="none" w:sz="0" w:space="0" w:color="auto"/>
      </w:divBdr>
    </w:div>
    <w:div w:id="1495030331">
      <w:bodyDiv w:val="1"/>
      <w:marLeft w:val="0"/>
      <w:marRight w:val="0"/>
      <w:marTop w:val="0"/>
      <w:marBottom w:val="0"/>
      <w:divBdr>
        <w:top w:val="none" w:sz="0" w:space="0" w:color="auto"/>
        <w:left w:val="none" w:sz="0" w:space="0" w:color="auto"/>
        <w:bottom w:val="none" w:sz="0" w:space="0" w:color="auto"/>
        <w:right w:val="none" w:sz="0" w:space="0" w:color="auto"/>
      </w:divBdr>
    </w:div>
    <w:div w:id="1495032376">
      <w:bodyDiv w:val="1"/>
      <w:marLeft w:val="0"/>
      <w:marRight w:val="0"/>
      <w:marTop w:val="0"/>
      <w:marBottom w:val="0"/>
      <w:divBdr>
        <w:top w:val="none" w:sz="0" w:space="0" w:color="auto"/>
        <w:left w:val="none" w:sz="0" w:space="0" w:color="auto"/>
        <w:bottom w:val="none" w:sz="0" w:space="0" w:color="auto"/>
        <w:right w:val="none" w:sz="0" w:space="0" w:color="auto"/>
      </w:divBdr>
    </w:div>
    <w:div w:id="1496342672">
      <w:bodyDiv w:val="1"/>
      <w:marLeft w:val="0"/>
      <w:marRight w:val="0"/>
      <w:marTop w:val="0"/>
      <w:marBottom w:val="0"/>
      <w:divBdr>
        <w:top w:val="none" w:sz="0" w:space="0" w:color="auto"/>
        <w:left w:val="none" w:sz="0" w:space="0" w:color="auto"/>
        <w:bottom w:val="none" w:sz="0" w:space="0" w:color="auto"/>
        <w:right w:val="none" w:sz="0" w:space="0" w:color="auto"/>
      </w:divBdr>
    </w:div>
    <w:div w:id="1497961435">
      <w:bodyDiv w:val="1"/>
      <w:marLeft w:val="0"/>
      <w:marRight w:val="0"/>
      <w:marTop w:val="0"/>
      <w:marBottom w:val="0"/>
      <w:divBdr>
        <w:top w:val="none" w:sz="0" w:space="0" w:color="auto"/>
        <w:left w:val="none" w:sz="0" w:space="0" w:color="auto"/>
        <w:bottom w:val="none" w:sz="0" w:space="0" w:color="auto"/>
        <w:right w:val="none" w:sz="0" w:space="0" w:color="auto"/>
      </w:divBdr>
    </w:div>
    <w:div w:id="1498039349">
      <w:bodyDiv w:val="1"/>
      <w:marLeft w:val="0"/>
      <w:marRight w:val="0"/>
      <w:marTop w:val="0"/>
      <w:marBottom w:val="0"/>
      <w:divBdr>
        <w:top w:val="none" w:sz="0" w:space="0" w:color="auto"/>
        <w:left w:val="none" w:sz="0" w:space="0" w:color="auto"/>
        <w:bottom w:val="none" w:sz="0" w:space="0" w:color="auto"/>
        <w:right w:val="none" w:sz="0" w:space="0" w:color="auto"/>
      </w:divBdr>
    </w:div>
    <w:div w:id="1498382032">
      <w:bodyDiv w:val="1"/>
      <w:marLeft w:val="0"/>
      <w:marRight w:val="0"/>
      <w:marTop w:val="0"/>
      <w:marBottom w:val="0"/>
      <w:divBdr>
        <w:top w:val="none" w:sz="0" w:space="0" w:color="auto"/>
        <w:left w:val="none" w:sz="0" w:space="0" w:color="auto"/>
        <w:bottom w:val="none" w:sz="0" w:space="0" w:color="auto"/>
        <w:right w:val="none" w:sz="0" w:space="0" w:color="auto"/>
      </w:divBdr>
    </w:div>
    <w:div w:id="1498837444">
      <w:bodyDiv w:val="1"/>
      <w:marLeft w:val="0"/>
      <w:marRight w:val="0"/>
      <w:marTop w:val="0"/>
      <w:marBottom w:val="0"/>
      <w:divBdr>
        <w:top w:val="none" w:sz="0" w:space="0" w:color="auto"/>
        <w:left w:val="none" w:sz="0" w:space="0" w:color="auto"/>
        <w:bottom w:val="none" w:sz="0" w:space="0" w:color="auto"/>
        <w:right w:val="none" w:sz="0" w:space="0" w:color="auto"/>
      </w:divBdr>
    </w:div>
    <w:div w:id="1499492311">
      <w:bodyDiv w:val="1"/>
      <w:marLeft w:val="0"/>
      <w:marRight w:val="0"/>
      <w:marTop w:val="0"/>
      <w:marBottom w:val="0"/>
      <w:divBdr>
        <w:top w:val="none" w:sz="0" w:space="0" w:color="auto"/>
        <w:left w:val="none" w:sz="0" w:space="0" w:color="auto"/>
        <w:bottom w:val="none" w:sz="0" w:space="0" w:color="auto"/>
        <w:right w:val="none" w:sz="0" w:space="0" w:color="auto"/>
      </w:divBdr>
    </w:div>
    <w:div w:id="1499731322">
      <w:bodyDiv w:val="1"/>
      <w:marLeft w:val="0"/>
      <w:marRight w:val="0"/>
      <w:marTop w:val="0"/>
      <w:marBottom w:val="0"/>
      <w:divBdr>
        <w:top w:val="none" w:sz="0" w:space="0" w:color="auto"/>
        <w:left w:val="none" w:sz="0" w:space="0" w:color="auto"/>
        <w:bottom w:val="none" w:sz="0" w:space="0" w:color="auto"/>
        <w:right w:val="none" w:sz="0" w:space="0" w:color="auto"/>
      </w:divBdr>
    </w:div>
    <w:div w:id="1500072859">
      <w:bodyDiv w:val="1"/>
      <w:marLeft w:val="0"/>
      <w:marRight w:val="0"/>
      <w:marTop w:val="0"/>
      <w:marBottom w:val="0"/>
      <w:divBdr>
        <w:top w:val="none" w:sz="0" w:space="0" w:color="auto"/>
        <w:left w:val="none" w:sz="0" w:space="0" w:color="auto"/>
        <w:bottom w:val="none" w:sz="0" w:space="0" w:color="auto"/>
        <w:right w:val="none" w:sz="0" w:space="0" w:color="auto"/>
      </w:divBdr>
    </w:div>
    <w:div w:id="1500122541">
      <w:bodyDiv w:val="1"/>
      <w:marLeft w:val="0"/>
      <w:marRight w:val="0"/>
      <w:marTop w:val="0"/>
      <w:marBottom w:val="0"/>
      <w:divBdr>
        <w:top w:val="none" w:sz="0" w:space="0" w:color="auto"/>
        <w:left w:val="none" w:sz="0" w:space="0" w:color="auto"/>
        <w:bottom w:val="none" w:sz="0" w:space="0" w:color="auto"/>
        <w:right w:val="none" w:sz="0" w:space="0" w:color="auto"/>
      </w:divBdr>
    </w:div>
    <w:div w:id="1502162067">
      <w:bodyDiv w:val="1"/>
      <w:marLeft w:val="0"/>
      <w:marRight w:val="0"/>
      <w:marTop w:val="0"/>
      <w:marBottom w:val="0"/>
      <w:divBdr>
        <w:top w:val="none" w:sz="0" w:space="0" w:color="auto"/>
        <w:left w:val="none" w:sz="0" w:space="0" w:color="auto"/>
        <w:bottom w:val="none" w:sz="0" w:space="0" w:color="auto"/>
        <w:right w:val="none" w:sz="0" w:space="0" w:color="auto"/>
      </w:divBdr>
    </w:div>
    <w:div w:id="1502239218">
      <w:bodyDiv w:val="1"/>
      <w:marLeft w:val="0"/>
      <w:marRight w:val="0"/>
      <w:marTop w:val="0"/>
      <w:marBottom w:val="0"/>
      <w:divBdr>
        <w:top w:val="none" w:sz="0" w:space="0" w:color="auto"/>
        <w:left w:val="none" w:sz="0" w:space="0" w:color="auto"/>
        <w:bottom w:val="none" w:sz="0" w:space="0" w:color="auto"/>
        <w:right w:val="none" w:sz="0" w:space="0" w:color="auto"/>
      </w:divBdr>
    </w:div>
    <w:div w:id="1502308926">
      <w:bodyDiv w:val="1"/>
      <w:marLeft w:val="0"/>
      <w:marRight w:val="0"/>
      <w:marTop w:val="0"/>
      <w:marBottom w:val="0"/>
      <w:divBdr>
        <w:top w:val="none" w:sz="0" w:space="0" w:color="auto"/>
        <w:left w:val="none" w:sz="0" w:space="0" w:color="auto"/>
        <w:bottom w:val="none" w:sz="0" w:space="0" w:color="auto"/>
        <w:right w:val="none" w:sz="0" w:space="0" w:color="auto"/>
      </w:divBdr>
    </w:div>
    <w:div w:id="1502547246">
      <w:bodyDiv w:val="1"/>
      <w:marLeft w:val="0"/>
      <w:marRight w:val="0"/>
      <w:marTop w:val="0"/>
      <w:marBottom w:val="0"/>
      <w:divBdr>
        <w:top w:val="none" w:sz="0" w:space="0" w:color="auto"/>
        <w:left w:val="none" w:sz="0" w:space="0" w:color="auto"/>
        <w:bottom w:val="none" w:sz="0" w:space="0" w:color="auto"/>
        <w:right w:val="none" w:sz="0" w:space="0" w:color="auto"/>
      </w:divBdr>
    </w:div>
    <w:div w:id="1502617931">
      <w:bodyDiv w:val="1"/>
      <w:marLeft w:val="0"/>
      <w:marRight w:val="0"/>
      <w:marTop w:val="0"/>
      <w:marBottom w:val="0"/>
      <w:divBdr>
        <w:top w:val="none" w:sz="0" w:space="0" w:color="auto"/>
        <w:left w:val="none" w:sz="0" w:space="0" w:color="auto"/>
        <w:bottom w:val="none" w:sz="0" w:space="0" w:color="auto"/>
        <w:right w:val="none" w:sz="0" w:space="0" w:color="auto"/>
      </w:divBdr>
    </w:div>
    <w:div w:id="1503081133">
      <w:bodyDiv w:val="1"/>
      <w:marLeft w:val="0"/>
      <w:marRight w:val="0"/>
      <w:marTop w:val="0"/>
      <w:marBottom w:val="0"/>
      <w:divBdr>
        <w:top w:val="none" w:sz="0" w:space="0" w:color="auto"/>
        <w:left w:val="none" w:sz="0" w:space="0" w:color="auto"/>
        <w:bottom w:val="none" w:sz="0" w:space="0" w:color="auto"/>
        <w:right w:val="none" w:sz="0" w:space="0" w:color="auto"/>
      </w:divBdr>
    </w:div>
    <w:div w:id="1503351008">
      <w:bodyDiv w:val="1"/>
      <w:marLeft w:val="0"/>
      <w:marRight w:val="0"/>
      <w:marTop w:val="0"/>
      <w:marBottom w:val="0"/>
      <w:divBdr>
        <w:top w:val="none" w:sz="0" w:space="0" w:color="auto"/>
        <w:left w:val="none" w:sz="0" w:space="0" w:color="auto"/>
        <w:bottom w:val="none" w:sz="0" w:space="0" w:color="auto"/>
        <w:right w:val="none" w:sz="0" w:space="0" w:color="auto"/>
      </w:divBdr>
    </w:div>
    <w:div w:id="1504930528">
      <w:bodyDiv w:val="1"/>
      <w:marLeft w:val="0"/>
      <w:marRight w:val="0"/>
      <w:marTop w:val="0"/>
      <w:marBottom w:val="0"/>
      <w:divBdr>
        <w:top w:val="none" w:sz="0" w:space="0" w:color="auto"/>
        <w:left w:val="none" w:sz="0" w:space="0" w:color="auto"/>
        <w:bottom w:val="none" w:sz="0" w:space="0" w:color="auto"/>
        <w:right w:val="none" w:sz="0" w:space="0" w:color="auto"/>
      </w:divBdr>
    </w:div>
    <w:div w:id="1506745593">
      <w:bodyDiv w:val="1"/>
      <w:marLeft w:val="0"/>
      <w:marRight w:val="0"/>
      <w:marTop w:val="0"/>
      <w:marBottom w:val="0"/>
      <w:divBdr>
        <w:top w:val="none" w:sz="0" w:space="0" w:color="auto"/>
        <w:left w:val="none" w:sz="0" w:space="0" w:color="auto"/>
        <w:bottom w:val="none" w:sz="0" w:space="0" w:color="auto"/>
        <w:right w:val="none" w:sz="0" w:space="0" w:color="auto"/>
      </w:divBdr>
    </w:div>
    <w:div w:id="1506939215">
      <w:bodyDiv w:val="1"/>
      <w:marLeft w:val="0"/>
      <w:marRight w:val="0"/>
      <w:marTop w:val="0"/>
      <w:marBottom w:val="0"/>
      <w:divBdr>
        <w:top w:val="none" w:sz="0" w:space="0" w:color="auto"/>
        <w:left w:val="none" w:sz="0" w:space="0" w:color="auto"/>
        <w:bottom w:val="none" w:sz="0" w:space="0" w:color="auto"/>
        <w:right w:val="none" w:sz="0" w:space="0" w:color="auto"/>
      </w:divBdr>
    </w:div>
    <w:div w:id="1508787989">
      <w:bodyDiv w:val="1"/>
      <w:marLeft w:val="0"/>
      <w:marRight w:val="0"/>
      <w:marTop w:val="0"/>
      <w:marBottom w:val="0"/>
      <w:divBdr>
        <w:top w:val="none" w:sz="0" w:space="0" w:color="auto"/>
        <w:left w:val="none" w:sz="0" w:space="0" w:color="auto"/>
        <w:bottom w:val="none" w:sz="0" w:space="0" w:color="auto"/>
        <w:right w:val="none" w:sz="0" w:space="0" w:color="auto"/>
      </w:divBdr>
    </w:div>
    <w:div w:id="1510018712">
      <w:bodyDiv w:val="1"/>
      <w:marLeft w:val="0"/>
      <w:marRight w:val="0"/>
      <w:marTop w:val="0"/>
      <w:marBottom w:val="0"/>
      <w:divBdr>
        <w:top w:val="none" w:sz="0" w:space="0" w:color="auto"/>
        <w:left w:val="none" w:sz="0" w:space="0" w:color="auto"/>
        <w:bottom w:val="none" w:sz="0" w:space="0" w:color="auto"/>
        <w:right w:val="none" w:sz="0" w:space="0" w:color="auto"/>
      </w:divBdr>
    </w:div>
    <w:div w:id="1510832151">
      <w:bodyDiv w:val="1"/>
      <w:marLeft w:val="0"/>
      <w:marRight w:val="0"/>
      <w:marTop w:val="0"/>
      <w:marBottom w:val="0"/>
      <w:divBdr>
        <w:top w:val="none" w:sz="0" w:space="0" w:color="auto"/>
        <w:left w:val="none" w:sz="0" w:space="0" w:color="auto"/>
        <w:bottom w:val="none" w:sz="0" w:space="0" w:color="auto"/>
        <w:right w:val="none" w:sz="0" w:space="0" w:color="auto"/>
      </w:divBdr>
    </w:div>
    <w:div w:id="1511019002">
      <w:bodyDiv w:val="1"/>
      <w:marLeft w:val="0"/>
      <w:marRight w:val="0"/>
      <w:marTop w:val="0"/>
      <w:marBottom w:val="0"/>
      <w:divBdr>
        <w:top w:val="none" w:sz="0" w:space="0" w:color="auto"/>
        <w:left w:val="none" w:sz="0" w:space="0" w:color="auto"/>
        <w:bottom w:val="none" w:sz="0" w:space="0" w:color="auto"/>
        <w:right w:val="none" w:sz="0" w:space="0" w:color="auto"/>
      </w:divBdr>
    </w:div>
    <w:div w:id="1511600405">
      <w:bodyDiv w:val="1"/>
      <w:marLeft w:val="0"/>
      <w:marRight w:val="0"/>
      <w:marTop w:val="0"/>
      <w:marBottom w:val="0"/>
      <w:divBdr>
        <w:top w:val="none" w:sz="0" w:space="0" w:color="auto"/>
        <w:left w:val="none" w:sz="0" w:space="0" w:color="auto"/>
        <w:bottom w:val="none" w:sz="0" w:space="0" w:color="auto"/>
        <w:right w:val="none" w:sz="0" w:space="0" w:color="auto"/>
      </w:divBdr>
    </w:div>
    <w:div w:id="1511678775">
      <w:bodyDiv w:val="1"/>
      <w:marLeft w:val="0"/>
      <w:marRight w:val="0"/>
      <w:marTop w:val="0"/>
      <w:marBottom w:val="0"/>
      <w:divBdr>
        <w:top w:val="none" w:sz="0" w:space="0" w:color="auto"/>
        <w:left w:val="none" w:sz="0" w:space="0" w:color="auto"/>
        <w:bottom w:val="none" w:sz="0" w:space="0" w:color="auto"/>
        <w:right w:val="none" w:sz="0" w:space="0" w:color="auto"/>
      </w:divBdr>
    </w:div>
    <w:div w:id="1512141301">
      <w:bodyDiv w:val="1"/>
      <w:marLeft w:val="0"/>
      <w:marRight w:val="0"/>
      <w:marTop w:val="0"/>
      <w:marBottom w:val="0"/>
      <w:divBdr>
        <w:top w:val="none" w:sz="0" w:space="0" w:color="auto"/>
        <w:left w:val="none" w:sz="0" w:space="0" w:color="auto"/>
        <w:bottom w:val="none" w:sz="0" w:space="0" w:color="auto"/>
        <w:right w:val="none" w:sz="0" w:space="0" w:color="auto"/>
      </w:divBdr>
    </w:div>
    <w:div w:id="1513448370">
      <w:bodyDiv w:val="1"/>
      <w:marLeft w:val="0"/>
      <w:marRight w:val="0"/>
      <w:marTop w:val="0"/>
      <w:marBottom w:val="0"/>
      <w:divBdr>
        <w:top w:val="none" w:sz="0" w:space="0" w:color="auto"/>
        <w:left w:val="none" w:sz="0" w:space="0" w:color="auto"/>
        <w:bottom w:val="none" w:sz="0" w:space="0" w:color="auto"/>
        <w:right w:val="none" w:sz="0" w:space="0" w:color="auto"/>
      </w:divBdr>
    </w:div>
    <w:div w:id="1515067645">
      <w:bodyDiv w:val="1"/>
      <w:marLeft w:val="0"/>
      <w:marRight w:val="0"/>
      <w:marTop w:val="0"/>
      <w:marBottom w:val="0"/>
      <w:divBdr>
        <w:top w:val="none" w:sz="0" w:space="0" w:color="auto"/>
        <w:left w:val="none" w:sz="0" w:space="0" w:color="auto"/>
        <w:bottom w:val="none" w:sz="0" w:space="0" w:color="auto"/>
        <w:right w:val="none" w:sz="0" w:space="0" w:color="auto"/>
      </w:divBdr>
    </w:div>
    <w:div w:id="1516113112">
      <w:bodyDiv w:val="1"/>
      <w:marLeft w:val="0"/>
      <w:marRight w:val="0"/>
      <w:marTop w:val="0"/>
      <w:marBottom w:val="0"/>
      <w:divBdr>
        <w:top w:val="none" w:sz="0" w:space="0" w:color="auto"/>
        <w:left w:val="none" w:sz="0" w:space="0" w:color="auto"/>
        <w:bottom w:val="none" w:sz="0" w:space="0" w:color="auto"/>
        <w:right w:val="none" w:sz="0" w:space="0" w:color="auto"/>
      </w:divBdr>
    </w:div>
    <w:div w:id="1516455368">
      <w:bodyDiv w:val="1"/>
      <w:marLeft w:val="0"/>
      <w:marRight w:val="0"/>
      <w:marTop w:val="0"/>
      <w:marBottom w:val="0"/>
      <w:divBdr>
        <w:top w:val="none" w:sz="0" w:space="0" w:color="auto"/>
        <w:left w:val="none" w:sz="0" w:space="0" w:color="auto"/>
        <w:bottom w:val="none" w:sz="0" w:space="0" w:color="auto"/>
        <w:right w:val="none" w:sz="0" w:space="0" w:color="auto"/>
      </w:divBdr>
    </w:div>
    <w:div w:id="1517966569">
      <w:bodyDiv w:val="1"/>
      <w:marLeft w:val="0"/>
      <w:marRight w:val="0"/>
      <w:marTop w:val="0"/>
      <w:marBottom w:val="0"/>
      <w:divBdr>
        <w:top w:val="none" w:sz="0" w:space="0" w:color="auto"/>
        <w:left w:val="none" w:sz="0" w:space="0" w:color="auto"/>
        <w:bottom w:val="none" w:sz="0" w:space="0" w:color="auto"/>
        <w:right w:val="none" w:sz="0" w:space="0" w:color="auto"/>
      </w:divBdr>
    </w:div>
    <w:div w:id="1520462549">
      <w:bodyDiv w:val="1"/>
      <w:marLeft w:val="0"/>
      <w:marRight w:val="0"/>
      <w:marTop w:val="0"/>
      <w:marBottom w:val="0"/>
      <w:divBdr>
        <w:top w:val="none" w:sz="0" w:space="0" w:color="auto"/>
        <w:left w:val="none" w:sz="0" w:space="0" w:color="auto"/>
        <w:bottom w:val="none" w:sz="0" w:space="0" w:color="auto"/>
        <w:right w:val="none" w:sz="0" w:space="0" w:color="auto"/>
      </w:divBdr>
    </w:div>
    <w:div w:id="1520852472">
      <w:bodyDiv w:val="1"/>
      <w:marLeft w:val="0"/>
      <w:marRight w:val="0"/>
      <w:marTop w:val="0"/>
      <w:marBottom w:val="0"/>
      <w:divBdr>
        <w:top w:val="none" w:sz="0" w:space="0" w:color="auto"/>
        <w:left w:val="none" w:sz="0" w:space="0" w:color="auto"/>
        <w:bottom w:val="none" w:sz="0" w:space="0" w:color="auto"/>
        <w:right w:val="none" w:sz="0" w:space="0" w:color="auto"/>
      </w:divBdr>
    </w:div>
    <w:div w:id="1521817065">
      <w:bodyDiv w:val="1"/>
      <w:marLeft w:val="0"/>
      <w:marRight w:val="0"/>
      <w:marTop w:val="0"/>
      <w:marBottom w:val="0"/>
      <w:divBdr>
        <w:top w:val="none" w:sz="0" w:space="0" w:color="auto"/>
        <w:left w:val="none" w:sz="0" w:space="0" w:color="auto"/>
        <w:bottom w:val="none" w:sz="0" w:space="0" w:color="auto"/>
        <w:right w:val="none" w:sz="0" w:space="0" w:color="auto"/>
      </w:divBdr>
    </w:div>
    <w:div w:id="1522082582">
      <w:bodyDiv w:val="1"/>
      <w:marLeft w:val="0"/>
      <w:marRight w:val="0"/>
      <w:marTop w:val="0"/>
      <w:marBottom w:val="0"/>
      <w:divBdr>
        <w:top w:val="none" w:sz="0" w:space="0" w:color="auto"/>
        <w:left w:val="none" w:sz="0" w:space="0" w:color="auto"/>
        <w:bottom w:val="none" w:sz="0" w:space="0" w:color="auto"/>
        <w:right w:val="none" w:sz="0" w:space="0" w:color="auto"/>
      </w:divBdr>
    </w:div>
    <w:div w:id="1522550580">
      <w:bodyDiv w:val="1"/>
      <w:marLeft w:val="0"/>
      <w:marRight w:val="0"/>
      <w:marTop w:val="0"/>
      <w:marBottom w:val="0"/>
      <w:divBdr>
        <w:top w:val="none" w:sz="0" w:space="0" w:color="auto"/>
        <w:left w:val="none" w:sz="0" w:space="0" w:color="auto"/>
        <w:bottom w:val="none" w:sz="0" w:space="0" w:color="auto"/>
        <w:right w:val="none" w:sz="0" w:space="0" w:color="auto"/>
      </w:divBdr>
    </w:div>
    <w:div w:id="1523081632">
      <w:bodyDiv w:val="1"/>
      <w:marLeft w:val="0"/>
      <w:marRight w:val="0"/>
      <w:marTop w:val="0"/>
      <w:marBottom w:val="0"/>
      <w:divBdr>
        <w:top w:val="none" w:sz="0" w:space="0" w:color="auto"/>
        <w:left w:val="none" w:sz="0" w:space="0" w:color="auto"/>
        <w:bottom w:val="none" w:sz="0" w:space="0" w:color="auto"/>
        <w:right w:val="none" w:sz="0" w:space="0" w:color="auto"/>
      </w:divBdr>
    </w:div>
    <w:div w:id="1523589761">
      <w:bodyDiv w:val="1"/>
      <w:marLeft w:val="0"/>
      <w:marRight w:val="0"/>
      <w:marTop w:val="0"/>
      <w:marBottom w:val="0"/>
      <w:divBdr>
        <w:top w:val="none" w:sz="0" w:space="0" w:color="auto"/>
        <w:left w:val="none" w:sz="0" w:space="0" w:color="auto"/>
        <w:bottom w:val="none" w:sz="0" w:space="0" w:color="auto"/>
        <w:right w:val="none" w:sz="0" w:space="0" w:color="auto"/>
      </w:divBdr>
    </w:div>
    <w:div w:id="1523742533">
      <w:bodyDiv w:val="1"/>
      <w:marLeft w:val="0"/>
      <w:marRight w:val="0"/>
      <w:marTop w:val="0"/>
      <w:marBottom w:val="0"/>
      <w:divBdr>
        <w:top w:val="none" w:sz="0" w:space="0" w:color="auto"/>
        <w:left w:val="none" w:sz="0" w:space="0" w:color="auto"/>
        <w:bottom w:val="none" w:sz="0" w:space="0" w:color="auto"/>
        <w:right w:val="none" w:sz="0" w:space="0" w:color="auto"/>
      </w:divBdr>
    </w:div>
    <w:div w:id="1524171377">
      <w:bodyDiv w:val="1"/>
      <w:marLeft w:val="0"/>
      <w:marRight w:val="0"/>
      <w:marTop w:val="0"/>
      <w:marBottom w:val="0"/>
      <w:divBdr>
        <w:top w:val="none" w:sz="0" w:space="0" w:color="auto"/>
        <w:left w:val="none" w:sz="0" w:space="0" w:color="auto"/>
        <w:bottom w:val="none" w:sz="0" w:space="0" w:color="auto"/>
        <w:right w:val="none" w:sz="0" w:space="0" w:color="auto"/>
      </w:divBdr>
    </w:div>
    <w:div w:id="1524854294">
      <w:bodyDiv w:val="1"/>
      <w:marLeft w:val="0"/>
      <w:marRight w:val="0"/>
      <w:marTop w:val="0"/>
      <w:marBottom w:val="0"/>
      <w:divBdr>
        <w:top w:val="none" w:sz="0" w:space="0" w:color="auto"/>
        <w:left w:val="none" w:sz="0" w:space="0" w:color="auto"/>
        <w:bottom w:val="none" w:sz="0" w:space="0" w:color="auto"/>
        <w:right w:val="none" w:sz="0" w:space="0" w:color="auto"/>
      </w:divBdr>
    </w:div>
    <w:div w:id="1524972857">
      <w:bodyDiv w:val="1"/>
      <w:marLeft w:val="0"/>
      <w:marRight w:val="0"/>
      <w:marTop w:val="0"/>
      <w:marBottom w:val="0"/>
      <w:divBdr>
        <w:top w:val="none" w:sz="0" w:space="0" w:color="auto"/>
        <w:left w:val="none" w:sz="0" w:space="0" w:color="auto"/>
        <w:bottom w:val="none" w:sz="0" w:space="0" w:color="auto"/>
        <w:right w:val="none" w:sz="0" w:space="0" w:color="auto"/>
      </w:divBdr>
    </w:div>
    <w:div w:id="1526022421">
      <w:bodyDiv w:val="1"/>
      <w:marLeft w:val="0"/>
      <w:marRight w:val="0"/>
      <w:marTop w:val="0"/>
      <w:marBottom w:val="0"/>
      <w:divBdr>
        <w:top w:val="none" w:sz="0" w:space="0" w:color="auto"/>
        <w:left w:val="none" w:sz="0" w:space="0" w:color="auto"/>
        <w:bottom w:val="none" w:sz="0" w:space="0" w:color="auto"/>
        <w:right w:val="none" w:sz="0" w:space="0" w:color="auto"/>
      </w:divBdr>
    </w:div>
    <w:div w:id="1527671072">
      <w:bodyDiv w:val="1"/>
      <w:marLeft w:val="0"/>
      <w:marRight w:val="0"/>
      <w:marTop w:val="0"/>
      <w:marBottom w:val="0"/>
      <w:divBdr>
        <w:top w:val="none" w:sz="0" w:space="0" w:color="auto"/>
        <w:left w:val="none" w:sz="0" w:space="0" w:color="auto"/>
        <w:bottom w:val="none" w:sz="0" w:space="0" w:color="auto"/>
        <w:right w:val="none" w:sz="0" w:space="0" w:color="auto"/>
      </w:divBdr>
    </w:div>
    <w:div w:id="1528450568">
      <w:bodyDiv w:val="1"/>
      <w:marLeft w:val="0"/>
      <w:marRight w:val="0"/>
      <w:marTop w:val="0"/>
      <w:marBottom w:val="0"/>
      <w:divBdr>
        <w:top w:val="none" w:sz="0" w:space="0" w:color="auto"/>
        <w:left w:val="none" w:sz="0" w:space="0" w:color="auto"/>
        <w:bottom w:val="none" w:sz="0" w:space="0" w:color="auto"/>
        <w:right w:val="none" w:sz="0" w:space="0" w:color="auto"/>
      </w:divBdr>
    </w:div>
    <w:div w:id="1528593544">
      <w:bodyDiv w:val="1"/>
      <w:marLeft w:val="0"/>
      <w:marRight w:val="0"/>
      <w:marTop w:val="0"/>
      <w:marBottom w:val="0"/>
      <w:divBdr>
        <w:top w:val="none" w:sz="0" w:space="0" w:color="auto"/>
        <w:left w:val="none" w:sz="0" w:space="0" w:color="auto"/>
        <w:bottom w:val="none" w:sz="0" w:space="0" w:color="auto"/>
        <w:right w:val="none" w:sz="0" w:space="0" w:color="auto"/>
      </w:divBdr>
    </w:div>
    <w:div w:id="1528983708">
      <w:bodyDiv w:val="1"/>
      <w:marLeft w:val="0"/>
      <w:marRight w:val="0"/>
      <w:marTop w:val="0"/>
      <w:marBottom w:val="0"/>
      <w:divBdr>
        <w:top w:val="none" w:sz="0" w:space="0" w:color="auto"/>
        <w:left w:val="none" w:sz="0" w:space="0" w:color="auto"/>
        <w:bottom w:val="none" w:sz="0" w:space="0" w:color="auto"/>
        <w:right w:val="none" w:sz="0" w:space="0" w:color="auto"/>
      </w:divBdr>
    </w:div>
    <w:div w:id="1530682149">
      <w:bodyDiv w:val="1"/>
      <w:marLeft w:val="0"/>
      <w:marRight w:val="0"/>
      <w:marTop w:val="0"/>
      <w:marBottom w:val="0"/>
      <w:divBdr>
        <w:top w:val="none" w:sz="0" w:space="0" w:color="auto"/>
        <w:left w:val="none" w:sz="0" w:space="0" w:color="auto"/>
        <w:bottom w:val="none" w:sz="0" w:space="0" w:color="auto"/>
        <w:right w:val="none" w:sz="0" w:space="0" w:color="auto"/>
      </w:divBdr>
    </w:div>
    <w:div w:id="1531065183">
      <w:bodyDiv w:val="1"/>
      <w:marLeft w:val="0"/>
      <w:marRight w:val="0"/>
      <w:marTop w:val="0"/>
      <w:marBottom w:val="0"/>
      <w:divBdr>
        <w:top w:val="none" w:sz="0" w:space="0" w:color="auto"/>
        <w:left w:val="none" w:sz="0" w:space="0" w:color="auto"/>
        <w:bottom w:val="none" w:sz="0" w:space="0" w:color="auto"/>
        <w:right w:val="none" w:sz="0" w:space="0" w:color="auto"/>
      </w:divBdr>
    </w:div>
    <w:div w:id="1531455566">
      <w:bodyDiv w:val="1"/>
      <w:marLeft w:val="0"/>
      <w:marRight w:val="0"/>
      <w:marTop w:val="0"/>
      <w:marBottom w:val="0"/>
      <w:divBdr>
        <w:top w:val="none" w:sz="0" w:space="0" w:color="auto"/>
        <w:left w:val="none" w:sz="0" w:space="0" w:color="auto"/>
        <w:bottom w:val="none" w:sz="0" w:space="0" w:color="auto"/>
        <w:right w:val="none" w:sz="0" w:space="0" w:color="auto"/>
      </w:divBdr>
    </w:div>
    <w:div w:id="1531841458">
      <w:bodyDiv w:val="1"/>
      <w:marLeft w:val="0"/>
      <w:marRight w:val="0"/>
      <w:marTop w:val="0"/>
      <w:marBottom w:val="0"/>
      <w:divBdr>
        <w:top w:val="none" w:sz="0" w:space="0" w:color="auto"/>
        <w:left w:val="none" w:sz="0" w:space="0" w:color="auto"/>
        <w:bottom w:val="none" w:sz="0" w:space="0" w:color="auto"/>
        <w:right w:val="none" w:sz="0" w:space="0" w:color="auto"/>
      </w:divBdr>
    </w:div>
    <w:div w:id="1533180560">
      <w:bodyDiv w:val="1"/>
      <w:marLeft w:val="0"/>
      <w:marRight w:val="0"/>
      <w:marTop w:val="0"/>
      <w:marBottom w:val="0"/>
      <w:divBdr>
        <w:top w:val="none" w:sz="0" w:space="0" w:color="auto"/>
        <w:left w:val="none" w:sz="0" w:space="0" w:color="auto"/>
        <w:bottom w:val="none" w:sz="0" w:space="0" w:color="auto"/>
        <w:right w:val="none" w:sz="0" w:space="0" w:color="auto"/>
      </w:divBdr>
    </w:div>
    <w:div w:id="1533297979">
      <w:bodyDiv w:val="1"/>
      <w:marLeft w:val="0"/>
      <w:marRight w:val="0"/>
      <w:marTop w:val="0"/>
      <w:marBottom w:val="0"/>
      <w:divBdr>
        <w:top w:val="none" w:sz="0" w:space="0" w:color="auto"/>
        <w:left w:val="none" w:sz="0" w:space="0" w:color="auto"/>
        <w:bottom w:val="none" w:sz="0" w:space="0" w:color="auto"/>
        <w:right w:val="none" w:sz="0" w:space="0" w:color="auto"/>
      </w:divBdr>
    </w:div>
    <w:div w:id="1533302911">
      <w:bodyDiv w:val="1"/>
      <w:marLeft w:val="0"/>
      <w:marRight w:val="0"/>
      <w:marTop w:val="0"/>
      <w:marBottom w:val="0"/>
      <w:divBdr>
        <w:top w:val="none" w:sz="0" w:space="0" w:color="auto"/>
        <w:left w:val="none" w:sz="0" w:space="0" w:color="auto"/>
        <w:bottom w:val="none" w:sz="0" w:space="0" w:color="auto"/>
        <w:right w:val="none" w:sz="0" w:space="0" w:color="auto"/>
      </w:divBdr>
    </w:div>
    <w:div w:id="1533497570">
      <w:bodyDiv w:val="1"/>
      <w:marLeft w:val="0"/>
      <w:marRight w:val="0"/>
      <w:marTop w:val="0"/>
      <w:marBottom w:val="0"/>
      <w:divBdr>
        <w:top w:val="none" w:sz="0" w:space="0" w:color="auto"/>
        <w:left w:val="none" w:sz="0" w:space="0" w:color="auto"/>
        <w:bottom w:val="none" w:sz="0" w:space="0" w:color="auto"/>
        <w:right w:val="none" w:sz="0" w:space="0" w:color="auto"/>
      </w:divBdr>
    </w:div>
    <w:div w:id="1536962879">
      <w:bodyDiv w:val="1"/>
      <w:marLeft w:val="0"/>
      <w:marRight w:val="0"/>
      <w:marTop w:val="0"/>
      <w:marBottom w:val="0"/>
      <w:divBdr>
        <w:top w:val="none" w:sz="0" w:space="0" w:color="auto"/>
        <w:left w:val="none" w:sz="0" w:space="0" w:color="auto"/>
        <w:bottom w:val="none" w:sz="0" w:space="0" w:color="auto"/>
        <w:right w:val="none" w:sz="0" w:space="0" w:color="auto"/>
      </w:divBdr>
    </w:div>
    <w:div w:id="1538546016">
      <w:bodyDiv w:val="1"/>
      <w:marLeft w:val="0"/>
      <w:marRight w:val="0"/>
      <w:marTop w:val="0"/>
      <w:marBottom w:val="0"/>
      <w:divBdr>
        <w:top w:val="none" w:sz="0" w:space="0" w:color="auto"/>
        <w:left w:val="none" w:sz="0" w:space="0" w:color="auto"/>
        <w:bottom w:val="none" w:sz="0" w:space="0" w:color="auto"/>
        <w:right w:val="none" w:sz="0" w:space="0" w:color="auto"/>
      </w:divBdr>
    </w:div>
    <w:div w:id="1539782634">
      <w:bodyDiv w:val="1"/>
      <w:marLeft w:val="0"/>
      <w:marRight w:val="0"/>
      <w:marTop w:val="0"/>
      <w:marBottom w:val="0"/>
      <w:divBdr>
        <w:top w:val="none" w:sz="0" w:space="0" w:color="auto"/>
        <w:left w:val="none" w:sz="0" w:space="0" w:color="auto"/>
        <w:bottom w:val="none" w:sz="0" w:space="0" w:color="auto"/>
        <w:right w:val="none" w:sz="0" w:space="0" w:color="auto"/>
      </w:divBdr>
    </w:div>
    <w:div w:id="1540044745">
      <w:bodyDiv w:val="1"/>
      <w:marLeft w:val="0"/>
      <w:marRight w:val="0"/>
      <w:marTop w:val="0"/>
      <w:marBottom w:val="0"/>
      <w:divBdr>
        <w:top w:val="none" w:sz="0" w:space="0" w:color="auto"/>
        <w:left w:val="none" w:sz="0" w:space="0" w:color="auto"/>
        <w:bottom w:val="none" w:sz="0" w:space="0" w:color="auto"/>
        <w:right w:val="none" w:sz="0" w:space="0" w:color="auto"/>
      </w:divBdr>
    </w:div>
    <w:div w:id="1541474642">
      <w:bodyDiv w:val="1"/>
      <w:marLeft w:val="0"/>
      <w:marRight w:val="0"/>
      <w:marTop w:val="0"/>
      <w:marBottom w:val="0"/>
      <w:divBdr>
        <w:top w:val="none" w:sz="0" w:space="0" w:color="auto"/>
        <w:left w:val="none" w:sz="0" w:space="0" w:color="auto"/>
        <w:bottom w:val="none" w:sz="0" w:space="0" w:color="auto"/>
        <w:right w:val="none" w:sz="0" w:space="0" w:color="auto"/>
      </w:divBdr>
    </w:div>
    <w:div w:id="1543440622">
      <w:bodyDiv w:val="1"/>
      <w:marLeft w:val="0"/>
      <w:marRight w:val="0"/>
      <w:marTop w:val="0"/>
      <w:marBottom w:val="0"/>
      <w:divBdr>
        <w:top w:val="none" w:sz="0" w:space="0" w:color="auto"/>
        <w:left w:val="none" w:sz="0" w:space="0" w:color="auto"/>
        <w:bottom w:val="none" w:sz="0" w:space="0" w:color="auto"/>
        <w:right w:val="none" w:sz="0" w:space="0" w:color="auto"/>
      </w:divBdr>
    </w:div>
    <w:div w:id="1546018307">
      <w:bodyDiv w:val="1"/>
      <w:marLeft w:val="0"/>
      <w:marRight w:val="0"/>
      <w:marTop w:val="0"/>
      <w:marBottom w:val="0"/>
      <w:divBdr>
        <w:top w:val="none" w:sz="0" w:space="0" w:color="auto"/>
        <w:left w:val="none" w:sz="0" w:space="0" w:color="auto"/>
        <w:bottom w:val="none" w:sz="0" w:space="0" w:color="auto"/>
        <w:right w:val="none" w:sz="0" w:space="0" w:color="auto"/>
      </w:divBdr>
    </w:div>
    <w:div w:id="1546062771">
      <w:bodyDiv w:val="1"/>
      <w:marLeft w:val="0"/>
      <w:marRight w:val="0"/>
      <w:marTop w:val="0"/>
      <w:marBottom w:val="0"/>
      <w:divBdr>
        <w:top w:val="none" w:sz="0" w:space="0" w:color="auto"/>
        <w:left w:val="none" w:sz="0" w:space="0" w:color="auto"/>
        <w:bottom w:val="none" w:sz="0" w:space="0" w:color="auto"/>
        <w:right w:val="none" w:sz="0" w:space="0" w:color="auto"/>
      </w:divBdr>
    </w:div>
    <w:div w:id="1546478060">
      <w:bodyDiv w:val="1"/>
      <w:marLeft w:val="0"/>
      <w:marRight w:val="0"/>
      <w:marTop w:val="0"/>
      <w:marBottom w:val="0"/>
      <w:divBdr>
        <w:top w:val="none" w:sz="0" w:space="0" w:color="auto"/>
        <w:left w:val="none" w:sz="0" w:space="0" w:color="auto"/>
        <w:bottom w:val="none" w:sz="0" w:space="0" w:color="auto"/>
        <w:right w:val="none" w:sz="0" w:space="0" w:color="auto"/>
      </w:divBdr>
    </w:div>
    <w:div w:id="1547333821">
      <w:bodyDiv w:val="1"/>
      <w:marLeft w:val="0"/>
      <w:marRight w:val="0"/>
      <w:marTop w:val="0"/>
      <w:marBottom w:val="0"/>
      <w:divBdr>
        <w:top w:val="none" w:sz="0" w:space="0" w:color="auto"/>
        <w:left w:val="none" w:sz="0" w:space="0" w:color="auto"/>
        <w:bottom w:val="none" w:sz="0" w:space="0" w:color="auto"/>
        <w:right w:val="none" w:sz="0" w:space="0" w:color="auto"/>
      </w:divBdr>
    </w:div>
    <w:div w:id="1549605417">
      <w:bodyDiv w:val="1"/>
      <w:marLeft w:val="0"/>
      <w:marRight w:val="0"/>
      <w:marTop w:val="0"/>
      <w:marBottom w:val="0"/>
      <w:divBdr>
        <w:top w:val="none" w:sz="0" w:space="0" w:color="auto"/>
        <w:left w:val="none" w:sz="0" w:space="0" w:color="auto"/>
        <w:bottom w:val="none" w:sz="0" w:space="0" w:color="auto"/>
        <w:right w:val="none" w:sz="0" w:space="0" w:color="auto"/>
      </w:divBdr>
    </w:div>
    <w:div w:id="1551258992">
      <w:bodyDiv w:val="1"/>
      <w:marLeft w:val="0"/>
      <w:marRight w:val="0"/>
      <w:marTop w:val="0"/>
      <w:marBottom w:val="0"/>
      <w:divBdr>
        <w:top w:val="none" w:sz="0" w:space="0" w:color="auto"/>
        <w:left w:val="none" w:sz="0" w:space="0" w:color="auto"/>
        <w:bottom w:val="none" w:sz="0" w:space="0" w:color="auto"/>
        <w:right w:val="none" w:sz="0" w:space="0" w:color="auto"/>
      </w:divBdr>
    </w:div>
    <w:div w:id="1552497164">
      <w:bodyDiv w:val="1"/>
      <w:marLeft w:val="0"/>
      <w:marRight w:val="0"/>
      <w:marTop w:val="0"/>
      <w:marBottom w:val="0"/>
      <w:divBdr>
        <w:top w:val="none" w:sz="0" w:space="0" w:color="auto"/>
        <w:left w:val="none" w:sz="0" w:space="0" w:color="auto"/>
        <w:bottom w:val="none" w:sz="0" w:space="0" w:color="auto"/>
        <w:right w:val="none" w:sz="0" w:space="0" w:color="auto"/>
      </w:divBdr>
    </w:div>
    <w:div w:id="1552617493">
      <w:bodyDiv w:val="1"/>
      <w:marLeft w:val="0"/>
      <w:marRight w:val="0"/>
      <w:marTop w:val="0"/>
      <w:marBottom w:val="0"/>
      <w:divBdr>
        <w:top w:val="none" w:sz="0" w:space="0" w:color="auto"/>
        <w:left w:val="none" w:sz="0" w:space="0" w:color="auto"/>
        <w:bottom w:val="none" w:sz="0" w:space="0" w:color="auto"/>
        <w:right w:val="none" w:sz="0" w:space="0" w:color="auto"/>
      </w:divBdr>
    </w:div>
    <w:div w:id="1553423907">
      <w:bodyDiv w:val="1"/>
      <w:marLeft w:val="0"/>
      <w:marRight w:val="0"/>
      <w:marTop w:val="0"/>
      <w:marBottom w:val="0"/>
      <w:divBdr>
        <w:top w:val="none" w:sz="0" w:space="0" w:color="auto"/>
        <w:left w:val="none" w:sz="0" w:space="0" w:color="auto"/>
        <w:bottom w:val="none" w:sz="0" w:space="0" w:color="auto"/>
        <w:right w:val="none" w:sz="0" w:space="0" w:color="auto"/>
      </w:divBdr>
    </w:div>
    <w:div w:id="1554729317">
      <w:bodyDiv w:val="1"/>
      <w:marLeft w:val="0"/>
      <w:marRight w:val="0"/>
      <w:marTop w:val="0"/>
      <w:marBottom w:val="0"/>
      <w:divBdr>
        <w:top w:val="none" w:sz="0" w:space="0" w:color="auto"/>
        <w:left w:val="none" w:sz="0" w:space="0" w:color="auto"/>
        <w:bottom w:val="none" w:sz="0" w:space="0" w:color="auto"/>
        <w:right w:val="none" w:sz="0" w:space="0" w:color="auto"/>
      </w:divBdr>
    </w:div>
    <w:div w:id="1556046211">
      <w:bodyDiv w:val="1"/>
      <w:marLeft w:val="0"/>
      <w:marRight w:val="0"/>
      <w:marTop w:val="0"/>
      <w:marBottom w:val="0"/>
      <w:divBdr>
        <w:top w:val="none" w:sz="0" w:space="0" w:color="auto"/>
        <w:left w:val="none" w:sz="0" w:space="0" w:color="auto"/>
        <w:bottom w:val="none" w:sz="0" w:space="0" w:color="auto"/>
        <w:right w:val="none" w:sz="0" w:space="0" w:color="auto"/>
      </w:divBdr>
    </w:div>
    <w:div w:id="1556234224">
      <w:bodyDiv w:val="1"/>
      <w:marLeft w:val="0"/>
      <w:marRight w:val="0"/>
      <w:marTop w:val="0"/>
      <w:marBottom w:val="0"/>
      <w:divBdr>
        <w:top w:val="none" w:sz="0" w:space="0" w:color="auto"/>
        <w:left w:val="none" w:sz="0" w:space="0" w:color="auto"/>
        <w:bottom w:val="none" w:sz="0" w:space="0" w:color="auto"/>
        <w:right w:val="none" w:sz="0" w:space="0" w:color="auto"/>
      </w:divBdr>
    </w:div>
    <w:div w:id="1557424179">
      <w:bodyDiv w:val="1"/>
      <w:marLeft w:val="0"/>
      <w:marRight w:val="0"/>
      <w:marTop w:val="0"/>
      <w:marBottom w:val="0"/>
      <w:divBdr>
        <w:top w:val="none" w:sz="0" w:space="0" w:color="auto"/>
        <w:left w:val="none" w:sz="0" w:space="0" w:color="auto"/>
        <w:bottom w:val="none" w:sz="0" w:space="0" w:color="auto"/>
        <w:right w:val="none" w:sz="0" w:space="0" w:color="auto"/>
      </w:divBdr>
    </w:div>
    <w:div w:id="1557472101">
      <w:bodyDiv w:val="1"/>
      <w:marLeft w:val="0"/>
      <w:marRight w:val="0"/>
      <w:marTop w:val="0"/>
      <w:marBottom w:val="0"/>
      <w:divBdr>
        <w:top w:val="none" w:sz="0" w:space="0" w:color="auto"/>
        <w:left w:val="none" w:sz="0" w:space="0" w:color="auto"/>
        <w:bottom w:val="none" w:sz="0" w:space="0" w:color="auto"/>
        <w:right w:val="none" w:sz="0" w:space="0" w:color="auto"/>
      </w:divBdr>
    </w:div>
    <w:div w:id="1557619106">
      <w:bodyDiv w:val="1"/>
      <w:marLeft w:val="0"/>
      <w:marRight w:val="0"/>
      <w:marTop w:val="0"/>
      <w:marBottom w:val="0"/>
      <w:divBdr>
        <w:top w:val="none" w:sz="0" w:space="0" w:color="auto"/>
        <w:left w:val="none" w:sz="0" w:space="0" w:color="auto"/>
        <w:bottom w:val="none" w:sz="0" w:space="0" w:color="auto"/>
        <w:right w:val="none" w:sz="0" w:space="0" w:color="auto"/>
      </w:divBdr>
    </w:div>
    <w:div w:id="1557623004">
      <w:bodyDiv w:val="1"/>
      <w:marLeft w:val="0"/>
      <w:marRight w:val="0"/>
      <w:marTop w:val="0"/>
      <w:marBottom w:val="0"/>
      <w:divBdr>
        <w:top w:val="none" w:sz="0" w:space="0" w:color="auto"/>
        <w:left w:val="none" w:sz="0" w:space="0" w:color="auto"/>
        <w:bottom w:val="none" w:sz="0" w:space="0" w:color="auto"/>
        <w:right w:val="none" w:sz="0" w:space="0" w:color="auto"/>
      </w:divBdr>
    </w:div>
    <w:div w:id="1558978557">
      <w:bodyDiv w:val="1"/>
      <w:marLeft w:val="0"/>
      <w:marRight w:val="0"/>
      <w:marTop w:val="0"/>
      <w:marBottom w:val="0"/>
      <w:divBdr>
        <w:top w:val="none" w:sz="0" w:space="0" w:color="auto"/>
        <w:left w:val="none" w:sz="0" w:space="0" w:color="auto"/>
        <w:bottom w:val="none" w:sz="0" w:space="0" w:color="auto"/>
        <w:right w:val="none" w:sz="0" w:space="0" w:color="auto"/>
      </w:divBdr>
    </w:div>
    <w:div w:id="1559634571">
      <w:bodyDiv w:val="1"/>
      <w:marLeft w:val="0"/>
      <w:marRight w:val="0"/>
      <w:marTop w:val="0"/>
      <w:marBottom w:val="0"/>
      <w:divBdr>
        <w:top w:val="none" w:sz="0" w:space="0" w:color="auto"/>
        <w:left w:val="none" w:sz="0" w:space="0" w:color="auto"/>
        <w:bottom w:val="none" w:sz="0" w:space="0" w:color="auto"/>
        <w:right w:val="none" w:sz="0" w:space="0" w:color="auto"/>
      </w:divBdr>
    </w:div>
    <w:div w:id="1561094740">
      <w:bodyDiv w:val="1"/>
      <w:marLeft w:val="0"/>
      <w:marRight w:val="0"/>
      <w:marTop w:val="0"/>
      <w:marBottom w:val="0"/>
      <w:divBdr>
        <w:top w:val="none" w:sz="0" w:space="0" w:color="auto"/>
        <w:left w:val="none" w:sz="0" w:space="0" w:color="auto"/>
        <w:bottom w:val="none" w:sz="0" w:space="0" w:color="auto"/>
        <w:right w:val="none" w:sz="0" w:space="0" w:color="auto"/>
      </w:divBdr>
    </w:div>
    <w:div w:id="1561357622">
      <w:bodyDiv w:val="1"/>
      <w:marLeft w:val="0"/>
      <w:marRight w:val="0"/>
      <w:marTop w:val="0"/>
      <w:marBottom w:val="0"/>
      <w:divBdr>
        <w:top w:val="none" w:sz="0" w:space="0" w:color="auto"/>
        <w:left w:val="none" w:sz="0" w:space="0" w:color="auto"/>
        <w:bottom w:val="none" w:sz="0" w:space="0" w:color="auto"/>
        <w:right w:val="none" w:sz="0" w:space="0" w:color="auto"/>
      </w:divBdr>
    </w:div>
    <w:div w:id="1562714432">
      <w:bodyDiv w:val="1"/>
      <w:marLeft w:val="0"/>
      <w:marRight w:val="0"/>
      <w:marTop w:val="0"/>
      <w:marBottom w:val="0"/>
      <w:divBdr>
        <w:top w:val="none" w:sz="0" w:space="0" w:color="auto"/>
        <w:left w:val="none" w:sz="0" w:space="0" w:color="auto"/>
        <w:bottom w:val="none" w:sz="0" w:space="0" w:color="auto"/>
        <w:right w:val="none" w:sz="0" w:space="0" w:color="auto"/>
      </w:divBdr>
    </w:div>
    <w:div w:id="1563058809">
      <w:bodyDiv w:val="1"/>
      <w:marLeft w:val="0"/>
      <w:marRight w:val="0"/>
      <w:marTop w:val="0"/>
      <w:marBottom w:val="0"/>
      <w:divBdr>
        <w:top w:val="none" w:sz="0" w:space="0" w:color="auto"/>
        <w:left w:val="none" w:sz="0" w:space="0" w:color="auto"/>
        <w:bottom w:val="none" w:sz="0" w:space="0" w:color="auto"/>
        <w:right w:val="none" w:sz="0" w:space="0" w:color="auto"/>
      </w:divBdr>
    </w:div>
    <w:div w:id="1566255291">
      <w:bodyDiv w:val="1"/>
      <w:marLeft w:val="0"/>
      <w:marRight w:val="0"/>
      <w:marTop w:val="0"/>
      <w:marBottom w:val="0"/>
      <w:divBdr>
        <w:top w:val="none" w:sz="0" w:space="0" w:color="auto"/>
        <w:left w:val="none" w:sz="0" w:space="0" w:color="auto"/>
        <w:bottom w:val="none" w:sz="0" w:space="0" w:color="auto"/>
        <w:right w:val="none" w:sz="0" w:space="0" w:color="auto"/>
      </w:divBdr>
    </w:div>
    <w:div w:id="1566916411">
      <w:bodyDiv w:val="1"/>
      <w:marLeft w:val="0"/>
      <w:marRight w:val="0"/>
      <w:marTop w:val="0"/>
      <w:marBottom w:val="0"/>
      <w:divBdr>
        <w:top w:val="none" w:sz="0" w:space="0" w:color="auto"/>
        <w:left w:val="none" w:sz="0" w:space="0" w:color="auto"/>
        <w:bottom w:val="none" w:sz="0" w:space="0" w:color="auto"/>
        <w:right w:val="none" w:sz="0" w:space="0" w:color="auto"/>
      </w:divBdr>
    </w:div>
    <w:div w:id="1567572675">
      <w:bodyDiv w:val="1"/>
      <w:marLeft w:val="0"/>
      <w:marRight w:val="0"/>
      <w:marTop w:val="0"/>
      <w:marBottom w:val="0"/>
      <w:divBdr>
        <w:top w:val="none" w:sz="0" w:space="0" w:color="auto"/>
        <w:left w:val="none" w:sz="0" w:space="0" w:color="auto"/>
        <w:bottom w:val="none" w:sz="0" w:space="0" w:color="auto"/>
        <w:right w:val="none" w:sz="0" w:space="0" w:color="auto"/>
      </w:divBdr>
    </w:div>
    <w:div w:id="1567952087">
      <w:bodyDiv w:val="1"/>
      <w:marLeft w:val="0"/>
      <w:marRight w:val="0"/>
      <w:marTop w:val="0"/>
      <w:marBottom w:val="0"/>
      <w:divBdr>
        <w:top w:val="none" w:sz="0" w:space="0" w:color="auto"/>
        <w:left w:val="none" w:sz="0" w:space="0" w:color="auto"/>
        <w:bottom w:val="none" w:sz="0" w:space="0" w:color="auto"/>
        <w:right w:val="none" w:sz="0" w:space="0" w:color="auto"/>
      </w:divBdr>
    </w:div>
    <w:div w:id="1570338104">
      <w:bodyDiv w:val="1"/>
      <w:marLeft w:val="0"/>
      <w:marRight w:val="0"/>
      <w:marTop w:val="0"/>
      <w:marBottom w:val="0"/>
      <w:divBdr>
        <w:top w:val="none" w:sz="0" w:space="0" w:color="auto"/>
        <w:left w:val="none" w:sz="0" w:space="0" w:color="auto"/>
        <w:bottom w:val="none" w:sz="0" w:space="0" w:color="auto"/>
        <w:right w:val="none" w:sz="0" w:space="0" w:color="auto"/>
      </w:divBdr>
    </w:div>
    <w:div w:id="1570993147">
      <w:bodyDiv w:val="1"/>
      <w:marLeft w:val="0"/>
      <w:marRight w:val="0"/>
      <w:marTop w:val="0"/>
      <w:marBottom w:val="0"/>
      <w:divBdr>
        <w:top w:val="none" w:sz="0" w:space="0" w:color="auto"/>
        <w:left w:val="none" w:sz="0" w:space="0" w:color="auto"/>
        <w:bottom w:val="none" w:sz="0" w:space="0" w:color="auto"/>
        <w:right w:val="none" w:sz="0" w:space="0" w:color="auto"/>
      </w:divBdr>
    </w:div>
    <w:div w:id="1571379823">
      <w:bodyDiv w:val="1"/>
      <w:marLeft w:val="0"/>
      <w:marRight w:val="0"/>
      <w:marTop w:val="0"/>
      <w:marBottom w:val="0"/>
      <w:divBdr>
        <w:top w:val="none" w:sz="0" w:space="0" w:color="auto"/>
        <w:left w:val="none" w:sz="0" w:space="0" w:color="auto"/>
        <w:bottom w:val="none" w:sz="0" w:space="0" w:color="auto"/>
        <w:right w:val="none" w:sz="0" w:space="0" w:color="auto"/>
      </w:divBdr>
    </w:div>
    <w:div w:id="1571500372">
      <w:bodyDiv w:val="1"/>
      <w:marLeft w:val="0"/>
      <w:marRight w:val="0"/>
      <w:marTop w:val="0"/>
      <w:marBottom w:val="0"/>
      <w:divBdr>
        <w:top w:val="none" w:sz="0" w:space="0" w:color="auto"/>
        <w:left w:val="none" w:sz="0" w:space="0" w:color="auto"/>
        <w:bottom w:val="none" w:sz="0" w:space="0" w:color="auto"/>
        <w:right w:val="none" w:sz="0" w:space="0" w:color="auto"/>
      </w:divBdr>
    </w:div>
    <w:div w:id="1571501736">
      <w:bodyDiv w:val="1"/>
      <w:marLeft w:val="0"/>
      <w:marRight w:val="0"/>
      <w:marTop w:val="0"/>
      <w:marBottom w:val="0"/>
      <w:divBdr>
        <w:top w:val="none" w:sz="0" w:space="0" w:color="auto"/>
        <w:left w:val="none" w:sz="0" w:space="0" w:color="auto"/>
        <w:bottom w:val="none" w:sz="0" w:space="0" w:color="auto"/>
        <w:right w:val="none" w:sz="0" w:space="0" w:color="auto"/>
      </w:divBdr>
    </w:div>
    <w:div w:id="1574268469">
      <w:bodyDiv w:val="1"/>
      <w:marLeft w:val="0"/>
      <w:marRight w:val="0"/>
      <w:marTop w:val="0"/>
      <w:marBottom w:val="0"/>
      <w:divBdr>
        <w:top w:val="none" w:sz="0" w:space="0" w:color="auto"/>
        <w:left w:val="none" w:sz="0" w:space="0" w:color="auto"/>
        <w:bottom w:val="none" w:sz="0" w:space="0" w:color="auto"/>
        <w:right w:val="none" w:sz="0" w:space="0" w:color="auto"/>
      </w:divBdr>
    </w:div>
    <w:div w:id="1575166114">
      <w:bodyDiv w:val="1"/>
      <w:marLeft w:val="0"/>
      <w:marRight w:val="0"/>
      <w:marTop w:val="0"/>
      <w:marBottom w:val="0"/>
      <w:divBdr>
        <w:top w:val="none" w:sz="0" w:space="0" w:color="auto"/>
        <w:left w:val="none" w:sz="0" w:space="0" w:color="auto"/>
        <w:bottom w:val="none" w:sz="0" w:space="0" w:color="auto"/>
        <w:right w:val="none" w:sz="0" w:space="0" w:color="auto"/>
      </w:divBdr>
    </w:div>
    <w:div w:id="1576622807">
      <w:bodyDiv w:val="1"/>
      <w:marLeft w:val="0"/>
      <w:marRight w:val="0"/>
      <w:marTop w:val="0"/>
      <w:marBottom w:val="0"/>
      <w:divBdr>
        <w:top w:val="none" w:sz="0" w:space="0" w:color="auto"/>
        <w:left w:val="none" w:sz="0" w:space="0" w:color="auto"/>
        <w:bottom w:val="none" w:sz="0" w:space="0" w:color="auto"/>
        <w:right w:val="none" w:sz="0" w:space="0" w:color="auto"/>
      </w:divBdr>
    </w:div>
    <w:div w:id="1578442101">
      <w:bodyDiv w:val="1"/>
      <w:marLeft w:val="0"/>
      <w:marRight w:val="0"/>
      <w:marTop w:val="0"/>
      <w:marBottom w:val="0"/>
      <w:divBdr>
        <w:top w:val="none" w:sz="0" w:space="0" w:color="auto"/>
        <w:left w:val="none" w:sz="0" w:space="0" w:color="auto"/>
        <w:bottom w:val="none" w:sz="0" w:space="0" w:color="auto"/>
        <w:right w:val="none" w:sz="0" w:space="0" w:color="auto"/>
      </w:divBdr>
    </w:div>
    <w:div w:id="1578830642">
      <w:bodyDiv w:val="1"/>
      <w:marLeft w:val="0"/>
      <w:marRight w:val="0"/>
      <w:marTop w:val="0"/>
      <w:marBottom w:val="0"/>
      <w:divBdr>
        <w:top w:val="none" w:sz="0" w:space="0" w:color="auto"/>
        <w:left w:val="none" w:sz="0" w:space="0" w:color="auto"/>
        <w:bottom w:val="none" w:sz="0" w:space="0" w:color="auto"/>
        <w:right w:val="none" w:sz="0" w:space="0" w:color="auto"/>
      </w:divBdr>
    </w:div>
    <w:div w:id="1579290150">
      <w:bodyDiv w:val="1"/>
      <w:marLeft w:val="0"/>
      <w:marRight w:val="0"/>
      <w:marTop w:val="0"/>
      <w:marBottom w:val="0"/>
      <w:divBdr>
        <w:top w:val="none" w:sz="0" w:space="0" w:color="auto"/>
        <w:left w:val="none" w:sz="0" w:space="0" w:color="auto"/>
        <w:bottom w:val="none" w:sz="0" w:space="0" w:color="auto"/>
        <w:right w:val="none" w:sz="0" w:space="0" w:color="auto"/>
      </w:divBdr>
    </w:div>
    <w:div w:id="1579628493">
      <w:bodyDiv w:val="1"/>
      <w:marLeft w:val="0"/>
      <w:marRight w:val="0"/>
      <w:marTop w:val="0"/>
      <w:marBottom w:val="0"/>
      <w:divBdr>
        <w:top w:val="none" w:sz="0" w:space="0" w:color="auto"/>
        <w:left w:val="none" w:sz="0" w:space="0" w:color="auto"/>
        <w:bottom w:val="none" w:sz="0" w:space="0" w:color="auto"/>
        <w:right w:val="none" w:sz="0" w:space="0" w:color="auto"/>
      </w:divBdr>
    </w:div>
    <w:div w:id="1582065289">
      <w:bodyDiv w:val="1"/>
      <w:marLeft w:val="0"/>
      <w:marRight w:val="0"/>
      <w:marTop w:val="0"/>
      <w:marBottom w:val="0"/>
      <w:divBdr>
        <w:top w:val="none" w:sz="0" w:space="0" w:color="auto"/>
        <w:left w:val="none" w:sz="0" w:space="0" w:color="auto"/>
        <w:bottom w:val="none" w:sz="0" w:space="0" w:color="auto"/>
        <w:right w:val="none" w:sz="0" w:space="0" w:color="auto"/>
      </w:divBdr>
    </w:div>
    <w:div w:id="1582251370">
      <w:bodyDiv w:val="1"/>
      <w:marLeft w:val="0"/>
      <w:marRight w:val="0"/>
      <w:marTop w:val="0"/>
      <w:marBottom w:val="0"/>
      <w:divBdr>
        <w:top w:val="none" w:sz="0" w:space="0" w:color="auto"/>
        <w:left w:val="none" w:sz="0" w:space="0" w:color="auto"/>
        <w:bottom w:val="none" w:sz="0" w:space="0" w:color="auto"/>
        <w:right w:val="none" w:sz="0" w:space="0" w:color="auto"/>
      </w:divBdr>
    </w:div>
    <w:div w:id="1582643564">
      <w:bodyDiv w:val="1"/>
      <w:marLeft w:val="0"/>
      <w:marRight w:val="0"/>
      <w:marTop w:val="0"/>
      <w:marBottom w:val="0"/>
      <w:divBdr>
        <w:top w:val="none" w:sz="0" w:space="0" w:color="auto"/>
        <w:left w:val="none" w:sz="0" w:space="0" w:color="auto"/>
        <w:bottom w:val="none" w:sz="0" w:space="0" w:color="auto"/>
        <w:right w:val="none" w:sz="0" w:space="0" w:color="auto"/>
      </w:divBdr>
    </w:div>
    <w:div w:id="1583296628">
      <w:bodyDiv w:val="1"/>
      <w:marLeft w:val="0"/>
      <w:marRight w:val="0"/>
      <w:marTop w:val="0"/>
      <w:marBottom w:val="0"/>
      <w:divBdr>
        <w:top w:val="none" w:sz="0" w:space="0" w:color="auto"/>
        <w:left w:val="none" w:sz="0" w:space="0" w:color="auto"/>
        <w:bottom w:val="none" w:sz="0" w:space="0" w:color="auto"/>
        <w:right w:val="none" w:sz="0" w:space="0" w:color="auto"/>
      </w:divBdr>
    </w:div>
    <w:div w:id="1585645508">
      <w:bodyDiv w:val="1"/>
      <w:marLeft w:val="0"/>
      <w:marRight w:val="0"/>
      <w:marTop w:val="0"/>
      <w:marBottom w:val="0"/>
      <w:divBdr>
        <w:top w:val="none" w:sz="0" w:space="0" w:color="auto"/>
        <w:left w:val="none" w:sz="0" w:space="0" w:color="auto"/>
        <w:bottom w:val="none" w:sz="0" w:space="0" w:color="auto"/>
        <w:right w:val="none" w:sz="0" w:space="0" w:color="auto"/>
      </w:divBdr>
    </w:div>
    <w:div w:id="1585726408">
      <w:bodyDiv w:val="1"/>
      <w:marLeft w:val="0"/>
      <w:marRight w:val="0"/>
      <w:marTop w:val="0"/>
      <w:marBottom w:val="0"/>
      <w:divBdr>
        <w:top w:val="none" w:sz="0" w:space="0" w:color="auto"/>
        <w:left w:val="none" w:sz="0" w:space="0" w:color="auto"/>
        <w:bottom w:val="none" w:sz="0" w:space="0" w:color="auto"/>
        <w:right w:val="none" w:sz="0" w:space="0" w:color="auto"/>
      </w:divBdr>
    </w:div>
    <w:div w:id="1586644796">
      <w:bodyDiv w:val="1"/>
      <w:marLeft w:val="0"/>
      <w:marRight w:val="0"/>
      <w:marTop w:val="0"/>
      <w:marBottom w:val="0"/>
      <w:divBdr>
        <w:top w:val="none" w:sz="0" w:space="0" w:color="auto"/>
        <w:left w:val="none" w:sz="0" w:space="0" w:color="auto"/>
        <w:bottom w:val="none" w:sz="0" w:space="0" w:color="auto"/>
        <w:right w:val="none" w:sz="0" w:space="0" w:color="auto"/>
      </w:divBdr>
    </w:div>
    <w:div w:id="1587032756">
      <w:bodyDiv w:val="1"/>
      <w:marLeft w:val="0"/>
      <w:marRight w:val="0"/>
      <w:marTop w:val="0"/>
      <w:marBottom w:val="0"/>
      <w:divBdr>
        <w:top w:val="none" w:sz="0" w:space="0" w:color="auto"/>
        <w:left w:val="none" w:sz="0" w:space="0" w:color="auto"/>
        <w:bottom w:val="none" w:sz="0" w:space="0" w:color="auto"/>
        <w:right w:val="none" w:sz="0" w:space="0" w:color="auto"/>
      </w:divBdr>
    </w:div>
    <w:div w:id="1587375767">
      <w:bodyDiv w:val="1"/>
      <w:marLeft w:val="0"/>
      <w:marRight w:val="0"/>
      <w:marTop w:val="0"/>
      <w:marBottom w:val="0"/>
      <w:divBdr>
        <w:top w:val="none" w:sz="0" w:space="0" w:color="auto"/>
        <w:left w:val="none" w:sz="0" w:space="0" w:color="auto"/>
        <w:bottom w:val="none" w:sz="0" w:space="0" w:color="auto"/>
        <w:right w:val="none" w:sz="0" w:space="0" w:color="auto"/>
      </w:divBdr>
    </w:div>
    <w:div w:id="1587957261">
      <w:bodyDiv w:val="1"/>
      <w:marLeft w:val="0"/>
      <w:marRight w:val="0"/>
      <w:marTop w:val="0"/>
      <w:marBottom w:val="0"/>
      <w:divBdr>
        <w:top w:val="none" w:sz="0" w:space="0" w:color="auto"/>
        <w:left w:val="none" w:sz="0" w:space="0" w:color="auto"/>
        <w:bottom w:val="none" w:sz="0" w:space="0" w:color="auto"/>
        <w:right w:val="none" w:sz="0" w:space="0" w:color="auto"/>
      </w:divBdr>
    </w:div>
    <w:div w:id="1588028678">
      <w:bodyDiv w:val="1"/>
      <w:marLeft w:val="0"/>
      <w:marRight w:val="0"/>
      <w:marTop w:val="0"/>
      <w:marBottom w:val="0"/>
      <w:divBdr>
        <w:top w:val="none" w:sz="0" w:space="0" w:color="auto"/>
        <w:left w:val="none" w:sz="0" w:space="0" w:color="auto"/>
        <w:bottom w:val="none" w:sz="0" w:space="0" w:color="auto"/>
        <w:right w:val="none" w:sz="0" w:space="0" w:color="auto"/>
      </w:divBdr>
    </w:div>
    <w:div w:id="1589146097">
      <w:bodyDiv w:val="1"/>
      <w:marLeft w:val="0"/>
      <w:marRight w:val="0"/>
      <w:marTop w:val="0"/>
      <w:marBottom w:val="0"/>
      <w:divBdr>
        <w:top w:val="none" w:sz="0" w:space="0" w:color="auto"/>
        <w:left w:val="none" w:sz="0" w:space="0" w:color="auto"/>
        <w:bottom w:val="none" w:sz="0" w:space="0" w:color="auto"/>
        <w:right w:val="none" w:sz="0" w:space="0" w:color="auto"/>
      </w:divBdr>
    </w:div>
    <w:div w:id="1591621719">
      <w:bodyDiv w:val="1"/>
      <w:marLeft w:val="0"/>
      <w:marRight w:val="0"/>
      <w:marTop w:val="0"/>
      <w:marBottom w:val="0"/>
      <w:divBdr>
        <w:top w:val="none" w:sz="0" w:space="0" w:color="auto"/>
        <w:left w:val="none" w:sz="0" w:space="0" w:color="auto"/>
        <w:bottom w:val="none" w:sz="0" w:space="0" w:color="auto"/>
        <w:right w:val="none" w:sz="0" w:space="0" w:color="auto"/>
      </w:divBdr>
    </w:div>
    <w:div w:id="1591699205">
      <w:bodyDiv w:val="1"/>
      <w:marLeft w:val="0"/>
      <w:marRight w:val="0"/>
      <w:marTop w:val="0"/>
      <w:marBottom w:val="0"/>
      <w:divBdr>
        <w:top w:val="none" w:sz="0" w:space="0" w:color="auto"/>
        <w:left w:val="none" w:sz="0" w:space="0" w:color="auto"/>
        <w:bottom w:val="none" w:sz="0" w:space="0" w:color="auto"/>
        <w:right w:val="none" w:sz="0" w:space="0" w:color="auto"/>
      </w:divBdr>
    </w:div>
    <w:div w:id="1592395969">
      <w:bodyDiv w:val="1"/>
      <w:marLeft w:val="0"/>
      <w:marRight w:val="0"/>
      <w:marTop w:val="0"/>
      <w:marBottom w:val="0"/>
      <w:divBdr>
        <w:top w:val="none" w:sz="0" w:space="0" w:color="auto"/>
        <w:left w:val="none" w:sz="0" w:space="0" w:color="auto"/>
        <w:bottom w:val="none" w:sz="0" w:space="0" w:color="auto"/>
        <w:right w:val="none" w:sz="0" w:space="0" w:color="auto"/>
      </w:divBdr>
    </w:div>
    <w:div w:id="1592465271">
      <w:bodyDiv w:val="1"/>
      <w:marLeft w:val="0"/>
      <w:marRight w:val="0"/>
      <w:marTop w:val="0"/>
      <w:marBottom w:val="0"/>
      <w:divBdr>
        <w:top w:val="none" w:sz="0" w:space="0" w:color="auto"/>
        <w:left w:val="none" w:sz="0" w:space="0" w:color="auto"/>
        <w:bottom w:val="none" w:sz="0" w:space="0" w:color="auto"/>
        <w:right w:val="none" w:sz="0" w:space="0" w:color="auto"/>
      </w:divBdr>
    </w:div>
    <w:div w:id="1592812534">
      <w:bodyDiv w:val="1"/>
      <w:marLeft w:val="0"/>
      <w:marRight w:val="0"/>
      <w:marTop w:val="0"/>
      <w:marBottom w:val="0"/>
      <w:divBdr>
        <w:top w:val="none" w:sz="0" w:space="0" w:color="auto"/>
        <w:left w:val="none" w:sz="0" w:space="0" w:color="auto"/>
        <w:bottom w:val="none" w:sz="0" w:space="0" w:color="auto"/>
        <w:right w:val="none" w:sz="0" w:space="0" w:color="auto"/>
      </w:divBdr>
    </w:div>
    <w:div w:id="1593709353">
      <w:bodyDiv w:val="1"/>
      <w:marLeft w:val="0"/>
      <w:marRight w:val="0"/>
      <w:marTop w:val="0"/>
      <w:marBottom w:val="0"/>
      <w:divBdr>
        <w:top w:val="none" w:sz="0" w:space="0" w:color="auto"/>
        <w:left w:val="none" w:sz="0" w:space="0" w:color="auto"/>
        <w:bottom w:val="none" w:sz="0" w:space="0" w:color="auto"/>
        <w:right w:val="none" w:sz="0" w:space="0" w:color="auto"/>
      </w:divBdr>
    </w:div>
    <w:div w:id="1594510950">
      <w:bodyDiv w:val="1"/>
      <w:marLeft w:val="0"/>
      <w:marRight w:val="0"/>
      <w:marTop w:val="0"/>
      <w:marBottom w:val="0"/>
      <w:divBdr>
        <w:top w:val="none" w:sz="0" w:space="0" w:color="auto"/>
        <w:left w:val="none" w:sz="0" w:space="0" w:color="auto"/>
        <w:bottom w:val="none" w:sz="0" w:space="0" w:color="auto"/>
        <w:right w:val="none" w:sz="0" w:space="0" w:color="auto"/>
      </w:divBdr>
    </w:div>
    <w:div w:id="1595819284">
      <w:bodyDiv w:val="1"/>
      <w:marLeft w:val="0"/>
      <w:marRight w:val="0"/>
      <w:marTop w:val="0"/>
      <w:marBottom w:val="0"/>
      <w:divBdr>
        <w:top w:val="none" w:sz="0" w:space="0" w:color="auto"/>
        <w:left w:val="none" w:sz="0" w:space="0" w:color="auto"/>
        <w:bottom w:val="none" w:sz="0" w:space="0" w:color="auto"/>
        <w:right w:val="none" w:sz="0" w:space="0" w:color="auto"/>
      </w:divBdr>
    </w:div>
    <w:div w:id="1597321871">
      <w:bodyDiv w:val="1"/>
      <w:marLeft w:val="0"/>
      <w:marRight w:val="0"/>
      <w:marTop w:val="0"/>
      <w:marBottom w:val="0"/>
      <w:divBdr>
        <w:top w:val="none" w:sz="0" w:space="0" w:color="auto"/>
        <w:left w:val="none" w:sz="0" w:space="0" w:color="auto"/>
        <w:bottom w:val="none" w:sz="0" w:space="0" w:color="auto"/>
        <w:right w:val="none" w:sz="0" w:space="0" w:color="auto"/>
      </w:divBdr>
    </w:div>
    <w:div w:id="1597328844">
      <w:bodyDiv w:val="1"/>
      <w:marLeft w:val="0"/>
      <w:marRight w:val="0"/>
      <w:marTop w:val="0"/>
      <w:marBottom w:val="0"/>
      <w:divBdr>
        <w:top w:val="none" w:sz="0" w:space="0" w:color="auto"/>
        <w:left w:val="none" w:sz="0" w:space="0" w:color="auto"/>
        <w:bottom w:val="none" w:sz="0" w:space="0" w:color="auto"/>
        <w:right w:val="none" w:sz="0" w:space="0" w:color="auto"/>
      </w:divBdr>
    </w:div>
    <w:div w:id="1598564711">
      <w:bodyDiv w:val="1"/>
      <w:marLeft w:val="0"/>
      <w:marRight w:val="0"/>
      <w:marTop w:val="0"/>
      <w:marBottom w:val="0"/>
      <w:divBdr>
        <w:top w:val="none" w:sz="0" w:space="0" w:color="auto"/>
        <w:left w:val="none" w:sz="0" w:space="0" w:color="auto"/>
        <w:bottom w:val="none" w:sz="0" w:space="0" w:color="auto"/>
        <w:right w:val="none" w:sz="0" w:space="0" w:color="auto"/>
      </w:divBdr>
    </w:div>
    <w:div w:id="1599362369">
      <w:bodyDiv w:val="1"/>
      <w:marLeft w:val="0"/>
      <w:marRight w:val="0"/>
      <w:marTop w:val="0"/>
      <w:marBottom w:val="0"/>
      <w:divBdr>
        <w:top w:val="none" w:sz="0" w:space="0" w:color="auto"/>
        <w:left w:val="none" w:sz="0" w:space="0" w:color="auto"/>
        <w:bottom w:val="none" w:sz="0" w:space="0" w:color="auto"/>
        <w:right w:val="none" w:sz="0" w:space="0" w:color="auto"/>
      </w:divBdr>
    </w:div>
    <w:div w:id="1601142756">
      <w:bodyDiv w:val="1"/>
      <w:marLeft w:val="0"/>
      <w:marRight w:val="0"/>
      <w:marTop w:val="0"/>
      <w:marBottom w:val="0"/>
      <w:divBdr>
        <w:top w:val="none" w:sz="0" w:space="0" w:color="auto"/>
        <w:left w:val="none" w:sz="0" w:space="0" w:color="auto"/>
        <w:bottom w:val="none" w:sz="0" w:space="0" w:color="auto"/>
        <w:right w:val="none" w:sz="0" w:space="0" w:color="auto"/>
      </w:divBdr>
    </w:div>
    <w:div w:id="1602301201">
      <w:bodyDiv w:val="1"/>
      <w:marLeft w:val="0"/>
      <w:marRight w:val="0"/>
      <w:marTop w:val="0"/>
      <w:marBottom w:val="0"/>
      <w:divBdr>
        <w:top w:val="none" w:sz="0" w:space="0" w:color="auto"/>
        <w:left w:val="none" w:sz="0" w:space="0" w:color="auto"/>
        <w:bottom w:val="none" w:sz="0" w:space="0" w:color="auto"/>
        <w:right w:val="none" w:sz="0" w:space="0" w:color="auto"/>
      </w:divBdr>
    </w:div>
    <w:div w:id="1605458155">
      <w:bodyDiv w:val="1"/>
      <w:marLeft w:val="0"/>
      <w:marRight w:val="0"/>
      <w:marTop w:val="0"/>
      <w:marBottom w:val="0"/>
      <w:divBdr>
        <w:top w:val="none" w:sz="0" w:space="0" w:color="auto"/>
        <w:left w:val="none" w:sz="0" w:space="0" w:color="auto"/>
        <w:bottom w:val="none" w:sz="0" w:space="0" w:color="auto"/>
        <w:right w:val="none" w:sz="0" w:space="0" w:color="auto"/>
      </w:divBdr>
    </w:div>
    <w:div w:id="1605502927">
      <w:bodyDiv w:val="1"/>
      <w:marLeft w:val="0"/>
      <w:marRight w:val="0"/>
      <w:marTop w:val="0"/>
      <w:marBottom w:val="0"/>
      <w:divBdr>
        <w:top w:val="none" w:sz="0" w:space="0" w:color="auto"/>
        <w:left w:val="none" w:sz="0" w:space="0" w:color="auto"/>
        <w:bottom w:val="none" w:sz="0" w:space="0" w:color="auto"/>
        <w:right w:val="none" w:sz="0" w:space="0" w:color="auto"/>
      </w:divBdr>
    </w:div>
    <w:div w:id="1605769208">
      <w:bodyDiv w:val="1"/>
      <w:marLeft w:val="0"/>
      <w:marRight w:val="0"/>
      <w:marTop w:val="0"/>
      <w:marBottom w:val="0"/>
      <w:divBdr>
        <w:top w:val="none" w:sz="0" w:space="0" w:color="auto"/>
        <w:left w:val="none" w:sz="0" w:space="0" w:color="auto"/>
        <w:bottom w:val="none" w:sz="0" w:space="0" w:color="auto"/>
        <w:right w:val="none" w:sz="0" w:space="0" w:color="auto"/>
      </w:divBdr>
    </w:div>
    <w:div w:id="1605841047">
      <w:bodyDiv w:val="1"/>
      <w:marLeft w:val="0"/>
      <w:marRight w:val="0"/>
      <w:marTop w:val="0"/>
      <w:marBottom w:val="0"/>
      <w:divBdr>
        <w:top w:val="none" w:sz="0" w:space="0" w:color="auto"/>
        <w:left w:val="none" w:sz="0" w:space="0" w:color="auto"/>
        <w:bottom w:val="none" w:sz="0" w:space="0" w:color="auto"/>
        <w:right w:val="none" w:sz="0" w:space="0" w:color="auto"/>
      </w:divBdr>
    </w:div>
    <w:div w:id="1607081670">
      <w:bodyDiv w:val="1"/>
      <w:marLeft w:val="0"/>
      <w:marRight w:val="0"/>
      <w:marTop w:val="0"/>
      <w:marBottom w:val="0"/>
      <w:divBdr>
        <w:top w:val="none" w:sz="0" w:space="0" w:color="auto"/>
        <w:left w:val="none" w:sz="0" w:space="0" w:color="auto"/>
        <w:bottom w:val="none" w:sz="0" w:space="0" w:color="auto"/>
        <w:right w:val="none" w:sz="0" w:space="0" w:color="auto"/>
      </w:divBdr>
    </w:div>
    <w:div w:id="1607422752">
      <w:bodyDiv w:val="1"/>
      <w:marLeft w:val="0"/>
      <w:marRight w:val="0"/>
      <w:marTop w:val="0"/>
      <w:marBottom w:val="0"/>
      <w:divBdr>
        <w:top w:val="none" w:sz="0" w:space="0" w:color="auto"/>
        <w:left w:val="none" w:sz="0" w:space="0" w:color="auto"/>
        <w:bottom w:val="none" w:sz="0" w:space="0" w:color="auto"/>
        <w:right w:val="none" w:sz="0" w:space="0" w:color="auto"/>
      </w:divBdr>
    </w:div>
    <w:div w:id="1607688519">
      <w:bodyDiv w:val="1"/>
      <w:marLeft w:val="0"/>
      <w:marRight w:val="0"/>
      <w:marTop w:val="0"/>
      <w:marBottom w:val="0"/>
      <w:divBdr>
        <w:top w:val="none" w:sz="0" w:space="0" w:color="auto"/>
        <w:left w:val="none" w:sz="0" w:space="0" w:color="auto"/>
        <w:bottom w:val="none" w:sz="0" w:space="0" w:color="auto"/>
        <w:right w:val="none" w:sz="0" w:space="0" w:color="auto"/>
      </w:divBdr>
    </w:div>
    <w:div w:id="1607998680">
      <w:bodyDiv w:val="1"/>
      <w:marLeft w:val="0"/>
      <w:marRight w:val="0"/>
      <w:marTop w:val="0"/>
      <w:marBottom w:val="0"/>
      <w:divBdr>
        <w:top w:val="none" w:sz="0" w:space="0" w:color="auto"/>
        <w:left w:val="none" w:sz="0" w:space="0" w:color="auto"/>
        <w:bottom w:val="none" w:sz="0" w:space="0" w:color="auto"/>
        <w:right w:val="none" w:sz="0" w:space="0" w:color="auto"/>
      </w:divBdr>
    </w:div>
    <w:div w:id="1608198718">
      <w:bodyDiv w:val="1"/>
      <w:marLeft w:val="0"/>
      <w:marRight w:val="0"/>
      <w:marTop w:val="0"/>
      <w:marBottom w:val="0"/>
      <w:divBdr>
        <w:top w:val="none" w:sz="0" w:space="0" w:color="auto"/>
        <w:left w:val="none" w:sz="0" w:space="0" w:color="auto"/>
        <w:bottom w:val="none" w:sz="0" w:space="0" w:color="auto"/>
        <w:right w:val="none" w:sz="0" w:space="0" w:color="auto"/>
      </w:divBdr>
    </w:div>
    <w:div w:id="1609392434">
      <w:bodyDiv w:val="1"/>
      <w:marLeft w:val="0"/>
      <w:marRight w:val="0"/>
      <w:marTop w:val="0"/>
      <w:marBottom w:val="0"/>
      <w:divBdr>
        <w:top w:val="none" w:sz="0" w:space="0" w:color="auto"/>
        <w:left w:val="none" w:sz="0" w:space="0" w:color="auto"/>
        <w:bottom w:val="none" w:sz="0" w:space="0" w:color="auto"/>
        <w:right w:val="none" w:sz="0" w:space="0" w:color="auto"/>
      </w:divBdr>
    </w:div>
    <w:div w:id="1610310644">
      <w:bodyDiv w:val="1"/>
      <w:marLeft w:val="0"/>
      <w:marRight w:val="0"/>
      <w:marTop w:val="0"/>
      <w:marBottom w:val="0"/>
      <w:divBdr>
        <w:top w:val="none" w:sz="0" w:space="0" w:color="auto"/>
        <w:left w:val="none" w:sz="0" w:space="0" w:color="auto"/>
        <w:bottom w:val="none" w:sz="0" w:space="0" w:color="auto"/>
        <w:right w:val="none" w:sz="0" w:space="0" w:color="auto"/>
      </w:divBdr>
    </w:div>
    <w:div w:id="1610814887">
      <w:bodyDiv w:val="1"/>
      <w:marLeft w:val="0"/>
      <w:marRight w:val="0"/>
      <w:marTop w:val="0"/>
      <w:marBottom w:val="0"/>
      <w:divBdr>
        <w:top w:val="none" w:sz="0" w:space="0" w:color="auto"/>
        <w:left w:val="none" w:sz="0" w:space="0" w:color="auto"/>
        <w:bottom w:val="none" w:sz="0" w:space="0" w:color="auto"/>
        <w:right w:val="none" w:sz="0" w:space="0" w:color="auto"/>
      </w:divBdr>
    </w:div>
    <w:div w:id="1611815770">
      <w:bodyDiv w:val="1"/>
      <w:marLeft w:val="0"/>
      <w:marRight w:val="0"/>
      <w:marTop w:val="0"/>
      <w:marBottom w:val="0"/>
      <w:divBdr>
        <w:top w:val="none" w:sz="0" w:space="0" w:color="auto"/>
        <w:left w:val="none" w:sz="0" w:space="0" w:color="auto"/>
        <w:bottom w:val="none" w:sz="0" w:space="0" w:color="auto"/>
        <w:right w:val="none" w:sz="0" w:space="0" w:color="auto"/>
      </w:divBdr>
    </w:div>
    <w:div w:id="1614556947">
      <w:bodyDiv w:val="1"/>
      <w:marLeft w:val="0"/>
      <w:marRight w:val="0"/>
      <w:marTop w:val="0"/>
      <w:marBottom w:val="0"/>
      <w:divBdr>
        <w:top w:val="none" w:sz="0" w:space="0" w:color="auto"/>
        <w:left w:val="none" w:sz="0" w:space="0" w:color="auto"/>
        <w:bottom w:val="none" w:sz="0" w:space="0" w:color="auto"/>
        <w:right w:val="none" w:sz="0" w:space="0" w:color="auto"/>
      </w:divBdr>
    </w:div>
    <w:div w:id="1615554909">
      <w:bodyDiv w:val="1"/>
      <w:marLeft w:val="0"/>
      <w:marRight w:val="0"/>
      <w:marTop w:val="0"/>
      <w:marBottom w:val="0"/>
      <w:divBdr>
        <w:top w:val="none" w:sz="0" w:space="0" w:color="auto"/>
        <w:left w:val="none" w:sz="0" w:space="0" w:color="auto"/>
        <w:bottom w:val="none" w:sz="0" w:space="0" w:color="auto"/>
        <w:right w:val="none" w:sz="0" w:space="0" w:color="auto"/>
      </w:divBdr>
    </w:div>
    <w:div w:id="1617520938">
      <w:bodyDiv w:val="1"/>
      <w:marLeft w:val="0"/>
      <w:marRight w:val="0"/>
      <w:marTop w:val="0"/>
      <w:marBottom w:val="0"/>
      <w:divBdr>
        <w:top w:val="none" w:sz="0" w:space="0" w:color="auto"/>
        <w:left w:val="none" w:sz="0" w:space="0" w:color="auto"/>
        <w:bottom w:val="none" w:sz="0" w:space="0" w:color="auto"/>
        <w:right w:val="none" w:sz="0" w:space="0" w:color="auto"/>
      </w:divBdr>
    </w:div>
    <w:div w:id="1617635566">
      <w:bodyDiv w:val="1"/>
      <w:marLeft w:val="0"/>
      <w:marRight w:val="0"/>
      <w:marTop w:val="0"/>
      <w:marBottom w:val="0"/>
      <w:divBdr>
        <w:top w:val="none" w:sz="0" w:space="0" w:color="auto"/>
        <w:left w:val="none" w:sz="0" w:space="0" w:color="auto"/>
        <w:bottom w:val="none" w:sz="0" w:space="0" w:color="auto"/>
        <w:right w:val="none" w:sz="0" w:space="0" w:color="auto"/>
      </w:divBdr>
    </w:div>
    <w:div w:id="1619919938">
      <w:bodyDiv w:val="1"/>
      <w:marLeft w:val="0"/>
      <w:marRight w:val="0"/>
      <w:marTop w:val="0"/>
      <w:marBottom w:val="0"/>
      <w:divBdr>
        <w:top w:val="none" w:sz="0" w:space="0" w:color="auto"/>
        <w:left w:val="none" w:sz="0" w:space="0" w:color="auto"/>
        <w:bottom w:val="none" w:sz="0" w:space="0" w:color="auto"/>
        <w:right w:val="none" w:sz="0" w:space="0" w:color="auto"/>
      </w:divBdr>
    </w:div>
    <w:div w:id="1621454177">
      <w:bodyDiv w:val="1"/>
      <w:marLeft w:val="0"/>
      <w:marRight w:val="0"/>
      <w:marTop w:val="0"/>
      <w:marBottom w:val="0"/>
      <w:divBdr>
        <w:top w:val="none" w:sz="0" w:space="0" w:color="auto"/>
        <w:left w:val="none" w:sz="0" w:space="0" w:color="auto"/>
        <w:bottom w:val="none" w:sz="0" w:space="0" w:color="auto"/>
        <w:right w:val="none" w:sz="0" w:space="0" w:color="auto"/>
      </w:divBdr>
    </w:div>
    <w:div w:id="1624386121">
      <w:bodyDiv w:val="1"/>
      <w:marLeft w:val="0"/>
      <w:marRight w:val="0"/>
      <w:marTop w:val="0"/>
      <w:marBottom w:val="0"/>
      <w:divBdr>
        <w:top w:val="none" w:sz="0" w:space="0" w:color="auto"/>
        <w:left w:val="none" w:sz="0" w:space="0" w:color="auto"/>
        <w:bottom w:val="none" w:sz="0" w:space="0" w:color="auto"/>
        <w:right w:val="none" w:sz="0" w:space="0" w:color="auto"/>
      </w:divBdr>
    </w:div>
    <w:div w:id="1625035437">
      <w:bodyDiv w:val="1"/>
      <w:marLeft w:val="0"/>
      <w:marRight w:val="0"/>
      <w:marTop w:val="0"/>
      <w:marBottom w:val="0"/>
      <w:divBdr>
        <w:top w:val="none" w:sz="0" w:space="0" w:color="auto"/>
        <w:left w:val="none" w:sz="0" w:space="0" w:color="auto"/>
        <w:bottom w:val="none" w:sz="0" w:space="0" w:color="auto"/>
        <w:right w:val="none" w:sz="0" w:space="0" w:color="auto"/>
      </w:divBdr>
    </w:div>
    <w:div w:id="1625304190">
      <w:bodyDiv w:val="1"/>
      <w:marLeft w:val="0"/>
      <w:marRight w:val="0"/>
      <w:marTop w:val="0"/>
      <w:marBottom w:val="0"/>
      <w:divBdr>
        <w:top w:val="none" w:sz="0" w:space="0" w:color="auto"/>
        <w:left w:val="none" w:sz="0" w:space="0" w:color="auto"/>
        <w:bottom w:val="none" w:sz="0" w:space="0" w:color="auto"/>
        <w:right w:val="none" w:sz="0" w:space="0" w:color="auto"/>
      </w:divBdr>
    </w:div>
    <w:div w:id="1625770612">
      <w:bodyDiv w:val="1"/>
      <w:marLeft w:val="0"/>
      <w:marRight w:val="0"/>
      <w:marTop w:val="0"/>
      <w:marBottom w:val="0"/>
      <w:divBdr>
        <w:top w:val="none" w:sz="0" w:space="0" w:color="auto"/>
        <w:left w:val="none" w:sz="0" w:space="0" w:color="auto"/>
        <w:bottom w:val="none" w:sz="0" w:space="0" w:color="auto"/>
        <w:right w:val="none" w:sz="0" w:space="0" w:color="auto"/>
      </w:divBdr>
    </w:div>
    <w:div w:id="1625842986">
      <w:bodyDiv w:val="1"/>
      <w:marLeft w:val="0"/>
      <w:marRight w:val="0"/>
      <w:marTop w:val="0"/>
      <w:marBottom w:val="0"/>
      <w:divBdr>
        <w:top w:val="none" w:sz="0" w:space="0" w:color="auto"/>
        <w:left w:val="none" w:sz="0" w:space="0" w:color="auto"/>
        <w:bottom w:val="none" w:sz="0" w:space="0" w:color="auto"/>
        <w:right w:val="none" w:sz="0" w:space="0" w:color="auto"/>
      </w:divBdr>
    </w:div>
    <w:div w:id="1626690890">
      <w:bodyDiv w:val="1"/>
      <w:marLeft w:val="0"/>
      <w:marRight w:val="0"/>
      <w:marTop w:val="0"/>
      <w:marBottom w:val="0"/>
      <w:divBdr>
        <w:top w:val="none" w:sz="0" w:space="0" w:color="auto"/>
        <w:left w:val="none" w:sz="0" w:space="0" w:color="auto"/>
        <w:bottom w:val="none" w:sz="0" w:space="0" w:color="auto"/>
        <w:right w:val="none" w:sz="0" w:space="0" w:color="auto"/>
      </w:divBdr>
    </w:div>
    <w:div w:id="1626696027">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29120119">
      <w:bodyDiv w:val="1"/>
      <w:marLeft w:val="0"/>
      <w:marRight w:val="0"/>
      <w:marTop w:val="0"/>
      <w:marBottom w:val="0"/>
      <w:divBdr>
        <w:top w:val="none" w:sz="0" w:space="0" w:color="auto"/>
        <w:left w:val="none" w:sz="0" w:space="0" w:color="auto"/>
        <w:bottom w:val="none" w:sz="0" w:space="0" w:color="auto"/>
        <w:right w:val="none" w:sz="0" w:space="0" w:color="auto"/>
      </w:divBdr>
    </w:div>
    <w:div w:id="1629435238">
      <w:bodyDiv w:val="1"/>
      <w:marLeft w:val="0"/>
      <w:marRight w:val="0"/>
      <w:marTop w:val="0"/>
      <w:marBottom w:val="0"/>
      <w:divBdr>
        <w:top w:val="none" w:sz="0" w:space="0" w:color="auto"/>
        <w:left w:val="none" w:sz="0" w:space="0" w:color="auto"/>
        <w:bottom w:val="none" w:sz="0" w:space="0" w:color="auto"/>
        <w:right w:val="none" w:sz="0" w:space="0" w:color="auto"/>
      </w:divBdr>
    </w:div>
    <w:div w:id="1630238762">
      <w:bodyDiv w:val="1"/>
      <w:marLeft w:val="0"/>
      <w:marRight w:val="0"/>
      <w:marTop w:val="0"/>
      <w:marBottom w:val="0"/>
      <w:divBdr>
        <w:top w:val="none" w:sz="0" w:space="0" w:color="auto"/>
        <w:left w:val="none" w:sz="0" w:space="0" w:color="auto"/>
        <w:bottom w:val="none" w:sz="0" w:space="0" w:color="auto"/>
        <w:right w:val="none" w:sz="0" w:space="0" w:color="auto"/>
      </w:divBdr>
    </w:div>
    <w:div w:id="1634411555">
      <w:bodyDiv w:val="1"/>
      <w:marLeft w:val="0"/>
      <w:marRight w:val="0"/>
      <w:marTop w:val="0"/>
      <w:marBottom w:val="0"/>
      <w:divBdr>
        <w:top w:val="none" w:sz="0" w:space="0" w:color="auto"/>
        <w:left w:val="none" w:sz="0" w:space="0" w:color="auto"/>
        <w:bottom w:val="none" w:sz="0" w:space="0" w:color="auto"/>
        <w:right w:val="none" w:sz="0" w:space="0" w:color="auto"/>
      </w:divBdr>
    </w:div>
    <w:div w:id="1634481134">
      <w:bodyDiv w:val="1"/>
      <w:marLeft w:val="0"/>
      <w:marRight w:val="0"/>
      <w:marTop w:val="0"/>
      <w:marBottom w:val="0"/>
      <w:divBdr>
        <w:top w:val="none" w:sz="0" w:space="0" w:color="auto"/>
        <w:left w:val="none" w:sz="0" w:space="0" w:color="auto"/>
        <w:bottom w:val="none" w:sz="0" w:space="0" w:color="auto"/>
        <w:right w:val="none" w:sz="0" w:space="0" w:color="auto"/>
      </w:divBdr>
    </w:div>
    <w:div w:id="1634483911">
      <w:bodyDiv w:val="1"/>
      <w:marLeft w:val="0"/>
      <w:marRight w:val="0"/>
      <w:marTop w:val="0"/>
      <w:marBottom w:val="0"/>
      <w:divBdr>
        <w:top w:val="none" w:sz="0" w:space="0" w:color="auto"/>
        <w:left w:val="none" w:sz="0" w:space="0" w:color="auto"/>
        <w:bottom w:val="none" w:sz="0" w:space="0" w:color="auto"/>
        <w:right w:val="none" w:sz="0" w:space="0" w:color="auto"/>
      </w:divBdr>
    </w:div>
    <w:div w:id="1635985705">
      <w:bodyDiv w:val="1"/>
      <w:marLeft w:val="0"/>
      <w:marRight w:val="0"/>
      <w:marTop w:val="0"/>
      <w:marBottom w:val="0"/>
      <w:divBdr>
        <w:top w:val="none" w:sz="0" w:space="0" w:color="auto"/>
        <w:left w:val="none" w:sz="0" w:space="0" w:color="auto"/>
        <w:bottom w:val="none" w:sz="0" w:space="0" w:color="auto"/>
        <w:right w:val="none" w:sz="0" w:space="0" w:color="auto"/>
      </w:divBdr>
    </w:div>
    <w:div w:id="1636637399">
      <w:bodyDiv w:val="1"/>
      <w:marLeft w:val="0"/>
      <w:marRight w:val="0"/>
      <w:marTop w:val="0"/>
      <w:marBottom w:val="0"/>
      <w:divBdr>
        <w:top w:val="none" w:sz="0" w:space="0" w:color="auto"/>
        <w:left w:val="none" w:sz="0" w:space="0" w:color="auto"/>
        <w:bottom w:val="none" w:sz="0" w:space="0" w:color="auto"/>
        <w:right w:val="none" w:sz="0" w:space="0" w:color="auto"/>
      </w:divBdr>
    </w:div>
    <w:div w:id="1637443558">
      <w:bodyDiv w:val="1"/>
      <w:marLeft w:val="0"/>
      <w:marRight w:val="0"/>
      <w:marTop w:val="0"/>
      <w:marBottom w:val="0"/>
      <w:divBdr>
        <w:top w:val="none" w:sz="0" w:space="0" w:color="auto"/>
        <w:left w:val="none" w:sz="0" w:space="0" w:color="auto"/>
        <w:bottom w:val="none" w:sz="0" w:space="0" w:color="auto"/>
        <w:right w:val="none" w:sz="0" w:space="0" w:color="auto"/>
      </w:divBdr>
    </w:div>
    <w:div w:id="1638225238">
      <w:bodyDiv w:val="1"/>
      <w:marLeft w:val="0"/>
      <w:marRight w:val="0"/>
      <w:marTop w:val="0"/>
      <w:marBottom w:val="0"/>
      <w:divBdr>
        <w:top w:val="none" w:sz="0" w:space="0" w:color="auto"/>
        <w:left w:val="none" w:sz="0" w:space="0" w:color="auto"/>
        <w:bottom w:val="none" w:sz="0" w:space="0" w:color="auto"/>
        <w:right w:val="none" w:sz="0" w:space="0" w:color="auto"/>
      </w:divBdr>
    </w:div>
    <w:div w:id="1640769745">
      <w:bodyDiv w:val="1"/>
      <w:marLeft w:val="0"/>
      <w:marRight w:val="0"/>
      <w:marTop w:val="0"/>
      <w:marBottom w:val="0"/>
      <w:divBdr>
        <w:top w:val="none" w:sz="0" w:space="0" w:color="auto"/>
        <w:left w:val="none" w:sz="0" w:space="0" w:color="auto"/>
        <w:bottom w:val="none" w:sz="0" w:space="0" w:color="auto"/>
        <w:right w:val="none" w:sz="0" w:space="0" w:color="auto"/>
      </w:divBdr>
    </w:div>
    <w:div w:id="1641420943">
      <w:bodyDiv w:val="1"/>
      <w:marLeft w:val="0"/>
      <w:marRight w:val="0"/>
      <w:marTop w:val="0"/>
      <w:marBottom w:val="0"/>
      <w:divBdr>
        <w:top w:val="none" w:sz="0" w:space="0" w:color="auto"/>
        <w:left w:val="none" w:sz="0" w:space="0" w:color="auto"/>
        <w:bottom w:val="none" w:sz="0" w:space="0" w:color="auto"/>
        <w:right w:val="none" w:sz="0" w:space="0" w:color="auto"/>
      </w:divBdr>
    </w:div>
    <w:div w:id="1643849924">
      <w:bodyDiv w:val="1"/>
      <w:marLeft w:val="0"/>
      <w:marRight w:val="0"/>
      <w:marTop w:val="0"/>
      <w:marBottom w:val="0"/>
      <w:divBdr>
        <w:top w:val="none" w:sz="0" w:space="0" w:color="auto"/>
        <w:left w:val="none" w:sz="0" w:space="0" w:color="auto"/>
        <w:bottom w:val="none" w:sz="0" w:space="0" w:color="auto"/>
        <w:right w:val="none" w:sz="0" w:space="0" w:color="auto"/>
      </w:divBdr>
    </w:div>
    <w:div w:id="1644504184">
      <w:bodyDiv w:val="1"/>
      <w:marLeft w:val="0"/>
      <w:marRight w:val="0"/>
      <w:marTop w:val="0"/>
      <w:marBottom w:val="0"/>
      <w:divBdr>
        <w:top w:val="none" w:sz="0" w:space="0" w:color="auto"/>
        <w:left w:val="none" w:sz="0" w:space="0" w:color="auto"/>
        <w:bottom w:val="none" w:sz="0" w:space="0" w:color="auto"/>
        <w:right w:val="none" w:sz="0" w:space="0" w:color="auto"/>
      </w:divBdr>
    </w:div>
    <w:div w:id="1644967612">
      <w:bodyDiv w:val="1"/>
      <w:marLeft w:val="0"/>
      <w:marRight w:val="0"/>
      <w:marTop w:val="0"/>
      <w:marBottom w:val="0"/>
      <w:divBdr>
        <w:top w:val="none" w:sz="0" w:space="0" w:color="auto"/>
        <w:left w:val="none" w:sz="0" w:space="0" w:color="auto"/>
        <w:bottom w:val="none" w:sz="0" w:space="0" w:color="auto"/>
        <w:right w:val="none" w:sz="0" w:space="0" w:color="auto"/>
      </w:divBdr>
    </w:div>
    <w:div w:id="1645038451">
      <w:bodyDiv w:val="1"/>
      <w:marLeft w:val="0"/>
      <w:marRight w:val="0"/>
      <w:marTop w:val="0"/>
      <w:marBottom w:val="0"/>
      <w:divBdr>
        <w:top w:val="none" w:sz="0" w:space="0" w:color="auto"/>
        <w:left w:val="none" w:sz="0" w:space="0" w:color="auto"/>
        <w:bottom w:val="none" w:sz="0" w:space="0" w:color="auto"/>
        <w:right w:val="none" w:sz="0" w:space="0" w:color="auto"/>
      </w:divBdr>
    </w:div>
    <w:div w:id="1645700677">
      <w:bodyDiv w:val="1"/>
      <w:marLeft w:val="0"/>
      <w:marRight w:val="0"/>
      <w:marTop w:val="0"/>
      <w:marBottom w:val="0"/>
      <w:divBdr>
        <w:top w:val="none" w:sz="0" w:space="0" w:color="auto"/>
        <w:left w:val="none" w:sz="0" w:space="0" w:color="auto"/>
        <w:bottom w:val="none" w:sz="0" w:space="0" w:color="auto"/>
        <w:right w:val="none" w:sz="0" w:space="0" w:color="auto"/>
      </w:divBdr>
    </w:div>
    <w:div w:id="1645767715">
      <w:bodyDiv w:val="1"/>
      <w:marLeft w:val="0"/>
      <w:marRight w:val="0"/>
      <w:marTop w:val="0"/>
      <w:marBottom w:val="0"/>
      <w:divBdr>
        <w:top w:val="none" w:sz="0" w:space="0" w:color="auto"/>
        <w:left w:val="none" w:sz="0" w:space="0" w:color="auto"/>
        <w:bottom w:val="none" w:sz="0" w:space="0" w:color="auto"/>
        <w:right w:val="none" w:sz="0" w:space="0" w:color="auto"/>
      </w:divBdr>
    </w:div>
    <w:div w:id="1646229806">
      <w:bodyDiv w:val="1"/>
      <w:marLeft w:val="0"/>
      <w:marRight w:val="0"/>
      <w:marTop w:val="0"/>
      <w:marBottom w:val="0"/>
      <w:divBdr>
        <w:top w:val="none" w:sz="0" w:space="0" w:color="auto"/>
        <w:left w:val="none" w:sz="0" w:space="0" w:color="auto"/>
        <w:bottom w:val="none" w:sz="0" w:space="0" w:color="auto"/>
        <w:right w:val="none" w:sz="0" w:space="0" w:color="auto"/>
      </w:divBdr>
    </w:div>
    <w:div w:id="1646351220">
      <w:bodyDiv w:val="1"/>
      <w:marLeft w:val="0"/>
      <w:marRight w:val="0"/>
      <w:marTop w:val="0"/>
      <w:marBottom w:val="0"/>
      <w:divBdr>
        <w:top w:val="none" w:sz="0" w:space="0" w:color="auto"/>
        <w:left w:val="none" w:sz="0" w:space="0" w:color="auto"/>
        <w:bottom w:val="none" w:sz="0" w:space="0" w:color="auto"/>
        <w:right w:val="none" w:sz="0" w:space="0" w:color="auto"/>
      </w:divBdr>
    </w:div>
    <w:div w:id="1647275689">
      <w:bodyDiv w:val="1"/>
      <w:marLeft w:val="0"/>
      <w:marRight w:val="0"/>
      <w:marTop w:val="0"/>
      <w:marBottom w:val="0"/>
      <w:divBdr>
        <w:top w:val="none" w:sz="0" w:space="0" w:color="auto"/>
        <w:left w:val="none" w:sz="0" w:space="0" w:color="auto"/>
        <w:bottom w:val="none" w:sz="0" w:space="0" w:color="auto"/>
        <w:right w:val="none" w:sz="0" w:space="0" w:color="auto"/>
      </w:divBdr>
    </w:div>
    <w:div w:id="1647317214">
      <w:bodyDiv w:val="1"/>
      <w:marLeft w:val="0"/>
      <w:marRight w:val="0"/>
      <w:marTop w:val="0"/>
      <w:marBottom w:val="0"/>
      <w:divBdr>
        <w:top w:val="none" w:sz="0" w:space="0" w:color="auto"/>
        <w:left w:val="none" w:sz="0" w:space="0" w:color="auto"/>
        <w:bottom w:val="none" w:sz="0" w:space="0" w:color="auto"/>
        <w:right w:val="none" w:sz="0" w:space="0" w:color="auto"/>
      </w:divBdr>
    </w:div>
    <w:div w:id="1648047666">
      <w:bodyDiv w:val="1"/>
      <w:marLeft w:val="0"/>
      <w:marRight w:val="0"/>
      <w:marTop w:val="0"/>
      <w:marBottom w:val="0"/>
      <w:divBdr>
        <w:top w:val="none" w:sz="0" w:space="0" w:color="auto"/>
        <w:left w:val="none" w:sz="0" w:space="0" w:color="auto"/>
        <w:bottom w:val="none" w:sz="0" w:space="0" w:color="auto"/>
        <w:right w:val="none" w:sz="0" w:space="0" w:color="auto"/>
      </w:divBdr>
    </w:div>
    <w:div w:id="1648124656">
      <w:bodyDiv w:val="1"/>
      <w:marLeft w:val="0"/>
      <w:marRight w:val="0"/>
      <w:marTop w:val="0"/>
      <w:marBottom w:val="0"/>
      <w:divBdr>
        <w:top w:val="none" w:sz="0" w:space="0" w:color="auto"/>
        <w:left w:val="none" w:sz="0" w:space="0" w:color="auto"/>
        <w:bottom w:val="none" w:sz="0" w:space="0" w:color="auto"/>
        <w:right w:val="none" w:sz="0" w:space="0" w:color="auto"/>
      </w:divBdr>
    </w:div>
    <w:div w:id="1648974617">
      <w:bodyDiv w:val="1"/>
      <w:marLeft w:val="0"/>
      <w:marRight w:val="0"/>
      <w:marTop w:val="0"/>
      <w:marBottom w:val="0"/>
      <w:divBdr>
        <w:top w:val="none" w:sz="0" w:space="0" w:color="auto"/>
        <w:left w:val="none" w:sz="0" w:space="0" w:color="auto"/>
        <w:bottom w:val="none" w:sz="0" w:space="0" w:color="auto"/>
        <w:right w:val="none" w:sz="0" w:space="0" w:color="auto"/>
      </w:divBdr>
    </w:div>
    <w:div w:id="1649165954">
      <w:bodyDiv w:val="1"/>
      <w:marLeft w:val="0"/>
      <w:marRight w:val="0"/>
      <w:marTop w:val="0"/>
      <w:marBottom w:val="0"/>
      <w:divBdr>
        <w:top w:val="none" w:sz="0" w:space="0" w:color="auto"/>
        <w:left w:val="none" w:sz="0" w:space="0" w:color="auto"/>
        <w:bottom w:val="none" w:sz="0" w:space="0" w:color="auto"/>
        <w:right w:val="none" w:sz="0" w:space="0" w:color="auto"/>
      </w:divBdr>
    </w:div>
    <w:div w:id="1649475689">
      <w:bodyDiv w:val="1"/>
      <w:marLeft w:val="0"/>
      <w:marRight w:val="0"/>
      <w:marTop w:val="0"/>
      <w:marBottom w:val="0"/>
      <w:divBdr>
        <w:top w:val="none" w:sz="0" w:space="0" w:color="auto"/>
        <w:left w:val="none" w:sz="0" w:space="0" w:color="auto"/>
        <w:bottom w:val="none" w:sz="0" w:space="0" w:color="auto"/>
        <w:right w:val="none" w:sz="0" w:space="0" w:color="auto"/>
      </w:divBdr>
    </w:div>
    <w:div w:id="1650864896">
      <w:bodyDiv w:val="1"/>
      <w:marLeft w:val="0"/>
      <w:marRight w:val="0"/>
      <w:marTop w:val="0"/>
      <w:marBottom w:val="0"/>
      <w:divBdr>
        <w:top w:val="none" w:sz="0" w:space="0" w:color="auto"/>
        <w:left w:val="none" w:sz="0" w:space="0" w:color="auto"/>
        <w:bottom w:val="none" w:sz="0" w:space="0" w:color="auto"/>
        <w:right w:val="none" w:sz="0" w:space="0" w:color="auto"/>
      </w:divBdr>
    </w:div>
    <w:div w:id="1650940124">
      <w:bodyDiv w:val="1"/>
      <w:marLeft w:val="0"/>
      <w:marRight w:val="0"/>
      <w:marTop w:val="0"/>
      <w:marBottom w:val="0"/>
      <w:divBdr>
        <w:top w:val="none" w:sz="0" w:space="0" w:color="auto"/>
        <w:left w:val="none" w:sz="0" w:space="0" w:color="auto"/>
        <w:bottom w:val="none" w:sz="0" w:space="0" w:color="auto"/>
        <w:right w:val="none" w:sz="0" w:space="0" w:color="auto"/>
      </w:divBdr>
    </w:div>
    <w:div w:id="1653287446">
      <w:bodyDiv w:val="1"/>
      <w:marLeft w:val="0"/>
      <w:marRight w:val="0"/>
      <w:marTop w:val="0"/>
      <w:marBottom w:val="0"/>
      <w:divBdr>
        <w:top w:val="none" w:sz="0" w:space="0" w:color="auto"/>
        <w:left w:val="none" w:sz="0" w:space="0" w:color="auto"/>
        <w:bottom w:val="none" w:sz="0" w:space="0" w:color="auto"/>
        <w:right w:val="none" w:sz="0" w:space="0" w:color="auto"/>
      </w:divBdr>
    </w:div>
    <w:div w:id="1653950942">
      <w:bodyDiv w:val="1"/>
      <w:marLeft w:val="0"/>
      <w:marRight w:val="0"/>
      <w:marTop w:val="0"/>
      <w:marBottom w:val="0"/>
      <w:divBdr>
        <w:top w:val="none" w:sz="0" w:space="0" w:color="auto"/>
        <w:left w:val="none" w:sz="0" w:space="0" w:color="auto"/>
        <w:bottom w:val="none" w:sz="0" w:space="0" w:color="auto"/>
        <w:right w:val="none" w:sz="0" w:space="0" w:color="auto"/>
      </w:divBdr>
    </w:div>
    <w:div w:id="1655256843">
      <w:bodyDiv w:val="1"/>
      <w:marLeft w:val="0"/>
      <w:marRight w:val="0"/>
      <w:marTop w:val="0"/>
      <w:marBottom w:val="0"/>
      <w:divBdr>
        <w:top w:val="none" w:sz="0" w:space="0" w:color="auto"/>
        <w:left w:val="none" w:sz="0" w:space="0" w:color="auto"/>
        <w:bottom w:val="none" w:sz="0" w:space="0" w:color="auto"/>
        <w:right w:val="none" w:sz="0" w:space="0" w:color="auto"/>
      </w:divBdr>
    </w:div>
    <w:div w:id="1655833739">
      <w:bodyDiv w:val="1"/>
      <w:marLeft w:val="0"/>
      <w:marRight w:val="0"/>
      <w:marTop w:val="0"/>
      <w:marBottom w:val="0"/>
      <w:divBdr>
        <w:top w:val="none" w:sz="0" w:space="0" w:color="auto"/>
        <w:left w:val="none" w:sz="0" w:space="0" w:color="auto"/>
        <w:bottom w:val="none" w:sz="0" w:space="0" w:color="auto"/>
        <w:right w:val="none" w:sz="0" w:space="0" w:color="auto"/>
      </w:divBdr>
    </w:div>
    <w:div w:id="1656030537">
      <w:bodyDiv w:val="1"/>
      <w:marLeft w:val="0"/>
      <w:marRight w:val="0"/>
      <w:marTop w:val="0"/>
      <w:marBottom w:val="0"/>
      <w:divBdr>
        <w:top w:val="none" w:sz="0" w:space="0" w:color="auto"/>
        <w:left w:val="none" w:sz="0" w:space="0" w:color="auto"/>
        <w:bottom w:val="none" w:sz="0" w:space="0" w:color="auto"/>
        <w:right w:val="none" w:sz="0" w:space="0" w:color="auto"/>
      </w:divBdr>
    </w:div>
    <w:div w:id="1656297163">
      <w:bodyDiv w:val="1"/>
      <w:marLeft w:val="0"/>
      <w:marRight w:val="0"/>
      <w:marTop w:val="0"/>
      <w:marBottom w:val="0"/>
      <w:divBdr>
        <w:top w:val="none" w:sz="0" w:space="0" w:color="auto"/>
        <w:left w:val="none" w:sz="0" w:space="0" w:color="auto"/>
        <w:bottom w:val="none" w:sz="0" w:space="0" w:color="auto"/>
        <w:right w:val="none" w:sz="0" w:space="0" w:color="auto"/>
      </w:divBdr>
    </w:div>
    <w:div w:id="1656715022">
      <w:bodyDiv w:val="1"/>
      <w:marLeft w:val="0"/>
      <w:marRight w:val="0"/>
      <w:marTop w:val="0"/>
      <w:marBottom w:val="0"/>
      <w:divBdr>
        <w:top w:val="none" w:sz="0" w:space="0" w:color="auto"/>
        <w:left w:val="none" w:sz="0" w:space="0" w:color="auto"/>
        <w:bottom w:val="none" w:sz="0" w:space="0" w:color="auto"/>
        <w:right w:val="none" w:sz="0" w:space="0" w:color="auto"/>
      </w:divBdr>
    </w:div>
    <w:div w:id="1661078468">
      <w:bodyDiv w:val="1"/>
      <w:marLeft w:val="0"/>
      <w:marRight w:val="0"/>
      <w:marTop w:val="0"/>
      <w:marBottom w:val="0"/>
      <w:divBdr>
        <w:top w:val="none" w:sz="0" w:space="0" w:color="auto"/>
        <w:left w:val="none" w:sz="0" w:space="0" w:color="auto"/>
        <w:bottom w:val="none" w:sz="0" w:space="0" w:color="auto"/>
        <w:right w:val="none" w:sz="0" w:space="0" w:color="auto"/>
      </w:divBdr>
    </w:div>
    <w:div w:id="1661692722">
      <w:bodyDiv w:val="1"/>
      <w:marLeft w:val="0"/>
      <w:marRight w:val="0"/>
      <w:marTop w:val="0"/>
      <w:marBottom w:val="0"/>
      <w:divBdr>
        <w:top w:val="none" w:sz="0" w:space="0" w:color="auto"/>
        <w:left w:val="none" w:sz="0" w:space="0" w:color="auto"/>
        <w:bottom w:val="none" w:sz="0" w:space="0" w:color="auto"/>
        <w:right w:val="none" w:sz="0" w:space="0" w:color="auto"/>
      </w:divBdr>
    </w:div>
    <w:div w:id="1661696446">
      <w:bodyDiv w:val="1"/>
      <w:marLeft w:val="0"/>
      <w:marRight w:val="0"/>
      <w:marTop w:val="0"/>
      <w:marBottom w:val="0"/>
      <w:divBdr>
        <w:top w:val="none" w:sz="0" w:space="0" w:color="auto"/>
        <w:left w:val="none" w:sz="0" w:space="0" w:color="auto"/>
        <w:bottom w:val="none" w:sz="0" w:space="0" w:color="auto"/>
        <w:right w:val="none" w:sz="0" w:space="0" w:color="auto"/>
      </w:divBdr>
    </w:div>
    <w:div w:id="1661930457">
      <w:bodyDiv w:val="1"/>
      <w:marLeft w:val="0"/>
      <w:marRight w:val="0"/>
      <w:marTop w:val="0"/>
      <w:marBottom w:val="0"/>
      <w:divBdr>
        <w:top w:val="none" w:sz="0" w:space="0" w:color="auto"/>
        <w:left w:val="none" w:sz="0" w:space="0" w:color="auto"/>
        <w:bottom w:val="none" w:sz="0" w:space="0" w:color="auto"/>
        <w:right w:val="none" w:sz="0" w:space="0" w:color="auto"/>
      </w:divBdr>
    </w:div>
    <w:div w:id="1665159293">
      <w:bodyDiv w:val="1"/>
      <w:marLeft w:val="0"/>
      <w:marRight w:val="0"/>
      <w:marTop w:val="0"/>
      <w:marBottom w:val="0"/>
      <w:divBdr>
        <w:top w:val="none" w:sz="0" w:space="0" w:color="auto"/>
        <w:left w:val="none" w:sz="0" w:space="0" w:color="auto"/>
        <w:bottom w:val="none" w:sz="0" w:space="0" w:color="auto"/>
        <w:right w:val="none" w:sz="0" w:space="0" w:color="auto"/>
      </w:divBdr>
    </w:div>
    <w:div w:id="1665280879">
      <w:bodyDiv w:val="1"/>
      <w:marLeft w:val="0"/>
      <w:marRight w:val="0"/>
      <w:marTop w:val="0"/>
      <w:marBottom w:val="0"/>
      <w:divBdr>
        <w:top w:val="none" w:sz="0" w:space="0" w:color="auto"/>
        <w:left w:val="none" w:sz="0" w:space="0" w:color="auto"/>
        <w:bottom w:val="none" w:sz="0" w:space="0" w:color="auto"/>
        <w:right w:val="none" w:sz="0" w:space="0" w:color="auto"/>
      </w:divBdr>
    </w:div>
    <w:div w:id="1665357515">
      <w:bodyDiv w:val="1"/>
      <w:marLeft w:val="0"/>
      <w:marRight w:val="0"/>
      <w:marTop w:val="0"/>
      <w:marBottom w:val="0"/>
      <w:divBdr>
        <w:top w:val="none" w:sz="0" w:space="0" w:color="auto"/>
        <w:left w:val="none" w:sz="0" w:space="0" w:color="auto"/>
        <w:bottom w:val="none" w:sz="0" w:space="0" w:color="auto"/>
        <w:right w:val="none" w:sz="0" w:space="0" w:color="auto"/>
      </w:divBdr>
    </w:div>
    <w:div w:id="1665470508">
      <w:bodyDiv w:val="1"/>
      <w:marLeft w:val="0"/>
      <w:marRight w:val="0"/>
      <w:marTop w:val="0"/>
      <w:marBottom w:val="0"/>
      <w:divBdr>
        <w:top w:val="none" w:sz="0" w:space="0" w:color="auto"/>
        <w:left w:val="none" w:sz="0" w:space="0" w:color="auto"/>
        <w:bottom w:val="none" w:sz="0" w:space="0" w:color="auto"/>
        <w:right w:val="none" w:sz="0" w:space="0" w:color="auto"/>
      </w:divBdr>
    </w:div>
    <w:div w:id="1666742255">
      <w:bodyDiv w:val="1"/>
      <w:marLeft w:val="0"/>
      <w:marRight w:val="0"/>
      <w:marTop w:val="0"/>
      <w:marBottom w:val="0"/>
      <w:divBdr>
        <w:top w:val="none" w:sz="0" w:space="0" w:color="auto"/>
        <w:left w:val="none" w:sz="0" w:space="0" w:color="auto"/>
        <w:bottom w:val="none" w:sz="0" w:space="0" w:color="auto"/>
        <w:right w:val="none" w:sz="0" w:space="0" w:color="auto"/>
      </w:divBdr>
    </w:div>
    <w:div w:id="1666788273">
      <w:bodyDiv w:val="1"/>
      <w:marLeft w:val="0"/>
      <w:marRight w:val="0"/>
      <w:marTop w:val="0"/>
      <w:marBottom w:val="0"/>
      <w:divBdr>
        <w:top w:val="none" w:sz="0" w:space="0" w:color="auto"/>
        <w:left w:val="none" w:sz="0" w:space="0" w:color="auto"/>
        <w:bottom w:val="none" w:sz="0" w:space="0" w:color="auto"/>
        <w:right w:val="none" w:sz="0" w:space="0" w:color="auto"/>
      </w:divBdr>
    </w:div>
    <w:div w:id="1667707394">
      <w:bodyDiv w:val="1"/>
      <w:marLeft w:val="0"/>
      <w:marRight w:val="0"/>
      <w:marTop w:val="0"/>
      <w:marBottom w:val="0"/>
      <w:divBdr>
        <w:top w:val="none" w:sz="0" w:space="0" w:color="auto"/>
        <w:left w:val="none" w:sz="0" w:space="0" w:color="auto"/>
        <w:bottom w:val="none" w:sz="0" w:space="0" w:color="auto"/>
        <w:right w:val="none" w:sz="0" w:space="0" w:color="auto"/>
      </w:divBdr>
    </w:div>
    <w:div w:id="1667778026">
      <w:bodyDiv w:val="1"/>
      <w:marLeft w:val="0"/>
      <w:marRight w:val="0"/>
      <w:marTop w:val="0"/>
      <w:marBottom w:val="0"/>
      <w:divBdr>
        <w:top w:val="none" w:sz="0" w:space="0" w:color="auto"/>
        <w:left w:val="none" w:sz="0" w:space="0" w:color="auto"/>
        <w:bottom w:val="none" w:sz="0" w:space="0" w:color="auto"/>
        <w:right w:val="none" w:sz="0" w:space="0" w:color="auto"/>
      </w:divBdr>
    </w:div>
    <w:div w:id="1669601537">
      <w:bodyDiv w:val="1"/>
      <w:marLeft w:val="0"/>
      <w:marRight w:val="0"/>
      <w:marTop w:val="0"/>
      <w:marBottom w:val="0"/>
      <w:divBdr>
        <w:top w:val="none" w:sz="0" w:space="0" w:color="auto"/>
        <w:left w:val="none" w:sz="0" w:space="0" w:color="auto"/>
        <w:bottom w:val="none" w:sz="0" w:space="0" w:color="auto"/>
        <w:right w:val="none" w:sz="0" w:space="0" w:color="auto"/>
      </w:divBdr>
    </w:div>
    <w:div w:id="1670061813">
      <w:bodyDiv w:val="1"/>
      <w:marLeft w:val="0"/>
      <w:marRight w:val="0"/>
      <w:marTop w:val="0"/>
      <w:marBottom w:val="0"/>
      <w:divBdr>
        <w:top w:val="none" w:sz="0" w:space="0" w:color="auto"/>
        <w:left w:val="none" w:sz="0" w:space="0" w:color="auto"/>
        <w:bottom w:val="none" w:sz="0" w:space="0" w:color="auto"/>
        <w:right w:val="none" w:sz="0" w:space="0" w:color="auto"/>
      </w:divBdr>
    </w:div>
    <w:div w:id="1671252147">
      <w:bodyDiv w:val="1"/>
      <w:marLeft w:val="0"/>
      <w:marRight w:val="0"/>
      <w:marTop w:val="0"/>
      <w:marBottom w:val="0"/>
      <w:divBdr>
        <w:top w:val="none" w:sz="0" w:space="0" w:color="auto"/>
        <w:left w:val="none" w:sz="0" w:space="0" w:color="auto"/>
        <w:bottom w:val="none" w:sz="0" w:space="0" w:color="auto"/>
        <w:right w:val="none" w:sz="0" w:space="0" w:color="auto"/>
      </w:divBdr>
    </w:div>
    <w:div w:id="1671443432">
      <w:bodyDiv w:val="1"/>
      <w:marLeft w:val="0"/>
      <w:marRight w:val="0"/>
      <w:marTop w:val="0"/>
      <w:marBottom w:val="0"/>
      <w:divBdr>
        <w:top w:val="none" w:sz="0" w:space="0" w:color="auto"/>
        <w:left w:val="none" w:sz="0" w:space="0" w:color="auto"/>
        <w:bottom w:val="none" w:sz="0" w:space="0" w:color="auto"/>
        <w:right w:val="none" w:sz="0" w:space="0" w:color="auto"/>
      </w:divBdr>
    </w:div>
    <w:div w:id="1671563344">
      <w:bodyDiv w:val="1"/>
      <w:marLeft w:val="0"/>
      <w:marRight w:val="0"/>
      <w:marTop w:val="0"/>
      <w:marBottom w:val="0"/>
      <w:divBdr>
        <w:top w:val="none" w:sz="0" w:space="0" w:color="auto"/>
        <w:left w:val="none" w:sz="0" w:space="0" w:color="auto"/>
        <w:bottom w:val="none" w:sz="0" w:space="0" w:color="auto"/>
        <w:right w:val="none" w:sz="0" w:space="0" w:color="auto"/>
      </w:divBdr>
    </w:div>
    <w:div w:id="1671566395">
      <w:bodyDiv w:val="1"/>
      <w:marLeft w:val="0"/>
      <w:marRight w:val="0"/>
      <w:marTop w:val="0"/>
      <w:marBottom w:val="0"/>
      <w:divBdr>
        <w:top w:val="none" w:sz="0" w:space="0" w:color="auto"/>
        <w:left w:val="none" w:sz="0" w:space="0" w:color="auto"/>
        <w:bottom w:val="none" w:sz="0" w:space="0" w:color="auto"/>
        <w:right w:val="none" w:sz="0" w:space="0" w:color="auto"/>
      </w:divBdr>
    </w:div>
    <w:div w:id="1671907853">
      <w:bodyDiv w:val="1"/>
      <w:marLeft w:val="0"/>
      <w:marRight w:val="0"/>
      <w:marTop w:val="0"/>
      <w:marBottom w:val="0"/>
      <w:divBdr>
        <w:top w:val="none" w:sz="0" w:space="0" w:color="auto"/>
        <w:left w:val="none" w:sz="0" w:space="0" w:color="auto"/>
        <w:bottom w:val="none" w:sz="0" w:space="0" w:color="auto"/>
        <w:right w:val="none" w:sz="0" w:space="0" w:color="auto"/>
      </w:divBdr>
    </w:div>
    <w:div w:id="1672248792">
      <w:bodyDiv w:val="1"/>
      <w:marLeft w:val="0"/>
      <w:marRight w:val="0"/>
      <w:marTop w:val="0"/>
      <w:marBottom w:val="0"/>
      <w:divBdr>
        <w:top w:val="none" w:sz="0" w:space="0" w:color="auto"/>
        <w:left w:val="none" w:sz="0" w:space="0" w:color="auto"/>
        <w:bottom w:val="none" w:sz="0" w:space="0" w:color="auto"/>
        <w:right w:val="none" w:sz="0" w:space="0" w:color="auto"/>
      </w:divBdr>
    </w:div>
    <w:div w:id="1672642478">
      <w:bodyDiv w:val="1"/>
      <w:marLeft w:val="0"/>
      <w:marRight w:val="0"/>
      <w:marTop w:val="0"/>
      <w:marBottom w:val="0"/>
      <w:divBdr>
        <w:top w:val="none" w:sz="0" w:space="0" w:color="auto"/>
        <w:left w:val="none" w:sz="0" w:space="0" w:color="auto"/>
        <w:bottom w:val="none" w:sz="0" w:space="0" w:color="auto"/>
        <w:right w:val="none" w:sz="0" w:space="0" w:color="auto"/>
      </w:divBdr>
    </w:div>
    <w:div w:id="1673023446">
      <w:bodyDiv w:val="1"/>
      <w:marLeft w:val="0"/>
      <w:marRight w:val="0"/>
      <w:marTop w:val="0"/>
      <w:marBottom w:val="0"/>
      <w:divBdr>
        <w:top w:val="none" w:sz="0" w:space="0" w:color="auto"/>
        <w:left w:val="none" w:sz="0" w:space="0" w:color="auto"/>
        <w:bottom w:val="none" w:sz="0" w:space="0" w:color="auto"/>
        <w:right w:val="none" w:sz="0" w:space="0" w:color="auto"/>
      </w:divBdr>
    </w:div>
    <w:div w:id="1673143438">
      <w:bodyDiv w:val="1"/>
      <w:marLeft w:val="0"/>
      <w:marRight w:val="0"/>
      <w:marTop w:val="0"/>
      <w:marBottom w:val="0"/>
      <w:divBdr>
        <w:top w:val="none" w:sz="0" w:space="0" w:color="auto"/>
        <w:left w:val="none" w:sz="0" w:space="0" w:color="auto"/>
        <w:bottom w:val="none" w:sz="0" w:space="0" w:color="auto"/>
        <w:right w:val="none" w:sz="0" w:space="0" w:color="auto"/>
      </w:divBdr>
    </w:div>
    <w:div w:id="1674532512">
      <w:bodyDiv w:val="1"/>
      <w:marLeft w:val="0"/>
      <w:marRight w:val="0"/>
      <w:marTop w:val="0"/>
      <w:marBottom w:val="0"/>
      <w:divBdr>
        <w:top w:val="none" w:sz="0" w:space="0" w:color="auto"/>
        <w:left w:val="none" w:sz="0" w:space="0" w:color="auto"/>
        <w:bottom w:val="none" w:sz="0" w:space="0" w:color="auto"/>
        <w:right w:val="none" w:sz="0" w:space="0" w:color="auto"/>
      </w:divBdr>
    </w:div>
    <w:div w:id="1676422748">
      <w:bodyDiv w:val="1"/>
      <w:marLeft w:val="0"/>
      <w:marRight w:val="0"/>
      <w:marTop w:val="0"/>
      <w:marBottom w:val="0"/>
      <w:divBdr>
        <w:top w:val="none" w:sz="0" w:space="0" w:color="auto"/>
        <w:left w:val="none" w:sz="0" w:space="0" w:color="auto"/>
        <w:bottom w:val="none" w:sz="0" w:space="0" w:color="auto"/>
        <w:right w:val="none" w:sz="0" w:space="0" w:color="auto"/>
      </w:divBdr>
    </w:div>
    <w:div w:id="1677076443">
      <w:bodyDiv w:val="1"/>
      <w:marLeft w:val="0"/>
      <w:marRight w:val="0"/>
      <w:marTop w:val="0"/>
      <w:marBottom w:val="0"/>
      <w:divBdr>
        <w:top w:val="none" w:sz="0" w:space="0" w:color="auto"/>
        <w:left w:val="none" w:sz="0" w:space="0" w:color="auto"/>
        <w:bottom w:val="none" w:sz="0" w:space="0" w:color="auto"/>
        <w:right w:val="none" w:sz="0" w:space="0" w:color="auto"/>
      </w:divBdr>
    </w:div>
    <w:div w:id="1680112755">
      <w:bodyDiv w:val="1"/>
      <w:marLeft w:val="0"/>
      <w:marRight w:val="0"/>
      <w:marTop w:val="0"/>
      <w:marBottom w:val="0"/>
      <w:divBdr>
        <w:top w:val="none" w:sz="0" w:space="0" w:color="auto"/>
        <w:left w:val="none" w:sz="0" w:space="0" w:color="auto"/>
        <w:bottom w:val="none" w:sz="0" w:space="0" w:color="auto"/>
        <w:right w:val="none" w:sz="0" w:space="0" w:color="auto"/>
      </w:divBdr>
    </w:div>
    <w:div w:id="1680427202">
      <w:bodyDiv w:val="1"/>
      <w:marLeft w:val="0"/>
      <w:marRight w:val="0"/>
      <w:marTop w:val="0"/>
      <w:marBottom w:val="0"/>
      <w:divBdr>
        <w:top w:val="none" w:sz="0" w:space="0" w:color="auto"/>
        <w:left w:val="none" w:sz="0" w:space="0" w:color="auto"/>
        <w:bottom w:val="none" w:sz="0" w:space="0" w:color="auto"/>
        <w:right w:val="none" w:sz="0" w:space="0" w:color="auto"/>
      </w:divBdr>
    </w:div>
    <w:div w:id="1680694295">
      <w:bodyDiv w:val="1"/>
      <w:marLeft w:val="0"/>
      <w:marRight w:val="0"/>
      <w:marTop w:val="0"/>
      <w:marBottom w:val="0"/>
      <w:divBdr>
        <w:top w:val="none" w:sz="0" w:space="0" w:color="auto"/>
        <w:left w:val="none" w:sz="0" w:space="0" w:color="auto"/>
        <w:bottom w:val="none" w:sz="0" w:space="0" w:color="auto"/>
        <w:right w:val="none" w:sz="0" w:space="0" w:color="auto"/>
      </w:divBdr>
    </w:div>
    <w:div w:id="1680768930">
      <w:bodyDiv w:val="1"/>
      <w:marLeft w:val="0"/>
      <w:marRight w:val="0"/>
      <w:marTop w:val="0"/>
      <w:marBottom w:val="0"/>
      <w:divBdr>
        <w:top w:val="none" w:sz="0" w:space="0" w:color="auto"/>
        <w:left w:val="none" w:sz="0" w:space="0" w:color="auto"/>
        <w:bottom w:val="none" w:sz="0" w:space="0" w:color="auto"/>
        <w:right w:val="none" w:sz="0" w:space="0" w:color="auto"/>
      </w:divBdr>
    </w:div>
    <w:div w:id="1686130482">
      <w:bodyDiv w:val="1"/>
      <w:marLeft w:val="0"/>
      <w:marRight w:val="0"/>
      <w:marTop w:val="0"/>
      <w:marBottom w:val="0"/>
      <w:divBdr>
        <w:top w:val="none" w:sz="0" w:space="0" w:color="auto"/>
        <w:left w:val="none" w:sz="0" w:space="0" w:color="auto"/>
        <w:bottom w:val="none" w:sz="0" w:space="0" w:color="auto"/>
        <w:right w:val="none" w:sz="0" w:space="0" w:color="auto"/>
      </w:divBdr>
    </w:div>
    <w:div w:id="1686248846">
      <w:bodyDiv w:val="1"/>
      <w:marLeft w:val="0"/>
      <w:marRight w:val="0"/>
      <w:marTop w:val="0"/>
      <w:marBottom w:val="0"/>
      <w:divBdr>
        <w:top w:val="none" w:sz="0" w:space="0" w:color="auto"/>
        <w:left w:val="none" w:sz="0" w:space="0" w:color="auto"/>
        <w:bottom w:val="none" w:sz="0" w:space="0" w:color="auto"/>
        <w:right w:val="none" w:sz="0" w:space="0" w:color="auto"/>
      </w:divBdr>
    </w:div>
    <w:div w:id="1686322712">
      <w:bodyDiv w:val="1"/>
      <w:marLeft w:val="0"/>
      <w:marRight w:val="0"/>
      <w:marTop w:val="0"/>
      <w:marBottom w:val="0"/>
      <w:divBdr>
        <w:top w:val="none" w:sz="0" w:space="0" w:color="auto"/>
        <w:left w:val="none" w:sz="0" w:space="0" w:color="auto"/>
        <w:bottom w:val="none" w:sz="0" w:space="0" w:color="auto"/>
        <w:right w:val="none" w:sz="0" w:space="0" w:color="auto"/>
      </w:divBdr>
    </w:div>
    <w:div w:id="1686862740">
      <w:bodyDiv w:val="1"/>
      <w:marLeft w:val="0"/>
      <w:marRight w:val="0"/>
      <w:marTop w:val="0"/>
      <w:marBottom w:val="0"/>
      <w:divBdr>
        <w:top w:val="none" w:sz="0" w:space="0" w:color="auto"/>
        <w:left w:val="none" w:sz="0" w:space="0" w:color="auto"/>
        <w:bottom w:val="none" w:sz="0" w:space="0" w:color="auto"/>
        <w:right w:val="none" w:sz="0" w:space="0" w:color="auto"/>
      </w:divBdr>
    </w:div>
    <w:div w:id="1687437014">
      <w:bodyDiv w:val="1"/>
      <w:marLeft w:val="0"/>
      <w:marRight w:val="0"/>
      <w:marTop w:val="0"/>
      <w:marBottom w:val="0"/>
      <w:divBdr>
        <w:top w:val="none" w:sz="0" w:space="0" w:color="auto"/>
        <w:left w:val="none" w:sz="0" w:space="0" w:color="auto"/>
        <w:bottom w:val="none" w:sz="0" w:space="0" w:color="auto"/>
        <w:right w:val="none" w:sz="0" w:space="0" w:color="auto"/>
      </w:divBdr>
    </w:div>
    <w:div w:id="1688023051">
      <w:bodyDiv w:val="1"/>
      <w:marLeft w:val="0"/>
      <w:marRight w:val="0"/>
      <w:marTop w:val="0"/>
      <w:marBottom w:val="0"/>
      <w:divBdr>
        <w:top w:val="none" w:sz="0" w:space="0" w:color="auto"/>
        <w:left w:val="none" w:sz="0" w:space="0" w:color="auto"/>
        <w:bottom w:val="none" w:sz="0" w:space="0" w:color="auto"/>
        <w:right w:val="none" w:sz="0" w:space="0" w:color="auto"/>
      </w:divBdr>
    </w:div>
    <w:div w:id="1690132650">
      <w:bodyDiv w:val="1"/>
      <w:marLeft w:val="0"/>
      <w:marRight w:val="0"/>
      <w:marTop w:val="0"/>
      <w:marBottom w:val="0"/>
      <w:divBdr>
        <w:top w:val="none" w:sz="0" w:space="0" w:color="auto"/>
        <w:left w:val="none" w:sz="0" w:space="0" w:color="auto"/>
        <w:bottom w:val="none" w:sz="0" w:space="0" w:color="auto"/>
        <w:right w:val="none" w:sz="0" w:space="0" w:color="auto"/>
      </w:divBdr>
    </w:div>
    <w:div w:id="1692104383">
      <w:bodyDiv w:val="1"/>
      <w:marLeft w:val="0"/>
      <w:marRight w:val="0"/>
      <w:marTop w:val="0"/>
      <w:marBottom w:val="0"/>
      <w:divBdr>
        <w:top w:val="none" w:sz="0" w:space="0" w:color="auto"/>
        <w:left w:val="none" w:sz="0" w:space="0" w:color="auto"/>
        <w:bottom w:val="none" w:sz="0" w:space="0" w:color="auto"/>
        <w:right w:val="none" w:sz="0" w:space="0" w:color="auto"/>
      </w:divBdr>
    </w:div>
    <w:div w:id="1692297577">
      <w:bodyDiv w:val="1"/>
      <w:marLeft w:val="0"/>
      <w:marRight w:val="0"/>
      <w:marTop w:val="0"/>
      <w:marBottom w:val="0"/>
      <w:divBdr>
        <w:top w:val="none" w:sz="0" w:space="0" w:color="auto"/>
        <w:left w:val="none" w:sz="0" w:space="0" w:color="auto"/>
        <w:bottom w:val="none" w:sz="0" w:space="0" w:color="auto"/>
        <w:right w:val="none" w:sz="0" w:space="0" w:color="auto"/>
      </w:divBdr>
    </w:div>
    <w:div w:id="1695110647">
      <w:bodyDiv w:val="1"/>
      <w:marLeft w:val="0"/>
      <w:marRight w:val="0"/>
      <w:marTop w:val="0"/>
      <w:marBottom w:val="0"/>
      <w:divBdr>
        <w:top w:val="none" w:sz="0" w:space="0" w:color="auto"/>
        <w:left w:val="none" w:sz="0" w:space="0" w:color="auto"/>
        <w:bottom w:val="none" w:sz="0" w:space="0" w:color="auto"/>
        <w:right w:val="none" w:sz="0" w:space="0" w:color="auto"/>
      </w:divBdr>
    </w:div>
    <w:div w:id="1695688907">
      <w:bodyDiv w:val="1"/>
      <w:marLeft w:val="0"/>
      <w:marRight w:val="0"/>
      <w:marTop w:val="0"/>
      <w:marBottom w:val="0"/>
      <w:divBdr>
        <w:top w:val="none" w:sz="0" w:space="0" w:color="auto"/>
        <w:left w:val="none" w:sz="0" w:space="0" w:color="auto"/>
        <w:bottom w:val="none" w:sz="0" w:space="0" w:color="auto"/>
        <w:right w:val="none" w:sz="0" w:space="0" w:color="auto"/>
      </w:divBdr>
    </w:div>
    <w:div w:id="1697346920">
      <w:bodyDiv w:val="1"/>
      <w:marLeft w:val="0"/>
      <w:marRight w:val="0"/>
      <w:marTop w:val="0"/>
      <w:marBottom w:val="0"/>
      <w:divBdr>
        <w:top w:val="none" w:sz="0" w:space="0" w:color="auto"/>
        <w:left w:val="none" w:sz="0" w:space="0" w:color="auto"/>
        <w:bottom w:val="none" w:sz="0" w:space="0" w:color="auto"/>
        <w:right w:val="none" w:sz="0" w:space="0" w:color="auto"/>
      </w:divBdr>
    </w:div>
    <w:div w:id="1698000344">
      <w:bodyDiv w:val="1"/>
      <w:marLeft w:val="0"/>
      <w:marRight w:val="0"/>
      <w:marTop w:val="0"/>
      <w:marBottom w:val="0"/>
      <w:divBdr>
        <w:top w:val="none" w:sz="0" w:space="0" w:color="auto"/>
        <w:left w:val="none" w:sz="0" w:space="0" w:color="auto"/>
        <w:bottom w:val="none" w:sz="0" w:space="0" w:color="auto"/>
        <w:right w:val="none" w:sz="0" w:space="0" w:color="auto"/>
      </w:divBdr>
    </w:div>
    <w:div w:id="1698196707">
      <w:bodyDiv w:val="1"/>
      <w:marLeft w:val="0"/>
      <w:marRight w:val="0"/>
      <w:marTop w:val="0"/>
      <w:marBottom w:val="0"/>
      <w:divBdr>
        <w:top w:val="none" w:sz="0" w:space="0" w:color="auto"/>
        <w:left w:val="none" w:sz="0" w:space="0" w:color="auto"/>
        <w:bottom w:val="none" w:sz="0" w:space="0" w:color="auto"/>
        <w:right w:val="none" w:sz="0" w:space="0" w:color="auto"/>
      </w:divBdr>
    </w:div>
    <w:div w:id="1699314273">
      <w:bodyDiv w:val="1"/>
      <w:marLeft w:val="0"/>
      <w:marRight w:val="0"/>
      <w:marTop w:val="0"/>
      <w:marBottom w:val="0"/>
      <w:divBdr>
        <w:top w:val="none" w:sz="0" w:space="0" w:color="auto"/>
        <w:left w:val="none" w:sz="0" w:space="0" w:color="auto"/>
        <w:bottom w:val="none" w:sz="0" w:space="0" w:color="auto"/>
        <w:right w:val="none" w:sz="0" w:space="0" w:color="auto"/>
      </w:divBdr>
    </w:div>
    <w:div w:id="1701085040">
      <w:bodyDiv w:val="1"/>
      <w:marLeft w:val="0"/>
      <w:marRight w:val="0"/>
      <w:marTop w:val="0"/>
      <w:marBottom w:val="0"/>
      <w:divBdr>
        <w:top w:val="none" w:sz="0" w:space="0" w:color="auto"/>
        <w:left w:val="none" w:sz="0" w:space="0" w:color="auto"/>
        <w:bottom w:val="none" w:sz="0" w:space="0" w:color="auto"/>
        <w:right w:val="none" w:sz="0" w:space="0" w:color="auto"/>
      </w:divBdr>
    </w:div>
    <w:div w:id="1701317483">
      <w:bodyDiv w:val="1"/>
      <w:marLeft w:val="0"/>
      <w:marRight w:val="0"/>
      <w:marTop w:val="0"/>
      <w:marBottom w:val="0"/>
      <w:divBdr>
        <w:top w:val="none" w:sz="0" w:space="0" w:color="auto"/>
        <w:left w:val="none" w:sz="0" w:space="0" w:color="auto"/>
        <w:bottom w:val="none" w:sz="0" w:space="0" w:color="auto"/>
        <w:right w:val="none" w:sz="0" w:space="0" w:color="auto"/>
      </w:divBdr>
    </w:div>
    <w:div w:id="1703509698">
      <w:bodyDiv w:val="1"/>
      <w:marLeft w:val="0"/>
      <w:marRight w:val="0"/>
      <w:marTop w:val="0"/>
      <w:marBottom w:val="0"/>
      <w:divBdr>
        <w:top w:val="none" w:sz="0" w:space="0" w:color="auto"/>
        <w:left w:val="none" w:sz="0" w:space="0" w:color="auto"/>
        <w:bottom w:val="none" w:sz="0" w:space="0" w:color="auto"/>
        <w:right w:val="none" w:sz="0" w:space="0" w:color="auto"/>
      </w:divBdr>
    </w:div>
    <w:div w:id="1703553402">
      <w:bodyDiv w:val="1"/>
      <w:marLeft w:val="0"/>
      <w:marRight w:val="0"/>
      <w:marTop w:val="0"/>
      <w:marBottom w:val="0"/>
      <w:divBdr>
        <w:top w:val="none" w:sz="0" w:space="0" w:color="auto"/>
        <w:left w:val="none" w:sz="0" w:space="0" w:color="auto"/>
        <w:bottom w:val="none" w:sz="0" w:space="0" w:color="auto"/>
        <w:right w:val="none" w:sz="0" w:space="0" w:color="auto"/>
      </w:divBdr>
    </w:div>
    <w:div w:id="1703555338">
      <w:bodyDiv w:val="1"/>
      <w:marLeft w:val="0"/>
      <w:marRight w:val="0"/>
      <w:marTop w:val="0"/>
      <w:marBottom w:val="0"/>
      <w:divBdr>
        <w:top w:val="none" w:sz="0" w:space="0" w:color="auto"/>
        <w:left w:val="none" w:sz="0" w:space="0" w:color="auto"/>
        <w:bottom w:val="none" w:sz="0" w:space="0" w:color="auto"/>
        <w:right w:val="none" w:sz="0" w:space="0" w:color="auto"/>
      </w:divBdr>
    </w:div>
    <w:div w:id="1705523741">
      <w:bodyDiv w:val="1"/>
      <w:marLeft w:val="0"/>
      <w:marRight w:val="0"/>
      <w:marTop w:val="0"/>
      <w:marBottom w:val="0"/>
      <w:divBdr>
        <w:top w:val="none" w:sz="0" w:space="0" w:color="auto"/>
        <w:left w:val="none" w:sz="0" w:space="0" w:color="auto"/>
        <w:bottom w:val="none" w:sz="0" w:space="0" w:color="auto"/>
        <w:right w:val="none" w:sz="0" w:space="0" w:color="auto"/>
      </w:divBdr>
    </w:div>
    <w:div w:id="1706129674">
      <w:bodyDiv w:val="1"/>
      <w:marLeft w:val="0"/>
      <w:marRight w:val="0"/>
      <w:marTop w:val="0"/>
      <w:marBottom w:val="0"/>
      <w:divBdr>
        <w:top w:val="none" w:sz="0" w:space="0" w:color="auto"/>
        <w:left w:val="none" w:sz="0" w:space="0" w:color="auto"/>
        <w:bottom w:val="none" w:sz="0" w:space="0" w:color="auto"/>
        <w:right w:val="none" w:sz="0" w:space="0" w:color="auto"/>
      </w:divBdr>
    </w:div>
    <w:div w:id="1707675732">
      <w:bodyDiv w:val="1"/>
      <w:marLeft w:val="0"/>
      <w:marRight w:val="0"/>
      <w:marTop w:val="0"/>
      <w:marBottom w:val="0"/>
      <w:divBdr>
        <w:top w:val="none" w:sz="0" w:space="0" w:color="auto"/>
        <w:left w:val="none" w:sz="0" w:space="0" w:color="auto"/>
        <w:bottom w:val="none" w:sz="0" w:space="0" w:color="auto"/>
        <w:right w:val="none" w:sz="0" w:space="0" w:color="auto"/>
      </w:divBdr>
    </w:div>
    <w:div w:id="1708605138">
      <w:bodyDiv w:val="1"/>
      <w:marLeft w:val="0"/>
      <w:marRight w:val="0"/>
      <w:marTop w:val="0"/>
      <w:marBottom w:val="0"/>
      <w:divBdr>
        <w:top w:val="none" w:sz="0" w:space="0" w:color="auto"/>
        <w:left w:val="none" w:sz="0" w:space="0" w:color="auto"/>
        <w:bottom w:val="none" w:sz="0" w:space="0" w:color="auto"/>
        <w:right w:val="none" w:sz="0" w:space="0" w:color="auto"/>
      </w:divBdr>
    </w:div>
    <w:div w:id="1709527316">
      <w:bodyDiv w:val="1"/>
      <w:marLeft w:val="0"/>
      <w:marRight w:val="0"/>
      <w:marTop w:val="0"/>
      <w:marBottom w:val="0"/>
      <w:divBdr>
        <w:top w:val="none" w:sz="0" w:space="0" w:color="auto"/>
        <w:left w:val="none" w:sz="0" w:space="0" w:color="auto"/>
        <w:bottom w:val="none" w:sz="0" w:space="0" w:color="auto"/>
        <w:right w:val="none" w:sz="0" w:space="0" w:color="auto"/>
      </w:divBdr>
    </w:div>
    <w:div w:id="1710059815">
      <w:bodyDiv w:val="1"/>
      <w:marLeft w:val="0"/>
      <w:marRight w:val="0"/>
      <w:marTop w:val="0"/>
      <w:marBottom w:val="0"/>
      <w:divBdr>
        <w:top w:val="none" w:sz="0" w:space="0" w:color="auto"/>
        <w:left w:val="none" w:sz="0" w:space="0" w:color="auto"/>
        <w:bottom w:val="none" w:sz="0" w:space="0" w:color="auto"/>
        <w:right w:val="none" w:sz="0" w:space="0" w:color="auto"/>
      </w:divBdr>
    </w:div>
    <w:div w:id="1713000963">
      <w:bodyDiv w:val="1"/>
      <w:marLeft w:val="0"/>
      <w:marRight w:val="0"/>
      <w:marTop w:val="0"/>
      <w:marBottom w:val="0"/>
      <w:divBdr>
        <w:top w:val="none" w:sz="0" w:space="0" w:color="auto"/>
        <w:left w:val="none" w:sz="0" w:space="0" w:color="auto"/>
        <w:bottom w:val="none" w:sz="0" w:space="0" w:color="auto"/>
        <w:right w:val="none" w:sz="0" w:space="0" w:color="auto"/>
      </w:divBdr>
    </w:div>
    <w:div w:id="1713310276">
      <w:bodyDiv w:val="1"/>
      <w:marLeft w:val="0"/>
      <w:marRight w:val="0"/>
      <w:marTop w:val="0"/>
      <w:marBottom w:val="0"/>
      <w:divBdr>
        <w:top w:val="none" w:sz="0" w:space="0" w:color="auto"/>
        <w:left w:val="none" w:sz="0" w:space="0" w:color="auto"/>
        <w:bottom w:val="none" w:sz="0" w:space="0" w:color="auto"/>
        <w:right w:val="none" w:sz="0" w:space="0" w:color="auto"/>
      </w:divBdr>
    </w:div>
    <w:div w:id="1714190901">
      <w:bodyDiv w:val="1"/>
      <w:marLeft w:val="0"/>
      <w:marRight w:val="0"/>
      <w:marTop w:val="0"/>
      <w:marBottom w:val="0"/>
      <w:divBdr>
        <w:top w:val="none" w:sz="0" w:space="0" w:color="auto"/>
        <w:left w:val="none" w:sz="0" w:space="0" w:color="auto"/>
        <w:bottom w:val="none" w:sz="0" w:space="0" w:color="auto"/>
        <w:right w:val="none" w:sz="0" w:space="0" w:color="auto"/>
      </w:divBdr>
    </w:div>
    <w:div w:id="1714232301">
      <w:bodyDiv w:val="1"/>
      <w:marLeft w:val="0"/>
      <w:marRight w:val="0"/>
      <w:marTop w:val="0"/>
      <w:marBottom w:val="0"/>
      <w:divBdr>
        <w:top w:val="none" w:sz="0" w:space="0" w:color="auto"/>
        <w:left w:val="none" w:sz="0" w:space="0" w:color="auto"/>
        <w:bottom w:val="none" w:sz="0" w:space="0" w:color="auto"/>
        <w:right w:val="none" w:sz="0" w:space="0" w:color="auto"/>
      </w:divBdr>
    </w:div>
    <w:div w:id="1716810027">
      <w:bodyDiv w:val="1"/>
      <w:marLeft w:val="0"/>
      <w:marRight w:val="0"/>
      <w:marTop w:val="0"/>
      <w:marBottom w:val="0"/>
      <w:divBdr>
        <w:top w:val="none" w:sz="0" w:space="0" w:color="auto"/>
        <w:left w:val="none" w:sz="0" w:space="0" w:color="auto"/>
        <w:bottom w:val="none" w:sz="0" w:space="0" w:color="auto"/>
        <w:right w:val="none" w:sz="0" w:space="0" w:color="auto"/>
      </w:divBdr>
    </w:div>
    <w:div w:id="1716929488">
      <w:bodyDiv w:val="1"/>
      <w:marLeft w:val="0"/>
      <w:marRight w:val="0"/>
      <w:marTop w:val="0"/>
      <w:marBottom w:val="0"/>
      <w:divBdr>
        <w:top w:val="none" w:sz="0" w:space="0" w:color="auto"/>
        <w:left w:val="none" w:sz="0" w:space="0" w:color="auto"/>
        <w:bottom w:val="none" w:sz="0" w:space="0" w:color="auto"/>
        <w:right w:val="none" w:sz="0" w:space="0" w:color="auto"/>
      </w:divBdr>
    </w:div>
    <w:div w:id="1718426979">
      <w:bodyDiv w:val="1"/>
      <w:marLeft w:val="0"/>
      <w:marRight w:val="0"/>
      <w:marTop w:val="0"/>
      <w:marBottom w:val="0"/>
      <w:divBdr>
        <w:top w:val="none" w:sz="0" w:space="0" w:color="auto"/>
        <w:left w:val="none" w:sz="0" w:space="0" w:color="auto"/>
        <w:bottom w:val="none" w:sz="0" w:space="0" w:color="auto"/>
        <w:right w:val="none" w:sz="0" w:space="0" w:color="auto"/>
      </w:divBdr>
    </w:div>
    <w:div w:id="1722289829">
      <w:bodyDiv w:val="1"/>
      <w:marLeft w:val="0"/>
      <w:marRight w:val="0"/>
      <w:marTop w:val="0"/>
      <w:marBottom w:val="0"/>
      <w:divBdr>
        <w:top w:val="none" w:sz="0" w:space="0" w:color="auto"/>
        <w:left w:val="none" w:sz="0" w:space="0" w:color="auto"/>
        <w:bottom w:val="none" w:sz="0" w:space="0" w:color="auto"/>
        <w:right w:val="none" w:sz="0" w:space="0" w:color="auto"/>
      </w:divBdr>
    </w:div>
    <w:div w:id="1722439992">
      <w:bodyDiv w:val="1"/>
      <w:marLeft w:val="0"/>
      <w:marRight w:val="0"/>
      <w:marTop w:val="0"/>
      <w:marBottom w:val="0"/>
      <w:divBdr>
        <w:top w:val="none" w:sz="0" w:space="0" w:color="auto"/>
        <w:left w:val="none" w:sz="0" w:space="0" w:color="auto"/>
        <w:bottom w:val="none" w:sz="0" w:space="0" w:color="auto"/>
        <w:right w:val="none" w:sz="0" w:space="0" w:color="auto"/>
      </w:divBdr>
    </w:div>
    <w:div w:id="1723672888">
      <w:bodyDiv w:val="1"/>
      <w:marLeft w:val="0"/>
      <w:marRight w:val="0"/>
      <w:marTop w:val="0"/>
      <w:marBottom w:val="0"/>
      <w:divBdr>
        <w:top w:val="none" w:sz="0" w:space="0" w:color="auto"/>
        <w:left w:val="none" w:sz="0" w:space="0" w:color="auto"/>
        <w:bottom w:val="none" w:sz="0" w:space="0" w:color="auto"/>
        <w:right w:val="none" w:sz="0" w:space="0" w:color="auto"/>
      </w:divBdr>
    </w:div>
    <w:div w:id="1723943023">
      <w:bodyDiv w:val="1"/>
      <w:marLeft w:val="0"/>
      <w:marRight w:val="0"/>
      <w:marTop w:val="0"/>
      <w:marBottom w:val="0"/>
      <w:divBdr>
        <w:top w:val="none" w:sz="0" w:space="0" w:color="auto"/>
        <w:left w:val="none" w:sz="0" w:space="0" w:color="auto"/>
        <w:bottom w:val="none" w:sz="0" w:space="0" w:color="auto"/>
        <w:right w:val="none" w:sz="0" w:space="0" w:color="auto"/>
      </w:divBdr>
    </w:div>
    <w:div w:id="1724518989">
      <w:bodyDiv w:val="1"/>
      <w:marLeft w:val="0"/>
      <w:marRight w:val="0"/>
      <w:marTop w:val="0"/>
      <w:marBottom w:val="0"/>
      <w:divBdr>
        <w:top w:val="none" w:sz="0" w:space="0" w:color="auto"/>
        <w:left w:val="none" w:sz="0" w:space="0" w:color="auto"/>
        <w:bottom w:val="none" w:sz="0" w:space="0" w:color="auto"/>
        <w:right w:val="none" w:sz="0" w:space="0" w:color="auto"/>
      </w:divBdr>
    </w:div>
    <w:div w:id="1726298847">
      <w:bodyDiv w:val="1"/>
      <w:marLeft w:val="0"/>
      <w:marRight w:val="0"/>
      <w:marTop w:val="0"/>
      <w:marBottom w:val="0"/>
      <w:divBdr>
        <w:top w:val="none" w:sz="0" w:space="0" w:color="auto"/>
        <w:left w:val="none" w:sz="0" w:space="0" w:color="auto"/>
        <w:bottom w:val="none" w:sz="0" w:space="0" w:color="auto"/>
        <w:right w:val="none" w:sz="0" w:space="0" w:color="auto"/>
      </w:divBdr>
    </w:div>
    <w:div w:id="1727334762">
      <w:bodyDiv w:val="1"/>
      <w:marLeft w:val="0"/>
      <w:marRight w:val="0"/>
      <w:marTop w:val="0"/>
      <w:marBottom w:val="0"/>
      <w:divBdr>
        <w:top w:val="none" w:sz="0" w:space="0" w:color="auto"/>
        <w:left w:val="none" w:sz="0" w:space="0" w:color="auto"/>
        <w:bottom w:val="none" w:sz="0" w:space="0" w:color="auto"/>
        <w:right w:val="none" w:sz="0" w:space="0" w:color="auto"/>
      </w:divBdr>
    </w:div>
    <w:div w:id="1728913082">
      <w:bodyDiv w:val="1"/>
      <w:marLeft w:val="0"/>
      <w:marRight w:val="0"/>
      <w:marTop w:val="0"/>
      <w:marBottom w:val="0"/>
      <w:divBdr>
        <w:top w:val="none" w:sz="0" w:space="0" w:color="auto"/>
        <w:left w:val="none" w:sz="0" w:space="0" w:color="auto"/>
        <w:bottom w:val="none" w:sz="0" w:space="0" w:color="auto"/>
        <w:right w:val="none" w:sz="0" w:space="0" w:color="auto"/>
      </w:divBdr>
    </w:div>
    <w:div w:id="1729105592">
      <w:bodyDiv w:val="1"/>
      <w:marLeft w:val="0"/>
      <w:marRight w:val="0"/>
      <w:marTop w:val="0"/>
      <w:marBottom w:val="0"/>
      <w:divBdr>
        <w:top w:val="none" w:sz="0" w:space="0" w:color="auto"/>
        <w:left w:val="none" w:sz="0" w:space="0" w:color="auto"/>
        <w:bottom w:val="none" w:sz="0" w:space="0" w:color="auto"/>
        <w:right w:val="none" w:sz="0" w:space="0" w:color="auto"/>
      </w:divBdr>
    </w:div>
    <w:div w:id="1729184931">
      <w:bodyDiv w:val="1"/>
      <w:marLeft w:val="0"/>
      <w:marRight w:val="0"/>
      <w:marTop w:val="0"/>
      <w:marBottom w:val="0"/>
      <w:divBdr>
        <w:top w:val="none" w:sz="0" w:space="0" w:color="auto"/>
        <w:left w:val="none" w:sz="0" w:space="0" w:color="auto"/>
        <w:bottom w:val="none" w:sz="0" w:space="0" w:color="auto"/>
        <w:right w:val="none" w:sz="0" w:space="0" w:color="auto"/>
      </w:divBdr>
    </w:div>
    <w:div w:id="1734501184">
      <w:bodyDiv w:val="1"/>
      <w:marLeft w:val="0"/>
      <w:marRight w:val="0"/>
      <w:marTop w:val="0"/>
      <w:marBottom w:val="0"/>
      <w:divBdr>
        <w:top w:val="none" w:sz="0" w:space="0" w:color="auto"/>
        <w:left w:val="none" w:sz="0" w:space="0" w:color="auto"/>
        <w:bottom w:val="none" w:sz="0" w:space="0" w:color="auto"/>
        <w:right w:val="none" w:sz="0" w:space="0" w:color="auto"/>
      </w:divBdr>
    </w:div>
    <w:div w:id="1735010105">
      <w:bodyDiv w:val="1"/>
      <w:marLeft w:val="0"/>
      <w:marRight w:val="0"/>
      <w:marTop w:val="0"/>
      <w:marBottom w:val="0"/>
      <w:divBdr>
        <w:top w:val="none" w:sz="0" w:space="0" w:color="auto"/>
        <w:left w:val="none" w:sz="0" w:space="0" w:color="auto"/>
        <w:bottom w:val="none" w:sz="0" w:space="0" w:color="auto"/>
        <w:right w:val="none" w:sz="0" w:space="0" w:color="auto"/>
      </w:divBdr>
    </w:div>
    <w:div w:id="1735279176">
      <w:bodyDiv w:val="1"/>
      <w:marLeft w:val="0"/>
      <w:marRight w:val="0"/>
      <w:marTop w:val="0"/>
      <w:marBottom w:val="0"/>
      <w:divBdr>
        <w:top w:val="none" w:sz="0" w:space="0" w:color="auto"/>
        <w:left w:val="none" w:sz="0" w:space="0" w:color="auto"/>
        <w:bottom w:val="none" w:sz="0" w:space="0" w:color="auto"/>
        <w:right w:val="none" w:sz="0" w:space="0" w:color="auto"/>
      </w:divBdr>
    </w:div>
    <w:div w:id="1735733378">
      <w:bodyDiv w:val="1"/>
      <w:marLeft w:val="0"/>
      <w:marRight w:val="0"/>
      <w:marTop w:val="0"/>
      <w:marBottom w:val="0"/>
      <w:divBdr>
        <w:top w:val="none" w:sz="0" w:space="0" w:color="auto"/>
        <w:left w:val="none" w:sz="0" w:space="0" w:color="auto"/>
        <w:bottom w:val="none" w:sz="0" w:space="0" w:color="auto"/>
        <w:right w:val="none" w:sz="0" w:space="0" w:color="auto"/>
      </w:divBdr>
    </w:div>
    <w:div w:id="1735926860">
      <w:bodyDiv w:val="1"/>
      <w:marLeft w:val="0"/>
      <w:marRight w:val="0"/>
      <w:marTop w:val="0"/>
      <w:marBottom w:val="0"/>
      <w:divBdr>
        <w:top w:val="none" w:sz="0" w:space="0" w:color="auto"/>
        <w:left w:val="none" w:sz="0" w:space="0" w:color="auto"/>
        <w:bottom w:val="none" w:sz="0" w:space="0" w:color="auto"/>
        <w:right w:val="none" w:sz="0" w:space="0" w:color="auto"/>
      </w:divBdr>
    </w:div>
    <w:div w:id="1737818548">
      <w:bodyDiv w:val="1"/>
      <w:marLeft w:val="0"/>
      <w:marRight w:val="0"/>
      <w:marTop w:val="0"/>
      <w:marBottom w:val="0"/>
      <w:divBdr>
        <w:top w:val="none" w:sz="0" w:space="0" w:color="auto"/>
        <w:left w:val="none" w:sz="0" w:space="0" w:color="auto"/>
        <w:bottom w:val="none" w:sz="0" w:space="0" w:color="auto"/>
        <w:right w:val="none" w:sz="0" w:space="0" w:color="auto"/>
      </w:divBdr>
    </w:div>
    <w:div w:id="1737971927">
      <w:bodyDiv w:val="1"/>
      <w:marLeft w:val="0"/>
      <w:marRight w:val="0"/>
      <w:marTop w:val="0"/>
      <w:marBottom w:val="0"/>
      <w:divBdr>
        <w:top w:val="none" w:sz="0" w:space="0" w:color="auto"/>
        <w:left w:val="none" w:sz="0" w:space="0" w:color="auto"/>
        <w:bottom w:val="none" w:sz="0" w:space="0" w:color="auto"/>
        <w:right w:val="none" w:sz="0" w:space="0" w:color="auto"/>
      </w:divBdr>
    </w:div>
    <w:div w:id="1738630908">
      <w:bodyDiv w:val="1"/>
      <w:marLeft w:val="0"/>
      <w:marRight w:val="0"/>
      <w:marTop w:val="0"/>
      <w:marBottom w:val="0"/>
      <w:divBdr>
        <w:top w:val="none" w:sz="0" w:space="0" w:color="auto"/>
        <w:left w:val="none" w:sz="0" w:space="0" w:color="auto"/>
        <w:bottom w:val="none" w:sz="0" w:space="0" w:color="auto"/>
        <w:right w:val="none" w:sz="0" w:space="0" w:color="auto"/>
      </w:divBdr>
    </w:div>
    <w:div w:id="1741055410">
      <w:bodyDiv w:val="1"/>
      <w:marLeft w:val="0"/>
      <w:marRight w:val="0"/>
      <w:marTop w:val="0"/>
      <w:marBottom w:val="0"/>
      <w:divBdr>
        <w:top w:val="none" w:sz="0" w:space="0" w:color="auto"/>
        <w:left w:val="none" w:sz="0" w:space="0" w:color="auto"/>
        <w:bottom w:val="none" w:sz="0" w:space="0" w:color="auto"/>
        <w:right w:val="none" w:sz="0" w:space="0" w:color="auto"/>
      </w:divBdr>
    </w:div>
    <w:div w:id="1742481499">
      <w:bodyDiv w:val="1"/>
      <w:marLeft w:val="0"/>
      <w:marRight w:val="0"/>
      <w:marTop w:val="0"/>
      <w:marBottom w:val="0"/>
      <w:divBdr>
        <w:top w:val="none" w:sz="0" w:space="0" w:color="auto"/>
        <w:left w:val="none" w:sz="0" w:space="0" w:color="auto"/>
        <w:bottom w:val="none" w:sz="0" w:space="0" w:color="auto"/>
        <w:right w:val="none" w:sz="0" w:space="0" w:color="auto"/>
      </w:divBdr>
    </w:div>
    <w:div w:id="1742559137">
      <w:bodyDiv w:val="1"/>
      <w:marLeft w:val="0"/>
      <w:marRight w:val="0"/>
      <w:marTop w:val="0"/>
      <w:marBottom w:val="0"/>
      <w:divBdr>
        <w:top w:val="none" w:sz="0" w:space="0" w:color="auto"/>
        <w:left w:val="none" w:sz="0" w:space="0" w:color="auto"/>
        <w:bottom w:val="none" w:sz="0" w:space="0" w:color="auto"/>
        <w:right w:val="none" w:sz="0" w:space="0" w:color="auto"/>
      </w:divBdr>
    </w:div>
    <w:div w:id="1744714077">
      <w:bodyDiv w:val="1"/>
      <w:marLeft w:val="0"/>
      <w:marRight w:val="0"/>
      <w:marTop w:val="0"/>
      <w:marBottom w:val="0"/>
      <w:divBdr>
        <w:top w:val="none" w:sz="0" w:space="0" w:color="auto"/>
        <w:left w:val="none" w:sz="0" w:space="0" w:color="auto"/>
        <w:bottom w:val="none" w:sz="0" w:space="0" w:color="auto"/>
        <w:right w:val="none" w:sz="0" w:space="0" w:color="auto"/>
      </w:divBdr>
    </w:div>
    <w:div w:id="1745103222">
      <w:bodyDiv w:val="1"/>
      <w:marLeft w:val="0"/>
      <w:marRight w:val="0"/>
      <w:marTop w:val="0"/>
      <w:marBottom w:val="0"/>
      <w:divBdr>
        <w:top w:val="none" w:sz="0" w:space="0" w:color="auto"/>
        <w:left w:val="none" w:sz="0" w:space="0" w:color="auto"/>
        <w:bottom w:val="none" w:sz="0" w:space="0" w:color="auto"/>
        <w:right w:val="none" w:sz="0" w:space="0" w:color="auto"/>
      </w:divBdr>
    </w:div>
    <w:div w:id="1745448597">
      <w:bodyDiv w:val="1"/>
      <w:marLeft w:val="0"/>
      <w:marRight w:val="0"/>
      <w:marTop w:val="0"/>
      <w:marBottom w:val="0"/>
      <w:divBdr>
        <w:top w:val="none" w:sz="0" w:space="0" w:color="auto"/>
        <w:left w:val="none" w:sz="0" w:space="0" w:color="auto"/>
        <w:bottom w:val="none" w:sz="0" w:space="0" w:color="auto"/>
        <w:right w:val="none" w:sz="0" w:space="0" w:color="auto"/>
      </w:divBdr>
    </w:div>
    <w:div w:id="1745569906">
      <w:bodyDiv w:val="1"/>
      <w:marLeft w:val="0"/>
      <w:marRight w:val="0"/>
      <w:marTop w:val="0"/>
      <w:marBottom w:val="0"/>
      <w:divBdr>
        <w:top w:val="none" w:sz="0" w:space="0" w:color="auto"/>
        <w:left w:val="none" w:sz="0" w:space="0" w:color="auto"/>
        <w:bottom w:val="none" w:sz="0" w:space="0" w:color="auto"/>
        <w:right w:val="none" w:sz="0" w:space="0" w:color="auto"/>
      </w:divBdr>
    </w:div>
    <w:div w:id="1746878046">
      <w:bodyDiv w:val="1"/>
      <w:marLeft w:val="0"/>
      <w:marRight w:val="0"/>
      <w:marTop w:val="0"/>
      <w:marBottom w:val="0"/>
      <w:divBdr>
        <w:top w:val="none" w:sz="0" w:space="0" w:color="auto"/>
        <w:left w:val="none" w:sz="0" w:space="0" w:color="auto"/>
        <w:bottom w:val="none" w:sz="0" w:space="0" w:color="auto"/>
        <w:right w:val="none" w:sz="0" w:space="0" w:color="auto"/>
      </w:divBdr>
    </w:div>
    <w:div w:id="1748189114">
      <w:bodyDiv w:val="1"/>
      <w:marLeft w:val="0"/>
      <w:marRight w:val="0"/>
      <w:marTop w:val="0"/>
      <w:marBottom w:val="0"/>
      <w:divBdr>
        <w:top w:val="none" w:sz="0" w:space="0" w:color="auto"/>
        <w:left w:val="none" w:sz="0" w:space="0" w:color="auto"/>
        <w:bottom w:val="none" w:sz="0" w:space="0" w:color="auto"/>
        <w:right w:val="none" w:sz="0" w:space="0" w:color="auto"/>
      </w:divBdr>
    </w:div>
    <w:div w:id="1748385594">
      <w:bodyDiv w:val="1"/>
      <w:marLeft w:val="0"/>
      <w:marRight w:val="0"/>
      <w:marTop w:val="0"/>
      <w:marBottom w:val="0"/>
      <w:divBdr>
        <w:top w:val="none" w:sz="0" w:space="0" w:color="auto"/>
        <w:left w:val="none" w:sz="0" w:space="0" w:color="auto"/>
        <w:bottom w:val="none" w:sz="0" w:space="0" w:color="auto"/>
        <w:right w:val="none" w:sz="0" w:space="0" w:color="auto"/>
      </w:divBdr>
    </w:div>
    <w:div w:id="1749038666">
      <w:bodyDiv w:val="1"/>
      <w:marLeft w:val="0"/>
      <w:marRight w:val="0"/>
      <w:marTop w:val="0"/>
      <w:marBottom w:val="0"/>
      <w:divBdr>
        <w:top w:val="none" w:sz="0" w:space="0" w:color="auto"/>
        <w:left w:val="none" w:sz="0" w:space="0" w:color="auto"/>
        <w:bottom w:val="none" w:sz="0" w:space="0" w:color="auto"/>
        <w:right w:val="none" w:sz="0" w:space="0" w:color="auto"/>
      </w:divBdr>
    </w:div>
    <w:div w:id="1751656645">
      <w:bodyDiv w:val="1"/>
      <w:marLeft w:val="0"/>
      <w:marRight w:val="0"/>
      <w:marTop w:val="0"/>
      <w:marBottom w:val="0"/>
      <w:divBdr>
        <w:top w:val="none" w:sz="0" w:space="0" w:color="auto"/>
        <w:left w:val="none" w:sz="0" w:space="0" w:color="auto"/>
        <w:bottom w:val="none" w:sz="0" w:space="0" w:color="auto"/>
        <w:right w:val="none" w:sz="0" w:space="0" w:color="auto"/>
      </w:divBdr>
    </w:div>
    <w:div w:id="1753771342">
      <w:bodyDiv w:val="1"/>
      <w:marLeft w:val="0"/>
      <w:marRight w:val="0"/>
      <w:marTop w:val="0"/>
      <w:marBottom w:val="0"/>
      <w:divBdr>
        <w:top w:val="none" w:sz="0" w:space="0" w:color="auto"/>
        <w:left w:val="none" w:sz="0" w:space="0" w:color="auto"/>
        <w:bottom w:val="none" w:sz="0" w:space="0" w:color="auto"/>
        <w:right w:val="none" w:sz="0" w:space="0" w:color="auto"/>
      </w:divBdr>
    </w:div>
    <w:div w:id="1755129104">
      <w:bodyDiv w:val="1"/>
      <w:marLeft w:val="0"/>
      <w:marRight w:val="0"/>
      <w:marTop w:val="0"/>
      <w:marBottom w:val="0"/>
      <w:divBdr>
        <w:top w:val="none" w:sz="0" w:space="0" w:color="auto"/>
        <w:left w:val="none" w:sz="0" w:space="0" w:color="auto"/>
        <w:bottom w:val="none" w:sz="0" w:space="0" w:color="auto"/>
        <w:right w:val="none" w:sz="0" w:space="0" w:color="auto"/>
      </w:divBdr>
    </w:div>
    <w:div w:id="1757166916">
      <w:bodyDiv w:val="1"/>
      <w:marLeft w:val="0"/>
      <w:marRight w:val="0"/>
      <w:marTop w:val="0"/>
      <w:marBottom w:val="0"/>
      <w:divBdr>
        <w:top w:val="none" w:sz="0" w:space="0" w:color="auto"/>
        <w:left w:val="none" w:sz="0" w:space="0" w:color="auto"/>
        <w:bottom w:val="none" w:sz="0" w:space="0" w:color="auto"/>
        <w:right w:val="none" w:sz="0" w:space="0" w:color="auto"/>
      </w:divBdr>
    </w:div>
    <w:div w:id="1758869186">
      <w:bodyDiv w:val="1"/>
      <w:marLeft w:val="0"/>
      <w:marRight w:val="0"/>
      <w:marTop w:val="0"/>
      <w:marBottom w:val="0"/>
      <w:divBdr>
        <w:top w:val="none" w:sz="0" w:space="0" w:color="auto"/>
        <w:left w:val="none" w:sz="0" w:space="0" w:color="auto"/>
        <w:bottom w:val="none" w:sz="0" w:space="0" w:color="auto"/>
        <w:right w:val="none" w:sz="0" w:space="0" w:color="auto"/>
      </w:divBdr>
    </w:div>
    <w:div w:id="1760366933">
      <w:bodyDiv w:val="1"/>
      <w:marLeft w:val="0"/>
      <w:marRight w:val="0"/>
      <w:marTop w:val="0"/>
      <w:marBottom w:val="0"/>
      <w:divBdr>
        <w:top w:val="none" w:sz="0" w:space="0" w:color="auto"/>
        <w:left w:val="none" w:sz="0" w:space="0" w:color="auto"/>
        <w:bottom w:val="none" w:sz="0" w:space="0" w:color="auto"/>
        <w:right w:val="none" w:sz="0" w:space="0" w:color="auto"/>
      </w:divBdr>
    </w:div>
    <w:div w:id="1760833023">
      <w:bodyDiv w:val="1"/>
      <w:marLeft w:val="0"/>
      <w:marRight w:val="0"/>
      <w:marTop w:val="0"/>
      <w:marBottom w:val="0"/>
      <w:divBdr>
        <w:top w:val="none" w:sz="0" w:space="0" w:color="auto"/>
        <w:left w:val="none" w:sz="0" w:space="0" w:color="auto"/>
        <w:bottom w:val="none" w:sz="0" w:space="0" w:color="auto"/>
        <w:right w:val="none" w:sz="0" w:space="0" w:color="auto"/>
      </w:divBdr>
    </w:div>
    <w:div w:id="1761831152">
      <w:bodyDiv w:val="1"/>
      <w:marLeft w:val="0"/>
      <w:marRight w:val="0"/>
      <w:marTop w:val="0"/>
      <w:marBottom w:val="0"/>
      <w:divBdr>
        <w:top w:val="none" w:sz="0" w:space="0" w:color="auto"/>
        <w:left w:val="none" w:sz="0" w:space="0" w:color="auto"/>
        <w:bottom w:val="none" w:sz="0" w:space="0" w:color="auto"/>
        <w:right w:val="none" w:sz="0" w:space="0" w:color="auto"/>
      </w:divBdr>
    </w:div>
    <w:div w:id="1762752544">
      <w:bodyDiv w:val="1"/>
      <w:marLeft w:val="0"/>
      <w:marRight w:val="0"/>
      <w:marTop w:val="0"/>
      <w:marBottom w:val="0"/>
      <w:divBdr>
        <w:top w:val="none" w:sz="0" w:space="0" w:color="auto"/>
        <w:left w:val="none" w:sz="0" w:space="0" w:color="auto"/>
        <w:bottom w:val="none" w:sz="0" w:space="0" w:color="auto"/>
        <w:right w:val="none" w:sz="0" w:space="0" w:color="auto"/>
      </w:divBdr>
    </w:div>
    <w:div w:id="1762793891">
      <w:bodyDiv w:val="1"/>
      <w:marLeft w:val="0"/>
      <w:marRight w:val="0"/>
      <w:marTop w:val="0"/>
      <w:marBottom w:val="0"/>
      <w:divBdr>
        <w:top w:val="none" w:sz="0" w:space="0" w:color="auto"/>
        <w:left w:val="none" w:sz="0" w:space="0" w:color="auto"/>
        <w:bottom w:val="none" w:sz="0" w:space="0" w:color="auto"/>
        <w:right w:val="none" w:sz="0" w:space="0" w:color="auto"/>
      </w:divBdr>
    </w:div>
    <w:div w:id="1763184624">
      <w:bodyDiv w:val="1"/>
      <w:marLeft w:val="0"/>
      <w:marRight w:val="0"/>
      <w:marTop w:val="0"/>
      <w:marBottom w:val="0"/>
      <w:divBdr>
        <w:top w:val="none" w:sz="0" w:space="0" w:color="auto"/>
        <w:left w:val="none" w:sz="0" w:space="0" w:color="auto"/>
        <w:bottom w:val="none" w:sz="0" w:space="0" w:color="auto"/>
        <w:right w:val="none" w:sz="0" w:space="0" w:color="auto"/>
      </w:divBdr>
    </w:div>
    <w:div w:id="1763574332">
      <w:bodyDiv w:val="1"/>
      <w:marLeft w:val="0"/>
      <w:marRight w:val="0"/>
      <w:marTop w:val="0"/>
      <w:marBottom w:val="0"/>
      <w:divBdr>
        <w:top w:val="none" w:sz="0" w:space="0" w:color="auto"/>
        <w:left w:val="none" w:sz="0" w:space="0" w:color="auto"/>
        <w:bottom w:val="none" w:sz="0" w:space="0" w:color="auto"/>
        <w:right w:val="none" w:sz="0" w:space="0" w:color="auto"/>
      </w:divBdr>
    </w:div>
    <w:div w:id="1763838905">
      <w:bodyDiv w:val="1"/>
      <w:marLeft w:val="0"/>
      <w:marRight w:val="0"/>
      <w:marTop w:val="0"/>
      <w:marBottom w:val="0"/>
      <w:divBdr>
        <w:top w:val="none" w:sz="0" w:space="0" w:color="auto"/>
        <w:left w:val="none" w:sz="0" w:space="0" w:color="auto"/>
        <w:bottom w:val="none" w:sz="0" w:space="0" w:color="auto"/>
        <w:right w:val="none" w:sz="0" w:space="0" w:color="auto"/>
      </w:divBdr>
    </w:div>
    <w:div w:id="1764033383">
      <w:bodyDiv w:val="1"/>
      <w:marLeft w:val="0"/>
      <w:marRight w:val="0"/>
      <w:marTop w:val="0"/>
      <w:marBottom w:val="0"/>
      <w:divBdr>
        <w:top w:val="none" w:sz="0" w:space="0" w:color="auto"/>
        <w:left w:val="none" w:sz="0" w:space="0" w:color="auto"/>
        <w:bottom w:val="none" w:sz="0" w:space="0" w:color="auto"/>
        <w:right w:val="none" w:sz="0" w:space="0" w:color="auto"/>
      </w:divBdr>
    </w:div>
    <w:div w:id="1765414697">
      <w:bodyDiv w:val="1"/>
      <w:marLeft w:val="0"/>
      <w:marRight w:val="0"/>
      <w:marTop w:val="0"/>
      <w:marBottom w:val="0"/>
      <w:divBdr>
        <w:top w:val="none" w:sz="0" w:space="0" w:color="auto"/>
        <w:left w:val="none" w:sz="0" w:space="0" w:color="auto"/>
        <w:bottom w:val="none" w:sz="0" w:space="0" w:color="auto"/>
        <w:right w:val="none" w:sz="0" w:space="0" w:color="auto"/>
      </w:divBdr>
    </w:div>
    <w:div w:id="1766998087">
      <w:bodyDiv w:val="1"/>
      <w:marLeft w:val="0"/>
      <w:marRight w:val="0"/>
      <w:marTop w:val="0"/>
      <w:marBottom w:val="0"/>
      <w:divBdr>
        <w:top w:val="none" w:sz="0" w:space="0" w:color="auto"/>
        <w:left w:val="none" w:sz="0" w:space="0" w:color="auto"/>
        <w:bottom w:val="none" w:sz="0" w:space="0" w:color="auto"/>
        <w:right w:val="none" w:sz="0" w:space="0" w:color="auto"/>
      </w:divBdr>
    </w:div>
    <w:div w:id="1767310914">
      <w:bodyDiv w:val="1"/>
      <w:marLeft w:val="0"/>
      <w:marRight w:val="0"/>
      <w:marTop w:val="0"/>
      <w:marBottom w:val="0"/>
      <w:divBdr>
        <w:top w:val="none" w:sz="0" w:space="0" w:color="auto"/>
        <w:left w:val="none" w:sz="0" w:space="0" w:color="auto"/>
        <w:bottom w:val="none" w:sz="0" w:space="0" w:color="auto"/>
        <w:right w:val="none" w:sz="0" w:space="0" w:color="auto"/>
      </w:divBdr>
    </w:div>
    <w:div w:id="1767770574">
      <w:bodyDiv w:val="1"/>
      <w:marLeft w:val="0"/>
      <w:marRight w:val="0"/>
      <w:marTop w:val="0"/>
      <w:marBottom w:val="0"/>
      <w:divBdr>
        <w:top w:val="none" w:sz="0" w:space="0" w:color="auto"/>
        <w:left w:val="none" w:sz="0" w:space="0" w:color="auto"/>
        <w:bottom w:val="none" w:sz="0" w:space="0" w:color="auto"/>
        <w:right w:val="none" w:sz="0" w:space="0" w:color="auto"/>
      </w:divBdr>
    </w:div>
    <w:div w:id="1768038932">
      <w:bodyDiv w:val="1"/>
      <w:marLeft w:val="0"/>
      <w:marRight w:val="0"/>
      <w:marTop w:val="0"/>
      <w:marBottom w:val="0"/>
      <w:divBdr>
        <w:top w:val="none" w:sz="0" w:space="0" w:color="auto"/>
        <w:left w:val="none" w:sz="0" w:space="0" w:color="auto"/>
        <w:bottom w:val="none" w:sz="0" w:space="0" w:color="auto"/>
        <w:right w:val="none" w:sz="0" w:space="0" w:color="auto"/>
      </w:divBdr>
    </w:div>
    <w:div w:id="1768847242">
      <w:bodyDiv w:val="1"/>
      <w:marLeft w:val="0"/>
      <w:marRight w:val="0"/>
      <w:marTop w:val="0"/>
      <w:marBottom w:val="0"/>
      <w:divBdr>
        <w:top w:val="none" w:sz="0" w:space="0" w:color="auto"/>
        <w:left w:val="none" w:sz="0" w:space="0" w:color="auto"/>
        <w:bottom w:val="none" w:sz="0" w:space="0" w:color="auto"/>
        <w:right w:val="none" w:sz="0" w:space="0" w:color="auto"/>
      </w:divBdr>
    </w:div>
    <w:div w:id="1769426734">
      <w:bodyDiv w:val="1"/>
      <w:marLeft w:val="0"/>
      <w:marRight w:val="0"/>
      <w:marTop w:val="0"/>
      <w:marBottom w:val="0"/>
      <w:divBdr>
        <w:top w:val="none" w:sz="0" w:space="0" w:color="auto"/>
        <w:left w:val="none" w:sz="0" w:space="0" w:color="auto"/>
        <w:bottom w:val="none" w:sz="0" w:space="0" w:color="auto"/>
        <w:right w:val="none" w:sz="0" w:space="0" w:color="auto"/>
      </w:divBdr>
    </w:div>
    <w:div w:id="1769736068">
      <w:bodyDiv w:val="1"/>
      <w:marLeft w:val="0"/>
      <w:marRight w:val="0"/>
      <w:marTop w:val="0"/>
      <w:marBottom w:val="0"/>
      <w:divBdr>
        <w:top w:val="none" w:sz="0" w:space="0" w:color="auto"/>
        <w:left w:val="none" w:sz="0" w:space="0" w:color="auto"/>
        <w:bottom w:val="none" w:sz="0" w:space="0" w:color="auto"/>
        <w:right w:val="none" w:sz="0" w:space="0" w:color="auto"/>
      </w:divBdr>
    </w:div>
    <w:div w:id="1770615971">
      <w:bodyDiv w:val="1"/>
      <w:marLeft w:val="0"/>
      <w:marRight w:val="0"/>
      <w:marTop w:val="0"/>
      <w:marBottom w:val="0"/>
      <w:divBdr>
        <w:top w:val="none" w:sz="0" w:space="0" w:color="auto"/>
        <w:left w:val="none" w:sz="0" w:space="0" w:color="auto"/>
        <w:bottom w:val="none" w:sz="0" w:space="0" w:color="auto"/>
        <w:right w:val="none" w:sz="0" w:space="0" w:color="auto"/>
      </w:divBdr>
    </w:div>
    <w:div w:id="1770660885">
      <w:bodyDiv w:val="1"/>
      <w:marLeft w:val="0"/>
      <w:marRight w:val="0"/>
      <w:marTop w:val="0"/>
      <w:marBottom w:val="0"/>
      <w:divBdr>
        <w:top w:val="none" w:sz="0" w:space="0" w:color="auto"/>
        <w:left w:val="none" w:sz="0" w:space="0" w:color="auto"/>
        <w:bottom w:val="none" w:sz="0" w:space="0" w:color="auto"/>
        <w:right w:val="none" w:sz="0" w:space="0" w:color="auto"/>
      </w:divBdr>
    </w:div>
    <w:div w:id="1770808920">
      <w:bodyDiv w:val="1"/>
      <w:marLeft w:val="0"/>
      <w:marRight w:val="0"/>
      <w:marTop w:val="0"/>
      <w:marBottom w:val="0"/>
      <w:divBdr>
        <w:top w:val="none" w:sz="0" w:space="0" w:color="auto"/>
        <w:left w:val="none" w:sz="0" w:space="0" w:color="auto"/>
        <w:bottom w:val="none" w:sz="0" w:space="0" w:color="auto"/>
        <w:right w:val="none" w:sz="0" w:space="0" w:color="auto"/>
      </w:divBdr>
    </w:div>
    <w:div w:id="1772429342">
      <w:bodyDiv w:val="1"/>
      <w:marLeft w:val="0"/>
      <w:marRight w:val="0"/>
      <w:marTop w:val="0"/>
      <w:marBottom w:val="0"/>
      <w:divBdr>
        <w:top w:val="none" w:sz="0" w:space="0" w:color="auto"/>
        <w:left w:val="none" w:sz="0" w:space="0" w:color="auto"/>
        <w:bottom w:val="none" w:sz="0" w:space="0" w:color="auto"/>
        <w:right w:val="none" w:sz="0" w:space="0" w:color="auto"/>
      </w:divBdr>
    </w:div>
    <w:div w:id="1772774867">
      <w:bodyDiv w:val="1"/>
      <w:marLeft w:val="0"/>
      <w:marRight w:val="0"/>
      <w:marTop w:val="0"/>
      <w:marBottom w:val="0"/>
      <w:divBdr>
        <w:top w:val="none" w:sz="0" w:space="0" w:color="auto"/>
        <w:left w:val="none" w:sz="0" w:space="0" w:color="auto"/>
        <w:bottom w:val="none" w:sz="0" w:space="0" w:color="auto"/>
        <w:right w:val="none" w:sz="0" w:space="0" w:color="auto"/>
      </w:divBdr>
    </w:div>
    <w:div w:id="1773818956">
      <w:bodyDiv w:val="1"/>
      <w:marLeft w:val="0"/>
      <w:marRight w:val="0"/>
      <w:marTop w:val="0"/>
      <w:marBottom w:val="0"/>
      <w:divBdr>
        <w:top w:val="none" w:sz="0" w:space="0" w:color="auto"/>
        <w:left w:val="none" w:sz="0" w:space="0" w:color="auto"/>
        <w:bottom w:val="none" w:sz="0" w:space="0" w:color="auto"/>
        <w:right w:val="none" w:sz="0" w:space="0" w:color="auto"/>
      </w:divBdr>
    </w:div>
    <w:div w:id="1774014829">
      <w:bodyDiv w:val="1"/>
      <w:marLeft w:val="0"/>
      <w:marRight w:val="0"/>
      <w:marTop w:val="0"/>
      <w:marBottom w:val="0"/>
      <w:divBdr>
        <w:top w:val="none" w:sz="0" w:space="0" w:color="auto"/>
        <w:left w:val="none" w:sz="0" w:space="0" w:color="auto"/>
        <w:bottom w:val="none" w:sz="0" w:space="0" w:color="auto"/>
        <w:right w:val="none" w:sz="0" w:space="0" w:color="auto"/>
      </w:divBdr>
    </w:div>
    <w:div w:id="1774520951">
      <w:bodyDiv w:val="1"/>
      <w:marLeft w:val="0"/>
      <w:marRight w:val="0"/>
      <w:marTop w:val="0"/>
      <w:marBottom w:val="0"/>
      <w:divBdr>
        <w:top w:val="none" w:sz="0" w:space="0" w:color="auto"/>
        <w:left w:val="none" w:sz="0" w:space="0" w:color="auto"/>
        <w:bottom w:val="none" w:sz="0" w:space="0" w:color="auto"/>
        <w:right w:val="none" w:sz="0" w:space="0" w:color="auto"/>
      </w:divBdr>
    </w:div>
    <w:div w:id="1775320432">
      <w:bodyDiv w:val="1"/>
      <w:marLeft w:val="0"/>
      <w:marRight w:val="0"/>
      <w:marTop w:val="0"/>
      <w:marBottom w:val="0"/>
      <w:divBdr>
        <w:top w:val="none" w:sz="0" w:space="0" w:color="auto"/>
        <w:left w:val="none" w:sz="0" w:space="0" w:color="auto"/>
        <w:bottom w:val="none" w:sz="0" w:space="0" w:color="auto"/>
        <w:right w:val="none" w:sz="0" w:space="0" w:color="auto"/>
      </w:divBdr>
    </w:div>
    <w:div w:id="1776753579">
      <w:bodyDiv w:val="1"/>
      <w:marLeft w:val="0"/>
      <w:marRight w:val="0"/>
      <w:marTop w:val="0"/>
      <w:marBottom w:val="0"/>
      <w:divBdr>
        <w:top w:val="none" w:sz="0" w:space="0" w:color="auto"/>
        <w:left w:val="none" w:sz="0" w:space="0" w:color="auto"/>
        <w:bottom w:val="none" w:sz="0" w:space="0" w:color="auto"/>
        <w:right w:val="none" w:sz="0" w:space="0" w:color="auto"/>
      </w:divBdr>
    </w:div>
    <w:div w:id="1777095502">
      <w:bodyDiv w:val="1"/>
      <w:marLeft w:val="0"/>
      <w:marRight w:val="0"/>
      <w:marTop w:val="0"/>
      <w:marBottom w:val="0"/>
      <w:divBdr>
        <w:top w:val="none" w:sz="0" w:space="0" w:color="auto"/>
        <w:left w:val="none" w:sz="0" w:space="0" w:color="auto"/>
        <w:bottom w:val="none" w:sz="0" w:space="0" w:color="auto"/>
        <w:right w:val="none" w:sz="0" w:space="0" w:color="auto"/>
      </w:divBdr>
    </w:div>
    <w:div w:id="1777603727">
      <w:bodyDiv w:val="1"/>
      <w:marLeft w:val="0"/>
      <w:marRight w:val="0"/>
      <w:marTop w:val="0"/>
      <w:marBottom w:val="0"/>
      <w:divBdr>
        <w:top w:val="none" w:sz="0" w:space="0" w:color="auto"/>
        <w:left w:val="none" w:sz="0" w:space="0" w:color="auto"/>
        <w:bottom w:val="none" w:sz="0" w:space="0" w:color="auto"/>
        <w:right w:val="none" w:sz="0" w:space="0" w:color="auto"/>
      </w:divBdr>
    </w:div>
    <w:div w:id="1777827827">
      <w:bodyDiv w:val="1"/>
      <w:marLeft w:val="0"/>
      <w:marRight w:val="0"/>
      <w:marTop w:val="0"/>
      <w:marBottom w:val="0"/>
      <w:divBdr>
        <w:top w:val="none" w:sz="0" w:space="0" w:color="auto"/>
        <w:left w:val="none" w:sz="0" w:space="0" w:color="auto"/>
        <w:bottom w:val="none" w:sz="0" w:space="0" w:color="auto"/>
        <w:right w:val="none" w:sz="0" w:space="0" w:color="auto"/>
      </w:divBdr>
    </w:div>
    <w:div w:id="1779792831">
      <w:bodyDiv w:val="1"/>
      <w:marLeft w:val="0"/>
      <w:marRight w:val="0"/>
      <w:marTop w:val="0"/>
      <w:marBottom w:val="0"/>
      <w:divBdr>
        <w:top w:val="none" w:sz="0" w:space="0" w:color="auto"/>
        <w:left w:val="none" w:sz="0" w:space="0" w:color="auto"/>
        <w:bottom w:val="none" w:sz="0" w:space="0" w:color="auto"/>
        <w:right w:val="none" w:sz="0" w:space="0" w:color="auto"/>
      </w:divBdr>
    </w:div>
    <w:div w:id="1779985404">
      <w:bodyDiv w:val="1"/>
      <w:marLeft w:val="0"/>
      <w:marRight w:val="0"/>
      <w:marTop w:val="0"/>
      <w:marBottom w:val="0"/>
      <w:divBdr>
        <w:top w:val="none" w:sz="0" w:space="0" w:color="auto"/>
        <w:left w:val="none" w:sz="0" w:space="0" w:color="auto"/>
        <w:bottom w:val="none" w:sz="0" w:space="0" w:color="auto"/>
        <w:right w:val="none" w:sz="0" w:space="0" w:color="auto"/>
      </w:divBdr>
    </w:div>
    <w:div w:id="1780949773">
      <w:bodyDiv w:val="1"/>
      <w:marLeft w:val="0"/>
      <w:marRight w:val="0"/>
      <w:marTop w:val="0"/>
      <w:marBottom w:val="0"/>
      <w:divBdr>
        <w:top w:val="none" w:sz="0" w:space="0" w:color="auto"/>
        <w:left w:val="none" w:sz="0" w:space="0" w:color="auto"/>
        <w:bottom w:val="none" w:sz="0" w:space="0" w:color="auto"/>
        <w:right w:val="none" w:sz="0" w:space="0" w:color="auto"/>
      </w:divBdr>
    </w:div>
    <w:div w:id="1782064283">
      <w:bodyDiv w:val="1"/>
      <w:marLeft w:val="0"/>
      <w:marRight w:val="0"/>
      <w:marTop w:val="0"/>
      <w:marBottom w:val="0"/>
      <w:divBdr>
        <w:top w:val="none" w:sz="0" w:space="0" w:color="auto"/>
        <w:left w:val="none" w:sz="0" w:space="0" w:color="auto"/>
        <w:bottom w:val="none" w:sz="0" w:space="0" w:color="auto"/>
        <w:right w:val="none" w:sz="0" w:space="0" w:color="auto"/>
      </w:divBdr>
    </w:div>
    <w:div w:id="1782333931">
      <w:bodyDiv w:val="1"/>
      <w:marLeft w:val="0"/>
      <w:marRight w:val="0"/>
      <w:marTop w:val="0"/>
      <w:marBottom w:val="0"/>
      <w:divBdr>
        <w:top w:val="none" w:sz="0" w:space="0" w:color="auto"/>
        <w:left w:val="none" w:sz="0" w:space="0" w:color="auto"/>
        <w:bottom w:val="none" w:sz="0" w:space="0" w:color="auto"/>
        <w:right w:val="none" w:sz="0" w:space="0" w:color="auto"/>
      </w:divBdr>
    </w:div>
    <w:div w:id="1782415198">
      <w:bodyDiv w:val="1"/>
      <w:marLeft w:val="0"/>
      <w:marRight w:val="0"/>
      <w:marTop w:val="0"/>
      <w:marBottom w:val="0"/>
      <w:divBdr>
        <w:top w:val="none" w:sz="0" w:space="0" w:color="auto"/>
        <w:left w:val="none" w:sz="0" w:space="0" w:color="auto"/>
        <w:bottom w:val="none" w:sz="0" w:space="0" w:color="auto"/>
        <w:right w:val="none" w:sz="0" w:space="0" w:color="auto"/>
      </w:divBdr>
    </w:div>
    <w:div w:id="1783452891">
      <w:bodyDiv w:val="1"/>
      <w:marLeft w:val="0"/>
      <w:marRight w:val="0"/>
      <w:marTop w:val="0"/>
      <w:marBottom w:val="0"/>
      <w:divBdr>
        <w:top w:val="none" w:sz="0" w:space="0" w:color="auto"/>
        <w:left w:val="none" w:sz="0" w:space="0" w:color="auto"/>
        <w:bottom w:val="none" w:sz="0" w:space="0" w:color="auto"/>
        <w:right w:val="none" w:sz="0" w:space="0" w:color="auto"/>
      </w:divBdr>
    </w:div>
    <w:div w:id="1787966055">
      <w:bodyDiv w:val="1"/>
      <w:marLeft w:val="0"/>
      <w:marRight w:val="0"/>
      <w:marTop w:val="0"/>
      <w:marBottom w:val="0"/>
      <w:divBdr>
        <w:top w:val="none" w:sz="0" w:space="0" w:color="auto"/>
        <w:left w:val="none" w:sz="0" w:space="0" w:color="auto"/>
        <w:bottom w:val="none" w:sz="0" w:space="0" w:color="auto"/>
        <w:right w:val="none" w:sz="0" w:space="0" w:color="auto"/>
      </w:divBdr>
    </w:div>
    <w:div w:id="1789661969">
      <w:bodyDiv w:val="1"/>
      <w:marLeft w:val="0"/>
      <w:marRight w:val="0"/>
      <w:marTop w:val="0"/>
      <w:marBottom w:val="0"/>
      <w:divBdr>
        <w:top w:val="none" w:sz="0" w:space="0" w:color="auto"/>
        <w:left w:val="none" w:sz="0" w:space="0" w:color="auto"/>
        <w:bottom w:val="none" w:sz="0" w:space="0" w:color="auto"/>
        <w:right w:val="none" w:sz="0" w:space="0" w:color="auto"/>
      </w:divBdr>
    </w:div>
    <w:div w:id="1790313481">
      <w:bodyDiv w:val="1"/>
      <w:marLeft w:val="0"/>
      <w:marRight w:val="0"/>
      <w:marTop w:val="0"/>
      <w:marBottom w:val="0"/>
      <w:divBdr>
        <w:top w:val="none" w:sz="0" w:space="0" w:color="auto"/>
        <w:left w:val="none" w:sz="0" w:space="0" w:color="auto"/>
        <w:bottom w:val="none" w:sz="0" w:space="0" w:color="auto"/>
        <w:right w:val="none" w:sz="0" w:space="0" w:color="auto"/>
      </w:divBdr>
    </w:div>
    <w:div w:id="1790467440">
      <w:bodyDiv w:val="1"/>
      <w:marLeft w:val="0"/>
      <w:marRight w:val="0"/>
      <w:marTop w:val="0"/>
      <w:marBottom w:val="0"/>
      <w:divBdr>
        <w:top w:val="none" w:sz="0" w:space="0" w:color="auto"/>
        <w:left w:val="none" w:sz="0" w:space="0" w:color="auto"/>
        <w:bottom w:val="none" w:sz="0" w:space="0" w:color="auto"/>
        <w:right w:val="none" w:sz="0" w:space="0" w:color="auto"/>
      </w:divBdr>
    </w:div>
    <w:div w:id="1790733285">
      <w:bodyDiv w:val="1"/>
      <w:marLeft w:val="0"/>
      <w:marRight w:val="0"/>
      <w:marTop w:val="0"/>
      <w:marBottom w:val="0"/>
      <w:divBdr>
        <w:top w:val="none" w:sz="0" w:space="0" w:color="auto"/>
        <w:left w:val="none" w:sz="0" w:space="0" w:color="auto"/>
        <w:bottom w:val="none" w:sz="0" w:space="0" w:color="auto"/>
        <w:right w:val="none" w:sz="0" w:space="0" w:color="auto"/>
      </w:divBdr>
    </w:div>
    <w:div w:id="1790779210">
      <w:bodyDiv w:val="1"/>
      <w:marLeft w:val="0"/>
      <w:marRight w:val="0"/>
      <w:marTop w:val="0"/>
      <w:marBottom w:val="0"/>
      <w:divBdr>
        <w:top w:val="none" w:sz="0" w:space="0" w:color="auto"/>
        <w:left w:val="none" w:sz="0" w:space="0" w:color="auto"/>
        <w:bottom w:val="none" w:sz="0" w:space="0" w:color="auto"/>
        <w:right w:val="none" w:sz="0" w:space="0" w:color="auto"/>
      </w:divBdr>
    </w:div>
    <w:div w:id="1791434589">
      <w:bodyDiv w:val="1"/>
      <w:marLeft w:val="0"/>
      <w:marRight w:val="0"/>
      <w:marTop w:val="0"/>
      <w:marBottom w:val="0"/>
      <w:divBdr>
        <w:top w:val="none" w:sz="0" w:space="0" w:color="auto"/>
        <w:left w:val="none" w:sz="0" w:space="0" w:color="auto"/>
        <w:bottom w:val="none" w:sz="0" w:space="0" w:color="auto"/>
        <w:right w:val="none" w:sz="0" w:space="0" w:color="auto"/>
      </w:divBdr>
    </w:div>
    <w:div w:id="1793665635">
      <w:bodyDiv w:val="1"/>
      <w:marLeft w:val="0"/>
      <w:marRight w:val="0"/>
      <w:marTop w:val="0"/>
      <w:marBottom w:val="0"/>
      <w:divBdr>
        <w:top w:val="none" w:sz="0" w:space="0" w:color="auto"/>
        <w:left w:val="none" w:sz="0" w:space="0" w:color="auto"/>
        <w:bottom w:val="none" w:sz="0" w:space="0" w:color="auto"/>
        <w:right w:val="none" w:sz="0" w:space="0" w:color="auto"/>
      </w:divBdr>
    </w:div>
    <w:div w:id="1794010967">
      <w:bodyDiv w:val="1"/>
      <w:marLeft w:val="0"/>
      <w:marRight w:val="0"/>
      <w:marTop w:val="0"/>
      <w:marBottom w:val="0"/>
      <w:divBdr>
        <w:top w:val="none" w:sz="0" w:space="0" w:color="auto"/>
        <w:left w:val="none" w:sz="0" w:space="0" w:color="auto"/>
        <w:bottom w:val="none" w:sz="0" w:space="0" w:color="auto"/>
        <w:right w:val="none" w:sz="0" w:space="0" w:color="auto"/>
      </w:divBdr>
    </w:div>
    <w:div w:id="1794247884">
      <w:bodyDiv w:val="1"/>
      <w:marLeft w:val="0"/>
      <w:marRight w:val="0"/>
      <w:marTop w:val="0"/>
      <w:marBottom w:val="0"/>
      <w:divBdr>
        <w:top w:val="none" w:sz="0" w:space="0" w:color="auto"/>
        <w:left w:val="none" w:sz="0" w:space="0" w:color="auto"/>
        <w:bottom w:val="none" w:sz="0" w:space="0" w:color="auto"/>
        <w:right w:val="none" w:sz="0" w:space="0" w:color="auto"/>
      </w:divBdr>
    </w:div>
    <w:div w:id="1795320775">
      <w:bodyDiv w:val="1"/>
      <w:marLeft w:val="0"/>
      <w:marRight w:val="0"/>
      <w:marTop w:val="0"/>
      <w:marBottom w:val="0"/>
      <w:divBdr>
        <w:top w:val="none" w:sz="0" w:space="0" w:color="auto"/>
        <w:left w:val="none" w:sz="0" w:space="0" w:color="auto"/>
        <w:bottom w:val="none" w:sz="0" w:space="0" w:color="auto"/>
        <w:right w:val="none" w:sz="0" w:space="0" w:color="auto"/>
      </w:divBdr>
    </w:div>
    <w:div w:id="1798524639">
      <w:bodyDiv w:val="1"/>
      <w:marLeft w:val="0"/>
      <w:marRight w:val="0"/>
      <w:marTop w:val="0"/>
      <w:marBottom w:val="0"/>
      <w:divBdr>
        <w:top w:val="none" w:sz="0" w:space="0" w:color="auto"/>
        <w:left w:val="none" w:sz="0" w:space="0" w:color="auto"/>
        <w:bottom w:val="none" w:sz="0" w:space="0" w:color="auto"/>
        <w:right w:val="none" w:sz="0" w:space="0" w:color="auto"/>
      </w:divBdr>
    </w:div>
    <w:div w:id="1798916913">
      <w:bodyDiv w:val="1"/>
      <w:marLeft w:val="0"/>
      <w:marRight w:val="0"/>
      <w:marTop w:val="0"/>
      <w:marBottom w:val="0"/>
      <w:divBdr>
        <w:top w:val="none" w:sz="0" w:space="0" w:color="auto"/>
        <w:left w:val="none" w:sz="0" w:space="0" w:color="auto"/>
        <w:bottom w:val="none" w:sz="0" w:space="0" w:color="auto"/>
        <w:right w:val="none" w:sz="0" w:space="0" w:color="auto"/>
      </w:divBdr>
    </w:div>
    <w:div w:id="1799840330">
      <w:bodyDiv w:val="1"/>
      <w:marLeft w:val="0"/>
      <w:marRight w:val="0"/>
      <w:marTop w:val="0"/>
      <w:marBottom w:val="0"/>
      <w:divBdr>
        <w:top w:val="none" w:sz="0" w:space="0" w:color="auto"/>
        <w:left w:val="none" w:sz="0" w:space="0" w:color="auto"/>
        <w:bottom w:val="none" w:sz="0" w:space="0" w:color="auto"/>
        <w:right w:val="none" w:sz="0" w:space="0" w:color="auto"/>
      </w:divBdr>
    </w:div>
    <w:div w:id="1800686953">
      <w:bodyDiv w:val="1"/>
      <w:marLeft w:val="0"/>
      <w:marRight w:val="0"/>
      <w:marTop w:val="0"/>
      <w:marBottom w:val="0"/>
      <w:divBdr>
        <w:top w:val="none" w:sz="0" w:space="0" w:color="auto"/>
        <w:left w:val="none" w:sz="0" w:space="0" w:color="auto"/>
        <w:bottom w:val="none" w:sz="0" w:space="0" w:color="auto"/>
        <w:right w:val="none" w:sz="0" w:space="0" w:color="auto"/>
      </w:divBdr>
    </w:div>
    <w:div w:id="1801264803">
      <w:bodyDiv w:val="1"/>
      <w:marLeft w:val="0"/>
      <w:marRight w:val="0"/>
      <w:marTop w:val="0"/>
      <w:marBottom w:val="0"/>
      <w:divBdr>
        <w:top w:val="none" w:sz="0" w:space="0" w:color="auto"/>
        <w:left w:val="none" w:sz="0" w:space="0" w:color="auto"/>
        <w:bottom w:val="none" w:sz="0" w:space="0" w:color="auto"/>
        <w:right w:val="none" w:sz="0" w:space="0" w:color="auto"/>
      </w:divBdr>
    </w:div>
    <w:div w:id="1801458454">
      <w:bodyDiv w:val="1"/>
      <w:marLeft w:val="0"/>
      <w:marRight w:val="0"/>
      <w:marTop w:val="0"/>
      <w:marBottom w:val="0"/>
      <w:divBdr>
        <w:top w:val="none" w:sz="0" w:space="0" w:color="auto"/>
        <w:left w:val="none" w:sz="0" w:space="0" w:color="auto"/>
        <w:bottom w:val="none" w:sz="0" w:space="0" w:color="auto"/>
        <w:right w:val="none" w:sz="0" w:space="0" w:color="auto"/>
      </w:divBdr>
    </w:div>
    <w:div w:id="1802848127">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4274705">
      <w:bodyDiv w:val="1"/>
      <w:marLeft w:val="0"/>
      <w:marRight w:val="0"/>
      <w:marTop w:val="0"/>
      <w:marBottom w:val="0"/>
      <w:divBdr>
        <w:top w:val="none" w:sz="0" w:space="0" w:color="auto"/>
        <w:left w:val="none" w:sz="0" w:space="0" w:color="auto"/>
        <w:bottom w:val="none" w:sz="0" w:space="0" w:color="auto"/>
        <w:right w:val="none" w:sz="0" w:space="0" w:color="auto"/>
      </w:divBdr>
    </w:div>
    <w:div w:id="1804544158">
      <w:bodyDiv w:val="1"/>
      <w:marLeft w:val="0"/>
      <w:marRight w:val="0"/>
      <w:marTop w:val="0"/>
      <w:marBottom w:val="0"/>
      <w:divBdr>
        <w:top w:val="none" w:sz="0" w:space="0" w:color="auto"/>
        <w:left w:val="none" w:sz="0" w:space="0" w:color="auto"/>
        <w:bottom w:val="none" w:sz="0" w:space="0" w:color="auto"/>
        <w:right w:val="none" w:sz="0" w:space="0" w:color="auto"/>
      </w:divBdr>
    </w:div>
    <w:div w:id="1805078537">
      <w:bodyDiv w:val="1"/>
      <w:marLeft w:val="0"/>
      <w:marRight w:val="0"/>
      <w:marTop w:val="0"/>
      <w:marBottom w:val="0"/>
      <w:divBdr>
        <w:top w:val="none" w:sz="0" w:space="0" w:color="auto"/>
        <w:left w:val="none" w:sz="0" w:space="0" w:color="auto"/>
        <w:bottom w:val="none" w:sz="0" w:space="0" w:color="auto"/>
        <w:right w:val="none" w:sz="0" w:space="0" w:color="auto"/>
      </w:divBdr>
    </w:div>
    <w:div w:id="1806240662">
      <w:bodyDiv w:val="1"/>
      <w:marLeft w:val="0"/>
      <w:marRight w:val="0"/>
      <w:marTop w:val="0"/>
      <w:marBottom w:val="0"/>
      <w:divBdr>
        <w:top w:val="none" w:sz="0" w:space="0" w:color="auto"/>
        <w:left w:val="none" w:sz="0" w:space="0" w:color="auto"/>
        <w:bottom w:val="none" w:sz="0" w:space="0" w:color="auto"/>
        <w:right w:val="none" w:sz="0" w:space="0" w:color="auto"/>
      </w:divBdr>
    </w:div>
    <w:div w:id="1808085173">
      <w:bodyDiv w:val="1"/>
      <w:marLeft w:val="0"/>
      <w:marRight w:val="0"/>
      <w:marTop w:val="0"/>
      <w:marBottom w:val="0"/>
      <w:divBdr>
        <w:top w:val="none" w:sz="0" w:space="0" w:color="auto"/>
        <w:left w:val="none" w:sz="0" w:space="0" w:color="auto"/>
        <w:bottom w:val="none" w:sz="0" w:space="0" w:color="auto"/>
        <w:right w:val="none" w:sz="0" w:space="0" w:color="auto"/>
      </w:divBdr>
    </w:div>
    <w:div w:id="1809516766">
      <w:bodyDiv w:val="1"/>
      <w:marLeft w:val="0"/>
      <w:marRight w:val="0"/>
      <w:marTop w:val="0"/>
      <w:marBottom w:val="0"/>
      <w:divBdr>
        <w:top w:val="none" w:sz="0" w:space="0" w:color="auto"/>
        <w:left w:val="none" w:sz="0" w:space="0" w:color="auto"/>
        <w:bottom w:val="none" w:sz="0" w:space="0" w:color="auto"/>
        <w:right w:val="none" w:sz="0" w:space="0" w:color="auto"/>
      </w:divBdr>
    </w:div>
    <w:div w:id="1812285953">
      <w:bodyDiv w:val="1"/>
      <w:marLeft w:val="0"/>
      <w:marRight w:val="0"/>
      <w:marTop w:val="0"/>
      <w:marBottom w:val="0"/>
      <w:divBdr>
        <w:top w:val="none" w:sz="0" w:space="0" w:color="auto"/>
        <w:left w:val="none" w:sz="0" w:space="0" w:color="auto"/>
        <w:bottom w:val="none" w:sz="0" w:space="0" w:color="auto"/>
        <w:right w:val="none" w:sz="0" w:space="0" w:color="auto"/>
      </w:divBdr>
    </w:div>
    <w:div w:id="1812743517">
      <w:bodyDiv w:val="1"/>
      <w:marLeft w:val="0"/>
      <w:marRight w:val="0"/>
      <w:marTop w:val="0"/>
      <w:marBottom w:val="0"/>
      <w:divBdr>
        <w:top w:val="none" w:sz="0" w:space="0" w:color="auto"/>
        <w:left w:val="none" w:sz="0" w:space="0" w:color="auto"/>
        <w:bottom w:val="none" w:sz="0" w:space="0" w:color="auto"/>
        <w:right w:val="none" w:sz="0" w:space="0" w:color="auto"/>
      </w:divBdr>
    </w:div>
    <w:div w:id="1813670989">
      <w:bodyDiv w:val="1"/>
      <w:marLeft w:val="0"/>
      <w:marRight w:val="0"/>
      <w:marTop w:val="0"/>
      <w:marBottom w:val="0"/>
      <w:divBdr>
        <w:top w:val="none" w:sz="0" w:space="0" w:color="auto"/>
        <w:left w:val="none" w:sz="0" w:space="0" w:color="auto"/>
        <w:bottom w:val="none" w:sz="0" w:space="0" w:color="auto"/>
        <w:right w:val="none" w:sz="0" w:space="0" w:color="auto"/>
      </w:divBdr>
    </w:div>
    <w:div w:id="1815289274">
      <w:bodyDiv w:val="1"/>
      <w:marLeft w:val="0"/>
      <w:marRight w:val="0"/>
      <w:marTop w:val="0"/>
      <w:marBottom w:val="0"/>
      <w:divBdr>
        <w:top w:val="none" w:sz="0" w:space="0" w:color="auto"/>
        <w:left w:val="none" w:sz="0" w:space="0" w:color="auto"/>
        <w:bottom w:val="none" w:sz="0" w:space="0" w:color="auto"/>
        <w:right w:val="none" w:sz="0" w:space="0" w:color="auto"/>
      </w:divBdr>
    </w:div>
    <w:div w:id="1815488717">
      <w:bodyDiv w:val="1"/>
      <w:marLeft w:val="0"/>
      <w:marRight w:val="0"/>
      <w:marTop w:val="0"/>
      <w:marBottom w:val="0"/>
      <w:divBdr>
        <w:top w:val="none" w:sz="0" w:space="0" w:color="auto"/>
        <w:left w:val="none" w:sz="0" w:space="0" w:color="auto"/>
        <w:bottom w:val="none" w:sz="0" w:space="0" w:color="auto"/>
        <w:right w:val="none" w:sz="0" w:space="0" w:color="auto"/>
      </w:divBdr>
    </w:div>
    <w:div w:id="1816213670">
      <w:bodyDiv w:val="1"/>
      <w:marLeft w:val="0"/>
      <w:marRight w:val="0"/>
      <w:marTop w:val="0"/>
      <w:marBottom w:val="0"/>
      <w:divBdr>
        <w:top w:val="none" w:sz="0" w:space="0" w:color="auto"/>
        <w:left w:val="none" w:sz="0" w:space="0" w:color="auto"/>
        <w:bottom w:val="none" w:sz="0" w:space="0" w:color="auto"/>
        <w:right w:val="none" w:sz="0" w:space="0" w:color="auto"/>
      </w:divBdr>
    </w:div>
    <w:div w:id="1818494757">
      <w:bodyDiv w:val="1"/>
      <w:marLeft w:val="0"/>
      <w:marRight w:val="0"/>
      <w:marTop w:val="0"/>
      <w:marBottom w:val="0"/>
      <w:divBdr>
        <w:top w:val="none" w:sz="0" w:space="0" w:color="auto"/>
        <w:left w:val="none" w:sz="0" w:space="0" w:color="auto"/>
        <w:bottom w:val="none" w:sz="0" w:space="0" w:color="auto"/>
        <w:right w:val="none" w:sz="0" w:space="0" w:color="auto"/>
      </w:divBdr>
    </w:div>
    <w:div w:id="1820918164">
      <w:bodyDiv w:val="1"/>
      <w:marLeft w:val="0"/>
      <w:marRight w:val="0"/>
      <w:marTop w:val="0"/>
      <w:marBottom w:val="0"/>
      <w:divBdr>
        <w:top w:val="none" w:sz="0" w:space="0" w:color="auto"/>
        <w:left w:val="none" w:sz="0" w:space="0" w:color="auto"/>
        <w:bottom w:val="none" w:sz="0" w:space="0" w:color="auto"/>
        <w:right w:val="none" w:sz="0" w:space="0" w:color="auto"/>
      </w:divBdr>
    </w:div>
    <w:div w:id="1821262038">
      <w:bodyDiv w:val="1"/>
      <w:marLeft w:val="0"/>
      <w:marRight w:val="0"/>
      <w:marTop w:val="0"/>
      <w:marBottom w:val="0"/>
      <w:divBdr>
        <w:top w:val="none" w:sz="0" w:space="0" w:color="auto"/>
        <w:left w:val="none" w:sz="0" w:space="0" w:color="auto"/>
        <w:bottom w:val="none" w:sz="0" w:space="0" w:color="auto"/>
        <w:right w:val="none" w:sz="0" w:space="0" w:color="auto"/>
      </w:divBdr>
    </w:div>
    <w:div w:id="1821845384">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2383889">
      <w:bodyDiv w:val="1"/>
      <w:marLeft w:val="0"/>
      <w:marRight w:val="0"/>
      <w:marTop w:val="0"/>
      <w:marBottom w:val="0"/>
      <w:divBdr>
        <w:top w:val="none" w:sz="0" w:space="0" w:color="auto"/>
        <w:left w:val="none" w:sz="0" w:space="0" w:color="auto"/>
        <w:bottom w:val="none" w:sz="0" w:space="0" w:color="auto"/>
        <w:right w:val="none" w:sz="0" w:space="0" w:color="auto"/>
      </w:divBdr>
    </w:div>
    <w:div w:id="1822574392">
      <w:bodyDiv w:val="1"/>
      <w:marLeft w:val="0"/>
      <w:marRight w:val="0"/>
      <w:marTop w:val="0"/>
      <w:marBottom w:val="0"/>
      <w:divBdr>
        <w:top w:val="none" w:sz="0" w:space="0" w:color="auto"/>
        <w:left w:val="none" w:sz="0" w:space="0" w:color="auto"/>
        <w:bottom w:val="none" w:sz="0" w:space="0" w:color="auto"/>
        <w:right w:val="none" w:sz="0" w:space="0" w:color="auto"/>
      </w:divBdr>
    </w:div>
    <w:div w:id="1823421682">
      <w:bodyDiv w:val="1"/>
      <w:marLeft w:val="0"/>
      <w:marRight w:val="0"/>
      <w:marTop w:val="0"/>
      <w:marBottom w:val="0"/>
      <w:divBdr>
        <w:top w:val="none" w:sz="0" w:space="0" w:color="auto"/>
        <w:left w:val="none" w:sz="0" w:space="0" w:color="auto"/>
        <w:bottom w:val="none" w:sz="0" w:space="0" w:color="auto"/>
        <w:right w:val="none" w:sz="0" w:space="0" w:color="auto"/>
      </w:divBdr>
    </w:div>
    <w:div w:id="1823424177">
      <w:bodyDiv w:val="1"/>
      <w:marLeft w:val="0"/>
      <w:marRight w:val="0"/>
      <w:marTop w:val="0"/>
      <w:marBottom w:val="0"/>
      <w:divBdr>
        <w:top w:val="none" w:sz="0" w:space="0" w:color="auto"/>
        <w:left w:val="none" w:sz="0" w:space="0" w:color="auto"/>
        <w:bottom w:val="none" w:sz="0" w:space="0" w:color="auto"/>
        <w:right w:val="none" w:sz="0" w:space="0" w:color="auto"/>
      </w:divBdr>
    </w:div>
    <w:div w:id="1824546250">
      <w:bodyDiv w:val="1"/>
      <w:marLeft w:val="0"/>
      <w:marRight w:val="0"/>
      <w:marTop w:val="0"/>
      <w:marBottom w:val="0"/>
      <w:divBdr>
        <w:top w:val="none" w:sz="0" w:space="0" w:color="auto"/>
        <w:left w:val="none" w:sz="0" w:space="0" w:color="auto"/>
        <w:bottom w:val="none" w:sz="0" w:space="0" w:color="auto"/>
        <w:right w:val="none" w:sz="0" w:space="0" w:color="auto"/>
      </w:divBdr>
    </w:div>
    <w:div w:id="1825051722">
      <w:bodyDiv w:val="1"/>
      <w:marLeft w:val="0"/>
      <w:marRight w:val="0"/>
      <w:marTop w:val="0"/>
      <w:marBottom w:val="0"/>
      <w:divBdr>
        <w:top w:val="none" w:sz="0" w:space="0" w:color="auto"/>
        <w:left w:val="none" w:sz="0" w:space="0" w:color="auto"/>
        <w:bottom w:val="none" w:sz="0" w:space="0" w:color="auto"/>
        <w:right w:val="none" w:sz="0" w:space="0" w:color="auto"/>
      </w:divBdr>
    </w:div>
    <w:div w:id="1826625196">
      <w:bodyDiv w:val="1"/>
      <w:marLeft w:val="0"/>
      <w:marRight w:val="0"/>
      <w:marTop w:val="0"/>
      <w:marBottom w:val="0"/>
      <w:divBdr>
        <w:top w:val="none" w:sz="0" w:space="0" w:color="auto"/>
        <w:left w:val="none" w:sz="0" w:space="0" w:color="auto"/>
        <w:bottom w:val="none" w:sz="0" w:space="0" w:color="auto"/>
        <w:right w:val="none" w:sz="0" w:space="0" w:color="auto"/>
      </w:divBdr>
    </w:div>
    <w:div w:id="1826968174">
      <w:bodyDiv w:val="1"/>
      <w:marLeft w:val="0"/>
      <w:marRight w:val="0"/>
      <w:marTop w:val="0"/>
      <w:marBottom w:val="0"/>
      <w:divBdr>
        <w:top w:val="none" w:sz="0" w:space="0" w:color="auto"/>
        <w:left w:val="none" w:sz="0" w:space="0" w:color="auto"/>
        <w:bottom w:val="none" w:sz="0" w:space="0" w:color="auto"/>
        <w:right w:val="none" w:sz="0" w:space="0" w:color="auto"/>
      </w:divBdr>
    </w:div>
    <w:div w:id="1828784913">
      <w:bodyDiv w:val="1"/>
      <w:marLeft w:val="0"/>
      <w:marRight w:val="0"/>
      <w:marTop w:val="0"/>
      <w:marBottom w:val="0"/>
      <w:divBdr>
        <w:top w:val="none" w:sz="0" w:space="0" w:color="auto"/>
        <w:left w:val="none" w:sz="0" w:space="0" w:color="auto"/>
        <w:bottom w:val="none" w:sz="0" w:space="0" w:color="auto"/>
        <w:right w:val="none" w:sz="0" w:space="0" w:color="auto"/>
      </w:divBdr>
    </w:div>
    <w:div w:id="1829053676">
      <w:bodyDiv w:val="1"/>
      <w:marLeft w:val="0"/>
      <w:marRight w:val="0"/>
      <w:marTop w:val="0"/>
      <w:marBottom w:val="0"/>
      <w:divBdr>
        <w:top w:val="none" w:sz="0" w:space="0" w:color="auto"/>
        <w:left w:val="none" w:sz="0" w:space="0" w:color="auto"/>
        <w:bottom w:val="none" w:sz="0" w:space="0" w:color="auto"/>
        <w:right w:val="none" w:sz="0" w:space="0" w:color="auto"/>
      </w:divBdr>
    </w:div>
    <w:div w:id="1831099654">
      <w:bodyDiv w:val="1"/>
      <w:marLeft w:val="0"/>
      <w:marRight w:val="0"/>
      <w:marTop w:val="0"/>
      <w:marBottom w:val="0"/>
      <w:divBdr>
        <w:top w:val="none" w:sz="0" w:space="0" w:color="auto"/>
        <w:left w:val="none" w:sz="0" w:space="0" w:color="auto"/>
        <w:bottom w:val="none" w:sz="0" w:space="0" w:color="auto"/>
        <w:right w:val="none" w:sz="0" w:space="0" w:color="auto"/>
      </w:divBdr>
    </w:div>
    <w:div w:id="1832409300">
      <w:bodyDiv w:val="1"/>
      <w:marLeft w:val="0"/>
      <w:marRight w:val="0"/>
      <w:marTop w:val="0"/>
      <w:marBottom w:val="0"/>
      <w:divBdr>
        <w:top w:val="none" w:sz="0" w:space="0" w:color="auto"/>
        <w:left w:val="none" w:sz="0" w:space="0" w:color="auto"/>
        <w:bottom w:val="none" w:sz="0" w:space="0" w:color="auto"/>
        <w:right w:val="none" w:sz="0" w:space="0" w:color="auto"/>
      </w:divBdr>
    </w:div>
    <w:div w:id="1832522733">
      <w:bodyDiv w:val="1"/>
      <w:marLeft w:val="0"/>
      <w:marRight w:val="0"/>
      <w:marTop w:val="0"/>
      <w:marBottom w:val="0"/>
      <w:divBdr>
        <w:top w:val="none" w:sz="0" w:space="0" w:color="auto"/>
        <w:left w:val="none" w:sz="0" w:space="0" w:color="auto"/>
        <w:bottom w:val="none" w:sz="0" w:space="0" w:color="auto"/>
        <w:right w:val="none" w:sz="0" w:space="0" w:color="auto"/>
      </w:divBdr>
    </w:div>
    <w:div w:id="1833791489">
      <w:bodyDiv w:val="1"/>
      <w:marLeft w:val="0"/>
      <w:marRight w:val="0"/>
      <w:marTop w:val="0"/>
      <w:marBottom w:val="0"/>
      <w:divBdr>
        <w:top w:val="none" w:sz="0" w:space="0" w:color="auto"/>
        <w:left w:val="none" w:sz="0" w:space="0" w:color="auto"/>
        <w:bottom w:val="none" w:sz="0" w:space="0" w:color="auto"/>
        <w:right w:val="none" w:sz="0" w:space="0" w:color="auto"/>
      </w:divBdr>
    </w:div>
    <w:div w:id="1835025966">
      <w:bodyDiv w:val="1"/>
      <w:marLeft w:val="0"/>
      <w:marRight w:val="0"/>
      <w:marTop w:val="0"/>
      <w:marBottom w:val="0"/>
      <w:divBdr>
        <w:top w:val="none" w:sz="0" w:space="0" w:color="auto"/>
        <w:left w:val="none" w:sz="0" w:space="0" w:color="auto"/>
        <w:bottom w:val="none" w:sz="0" w:space="0" w:color="auto"/>
        <w:right w:val="none" w:sz="0" w:space="0" w:color="auto"/>
      </w:divBdr>
    </w:div>
    <w:div w:id="1837843564">
      <w:bodyDiv w:val="1"/>
      <w:marLeft w:val="0"/>
      <w:marRight w:val="0"/>
      <w:marTop w:val="0"/>
      <w:marBottom w:val="0"/>
      <w:divBdr>
        <w:top w:val="none" w:sz="0" w:space="0" w:color="auto"/>
        <w:left w:val="none" w:sz="0" w:space="0" w:color="auto"/>
        <w:bottom w:val="none" w:sz="0" w:space="0" w:color="auto"/>
        <w:right w:val="none" w:sz="0" w:space="0" w:color="auto"/>
      </w:divBdr>
    </w:div>
    <w:div w:id="1838879816">
      <w:bodyDiv w:val="1"/>
      <w:marLeft w:val="0"/>
      <w:marRight w:val="0"/>
      <w:marTop w:val="0"/>
      <w:marBottom w:val="0"/>
      <w:divBdr>
        <w:top w:val="none" w:sz="0" w:space="0" w:color="auto"/>
        <w:left w:val="none" w:sz="0" w:space="0" w:color="auto"/>
        <w:bottom w:val="none" w:sz="0" w:space="0" w:color="auto"/>
        <w:right w:val="none" w:sz="0" w:space="0" w:color="auto"/>
      </w:divBdr>
    </w:div>
    <w:div w:id="1840804144">
      <w:bodyDiv w:val="1"/>
      <w:marLeft w:val="0"/>
      <w:marRight w:val="0"/>
      <w:marTop w:val="0"/>
      <w:marBottom w:val="0"/>
      <w:divBdr>
        <w:top w:val="none" w:sz="0" w:space="0" w:color="auto"/>
        <w:left w:val="none" w:sz="0" w:space="0" w:color="auto"/>
        <w:bottom w:val="none" w:sz="0" w:space="0" w:color="auto"/>
        <w:right w:val="none" w:sz="0" w:space="0" w:color="auto"/>
      </w:divBdr>
    </w:div>
    <w:div w:id="1840971998">
      <w:bodyDiv w:val="1"/>
      <w:marLeft w:val="0"/>
      <w:marRight w:val="0"/>
      <w:marTop w:val="0"/>
      <w:marBottom w:val="0"/>
      <w:divBdr>
        <w:top w:val="none" w:sz="0" w:space="0" w:color="auto"/>
        <w:left w:val="none" w:sz="0" w:space="0" w:color="auto"/>
        <w:bottom w:val="none" w:sz="0" w:space="0" w:color="auto"/>
        <w:right w:val="none" w:sz="0" w:space="0" w:color="auto"/>
      </w:divBdr>
    </w:div>
    <w:div w:id="1842351080">
      <w:bodyDiv w:val="1"/>
      <w:marLeft w:val="0"/>
      <w:marRight w:val="0"/>
      <w:marTop w:val="0"/>
      <w:marBottom w:val="0"/>
      <w:divBdr>
        <w:top w:val="none" w:sz="0" w:space="0" w:color="auto"/>
        <w:left w:val="none" w:sz="0" w:space="0" w:color="auto"/>
        <w:bottom w:val="none" w:sz="0" w:space="0" w:color="auto"/>
        <w:right w:val="none" w:sz="0" w:space="0" w:color="auto"/>
      </w:divBdr>
    </w:div>
    <w:div w:id="1843009059">
      <w:bodyDiv w:val="1"/>
      <w:marLeft w:val="0"/>
      <w:marRight w:val="0"/>
      <w:marTop w:val="0"/>
      <w:marBottom w:val="0"/>
      <w:divBdr>
        <w:top w:val="none" w:sz="0" w:space="0" w:color="auto"/>
        <w:left w:val="none" w:sz="0" w:space="0" w:color="auto"/>
        <w:bottom w:val="none" w:sz="0" w:space="0" w:color="auto"/>
        <w:right w:val="none" w:sz="0" w:space="0" w:color="auto"/>
      </w:divBdr>
    </w:div>
    <w:div w:id="1845583929">
      <w:bodyDiv w:val="1"/>
      <w:marLeft w:val="0"/>
      <w:marRight w:val="0"/>
      <w:marTop w:val="0"/>
      <w:marBottom w:val="0"/>
      <w:divBdr>
        <w:top w:val="none" w:sz="0" w:space="0" w:color="auto"/>
        <w:left w:val="none" w:sz="0" w:space="0" w:color="auto"/>
        <w:bottom w:val="none" w:sz="0" w:space="0" w:color="auto"/>
        <w:right w:val="none" w:sz="0" w:space="0" w:color="auto"/>
      </w:divBdr>
    </w:div>
    <w:div w:id="1848012736">
      <w:bodyDiv w:val="1"/>
      <w:marLeft w:val="0"/>
      <w:marRight w:val="0"/>
      <w:marTop w:val="0"/>
      <w:marBottom w:val="0"/>
      <w:divBdr>
        <w:top w:val="none" w:sz="0" w:space="0" w:color="auto"/>
        <w:left w:val="none" w:sz="0" w:space="0" w:color="auto"/>
        <w:bottom w:val="none" w:sz="0" w:space="0" w:color="auto"/>
        <w:right w:val="none" w:sz="0" w:space="0" w:color="auto"/>
      </w:divBdr>
    </w:div>
    <w:div w:id="1848211188">
      <w:bodyDiv w:val="1"/>
      <w:marLeft w:val="0"/>
      <w:marRight w:val="0"/>
      <w:marTop w:val="0"/>
      <w:marBottom w:val="0"/>
      <w:divBdr>
        <w:top w:val="none" w:sz="0" w:space="0" w:color="auto"/>
        <w:left w:val="none" w:sz="0" w:space="0" w:color="auto"/>
        <w:bottom w:val="none" w:sz="0" w:space="0" w:color="auto"/>
        <w:right w:val="none" w:sz="0" w:space="0" w:color="auto"/>
      </w:divBdr>
    </w:div>
    <w:div w:id="1848397335">
      <w:bodyDiv w:val="1"/>
      <w:marLeft w:val="0"/>
      <w:marRight w:val="0"/>
      <w:marTop w:val="0"/>
      <w:marBottom w:val="0"/>
      <w:divBdr>
        <w:top w:val="none" w:sz="0" w:space="0" w:color="auto"/>
        <w:left w:val="none" w:sz="0" w:space="0" w:color="auto"/>
        <w:bottom w:val="none" w:sz="0" w:space="0" w:color="auto"/>
        <w:right w:val="none" w:sz="0" w:space="0" w:color="auto"/>
      </w:divBdr>
    </w:div>
    <w:div w:id="1849444755">
      <w:bodyDiv w:val="1"/>
      <w:marLeft w:val="0"/>
      <w:marRight w:val="0"/>
      <w:marTop w:val="0"/>
      <w:marBottom w:val="0"/>
      <w:divBdr>
        <w:top w:val="none" w:sz="0" w:space="0" w:color="auto"/>
        <w:left w:val="none" w:sz="0" w:space="0" w:color="auto"/>
        <w:bottom w:val="none" w:sz="0" w:space="0" w:color="auto"/>
        <w:right w:val="none" w:sz="0" w:space="0" w:color="auto"/>
      </w:divBdr>
    </w:div>
    <w:div w:id="1849561417">
      <w:bodyDiv w:val="1"/>
      <w:marLeft w:val="0"/>
      <w:marRight w:val="0"/>
      <w:marTop w:val="0"/>
      <w:marBottom w:val="0"/>
      <w:divBdr>
        <w:top w:val="none" w:sz="0" w:space="0" w:color="auto"/>
        <w:left w:val="none" w:sz="0" w:space="0" w:color="auto"/>
        <w:bottom w:val="none" w:sz="0" w:space="0" w:color="auto"/>
        <w:right w:val="none" w:sz="0" w:space="0" w:color="auto"/>
      </w:divBdr>
    </w:div>
    <w:div w:id="1849951972">
      <w:bodyDiv w:val="1"/>
      <w:marLeft w:val="0"/>
      <w:marRight w:val="0"/>
      <w:marTop w:val="0"/>
      <w:marBottom w:val="0"/>
      <w:divBdr>
        <w:top w:val="none" w:sz="0" w:space="0" w:color="auto"/>
        <w:left w:val="none" w:sz="0" w:space="0" w:color="auto"/>
        <w:bottom w:val="none" w:sz="0" w:space="0" w:color="auto"/>
        <w:right w:val="none" w:sz="0" w:space="0" w:color="auto"/>
      </w:divBdr>
    </w:div>
    <w:div w:id="1850675723">
      <w:bodyDiv w:val="1"/>
      <w:marLeft w:val="0"/>
      <w:marRight w:val="0"/>
      <w:marTop w:val="0"/>
      <w:marBottom w:val="0"/>
      <w:divBdr>
        <w:top w:val="none" w:sz="0" w:space="0" w:color="auto"/>
        <w:left w:val="none" w:sz="0" w:space="0" w:color="auto"/>
        <w:bottom w:val="none" w:sz="0" w:space="0" w:color="auto"/>
        <w:right w:val="none" w:sz="0" w:space="0" w:color="auto"/>
      </w:divBdr>
    </w:div>
    <w:div w:id="1852138596">
      <w:bodyDiv w:val="1"/>
      <w:marLeft w:val="0"/>
      <w:marRight w:val="0"/>
      <w:marTop w:val="0"/>
      <w:marBottom w:val="0"/>
      <w:divBdr>
        <w:top w:val="none" w:sz="0" w:space="0" w:color="auto"/>
        <w:left w:val="none" w:sz="0" w:space="0" w:color="auto"/>
        <w:bottom w:val="none" w:sz="0" w:space="0" w:color="auto"/>
        <w:right w:val="none" w:sz="0" w:space="0" w:color="auto"/>
      </w:divBdr>
    </w:div>
    <w:div w:id="1853255776">
      <w:bodyDiv w:val="1"/>
      <w:marLeft w:val="0"/>
      <w:marRight w:val="0"/>
      <w:marTop w:val="0"/>
      <w:marBottom w:val="0"/>
      <w:divBdr>
        <w:top w:val="none" w:sz="0" w:space="0" w:color="auto"/>
        <w:left w:val="none" w:sz="0" w:space="0" w:color="auto"/>
        <w:bottom w:val="none" w:sz="0" w:space="0" w:color="auto"/>
        <w:right w:val="none" w:sz="0" w:space="0" w:color="auto"/>
      </w:divBdr>
    </w:div>
    <w:div w:id="1854029763">
      <w:bodyDiv w:val="1"/>
      <w:marLeft w:val="0"/>
      <w:marRight w:val="0"/>
      <w:marTop w:val="0"/>
      <w:marBottom w:val="0"/>
      <w:divBdr>
        <w:top w:val="none" w:sz="0" w:space="0" w:color="auto"/>
        <w:left w:val="none" w:sz="0" w:space="0" w:color="auto"/>
        <w:bottom w:val="none" w:sz="0" w:space="0" w:color="auto"/>
        <w:right w:val="none" w:sz="0" w:space="0" w:color="auto"/>
      </w:divBdr>
    </w:div>
    <w:div w:id="1856067881">
      <w:bodyDiv w:val="1"/>
      <w:marLeft w:val="0"/>
      <w:marRight w:val="0"/>
      <w:marTop w:val="0"/>
      <w:marBottom w:val="0"/>
      <w:divBdr>
        <w:top w:val="none" w:sz="0" w:space="0" w:color="auto"/>
        <w:left w:val="none" w:sz="0" w:space="0" w:color="auto"/>
        <w:bottom w:val="none" w:sz="0" w:space="0" w:color="auto"/>
        <w:right w:val="none" w:sz="0" w:space="0" w:color="auto"/>
      </w:divBdr>
    </w:div>
    <w:div w:id="1857380805">
      <w:bodyDiv w:val="1"/>
      <w:marLeft w:val="0"/>
      <w:marRight w:val="0"/>
      <w:marTop w:val="0"/>
      <w:marBottom w:val="0"/>
      <w:divBdr>
        <w:top w:val="none" w:sz="0" w:space="0" w:color="auto"/>
        <w:left w:val="none" w:sz="0" w:space="0" w:color="auto"/>
        <w:bottom w:val="none" w:sz="0" w:space="0" w:color="auto"/>
        <w:right w:val="none" w:sz="0" w:space="0" w:color="auto"/>
      </w:divBdr>
    </w:div>
    <w:div w:id="1859855009">
      <w:bodyDiv w:val="1"/>
      <w:marLeft w:val="0"/>
      <w:marRight w:val="0"/>
      <w:marTop w:val="0"/>
      <w:marBottom w:val="0"/>
      <w:divBdr>
        <w:top w:val="none" w:sz="0" w:space="0" w:color="auto"/>
        <w:left w:val="none" w:sz="0" w:space="0" w:color="auto"/>
        <w:bottom w:val="none" w:sz="0" w:space="0" w:color="auto"/>
        <w:right w:val="none" w:sz="0" w:space="0" w:color="auto"/>
      </w:divBdr>
    </w:div>
    <w:div w:id="1860972405">
      <w:bodyDiv w:val="1"/>
      <w:marLeft w:val="0"/>
      <w:marRight w:val="0"/>
      <w:marTop w:val="0"/>
      <w:marBottom w:val="0"/>
      <w:divBdr>
        <w:top w:val="none" w:sz="0" w:space="0" w:color="auto"/>
        <w:left w:val="none" w:sz="0" w:space="0" w:color="auto"/>
        <w:bottom w:val="none" w:sz="0" w:space="0" w:color="auto"/>
        <w:right w:val="none" w:sz="0" w:space="0" w:color="auto"/>
      </w:divBdr>
    </w:div>
    <w:div w:id="1861433990">
      <w:bodyDiv w:val="1"/>
      <w:marLeft w:val="0"/>
      <w:marRight w:val="0"/>
      <w:marTop w:val="0"/>
      <w:marBottom w:val="0"/>
      <w:divBdr>
        <w:top w:val="none" w:sz="0" w:space="0" w:color="auto"/>
        <w:left w:val="none" w:sz="0" w:space="0" w:color="auto"/>
        <w:bottom w:val="none" w:sz="0" w:space="0" w:color="auto"/>
        <w:right w:val="none" w:sz="0" w:space="0" w:color="auto"/>
      </w:divBdr>
    </w:div>
    <w:div w:id="1861891901">
      <w:bodyDiv w:val="1"/>
      <w:marLeft w:val="0"/>
      <w:marRight w:val="0"/>
      <w:marTop w:val="0"/>
      <w:marBottom w:val="0"/>
      <w:divBdr>
        <w:top w:val="none" w:sz="0" w:space="0" w:color="auto"/>
        <w:left w:val="none" w:sz="0" w:space="0" w:color="auto"/>
        <w:bottom w:val="none" w:sz="0" w:space="0" w:color="auto"/>
        <w:right w:val="none" w:sz="0" w:space="0" w:color="auto"/>
      </w:divBdr>
    </w:div>
    <w:div w:id="1862743807">
      <w:bodyDiv w:val="1"/>
      <w:marLeft w:val="0"/>
      <w:marRight w:val="0"/>
      <w:marTop w:val="0"/>
      <w:marBottom w:val="0"/>
      <w:divBdr>
        <w:top w:val="none" w:sz="0" w:space="0" w:color="auto"/>
        <w:left w:val="none" w:sz="0" w:space="0" w:color="auto"/>
        <w:bottom w:val="none" w:sz="0" w:space="0" w:color="auto"/>
        <w:right w:val="none" w:sz="0" w:space="0" w:color="auto"/>
      </w:divBdr>
    </w:div>
    <w:div w:id="1864514824">
      <w:bodyDiv w:val="1"/>
      <w:marLeft w:val="0"/>
      <w:marRight w:val="0"/>
      <w:marTop w:val="0"/>
      <w:marBottom w:val="0"/>
      <w:divBdr>
        <w:top w:val="none" w:sz="0" w:space="0" w:color="auto"/>
        <w:left w:val="none" w:sz="0" w:space="0" w:color="auto"/>
        <w:bottom w:val="none" w:sz="0" w:space="0" w:color="auto"/>
        <w:right w:val="none" w:sz="0" w:space="0" w:color="auto"/>
      </w:divBdr>
    </w:div>
    <w:div w:id="1864632321">
      <w:bodyDiv w:val="1"/>
      <w:marLeft w:val="0"/>
      <w:marRight w:val="0"/>
      <w:marTop w:val="0"/>
      <w:marBottom w:val="0"/>
      <w:divBdr>
        <w:top w:val="none" w:sz="0" w:space="0" w:color="auto"/>
        <w:left w:val="none" w:sz="0" w:space="0" w:color="auto"/>
        <w:bottom w:val="none" w:sz="0" w:space="0" w:color="auto"/>
        <w:right w:val="none" w:sz="0" w:space="0" w:color="auto"/>
      </w:divBdr>
    </w:div>
    <w:div w:id="1864898989">
      <w:bodyDiv w:val="1"/>
      <w:marLeft w:val="0"/>
      <w:marRight w:val="0"/>
      <w:marTop w:val="0"/>
      <w:marBottom w:val="0"/>
      <w:divBdr>
        <w:top w:val="none" w:sz="0" w:space="0" w:color="auto"/>
        <w:left w:val="none" w:sz="0" w:space="0" w:color="auto"/>
        <w:bottom w:val="none" w:sz="0" w:space="0" w:color="auto"/>
        <w:right w:val="none" w:sz="0" w:space="0" w:color="auto"/>
      </w:divBdr>
    </w:div>
    <w:div w:id="1869485727">
      <w:bodyDiv w:val="1"/>
      <w:marLeft w:val="0"/>
      <w:marRight w:val="0"/>
      <w:marTop w:val="0"/>
      <w:marBottom w:val="0"/>
      <w:divBdr>
        <w:top w:val="none" w:sz="0" w:space="0" w:color="auto"/>
        <w:left w:val="none" w:sz="0" w:space="0" w:color="auto"/>
        <w:bottom w:val="none" w:sz="0" w:space="0" w:color="auto"/>
        <w:right w:val="none" w:sz="0" w:space="0" w:color="auto"/>
      </w:divBdr>
    </w:div>
    <w:div w:id="1870876780">
      <w:bodyDiv w:val="1"/>
      <w:marLeft w:val="0"/>
      <w:marRight w:val="0"/>
      <w:marTop w:val="0"/>
      <w:marBottom w:val="0"/>
      <w:divBdr>
        <w:top w:val="none" w:sz="0" w:space="0" w:color="auto"/>
        <w:left w:val="none" w:sz="0" w:space="0" w:color="auto"/>
        <w:bottom w:val="none" w:sz="0" w:space="0" w:color="auto"/>
        <w:right w:val="none" w:sz="0" w:space="0" w:color="auto"/>
      </w:divBdr>
    </w:div>
    <w:div w:id="1871601876">
      <w:bodyDiv w:val="1"/>
      <w:marLeft w:val="0"/>
      <w:marRight w:val="0"/>
      <w:marTop w:val="0"/>
      <w:marBottom w:val="0"/>
      <w:divBdr>
        <w:top w:val="none" w:sz="0" w:space="0" w:color="auto"/>
        <w:left w:val="none" w:sz="0" w:space="0" w:color="auto"/>
        <w:bottom w:val="none" w:sz="0" w:space="0" w:color="auto"/>
        <w:right w:val="none" w:sz="0" w:space="0" w:color="auto"/>
      </w:divBdr>
    </w:div>
    <w:div w:id="1875385399">
      <w:bodyDiv w:val="1"/>
      <w:marLeft w:val="0"/>
      <w:marRight w:val="0"/>
      <w:marTop w:val="0"/>
      <w:marBottom w:val="0"/>
      <w:divBdr>
        <w:top w:val="none" w:sz="0" w:space="0" w:color="auto"/>
        <w:left w:val="none" w:sz="0" w:space="0" w:color="auto"/>
        <w:bottom w:val="none" w:sz="0" w:space="0" w:color="auto"/>
        <w:right w:val="none" w:sz="0" w:space="0" w:color="auto"/>
      </w:divBdr>
    </w:div>
    <w:div w:id="1876387090">
      <w:bodyDiv w:val="1"/>
      <w:marLeft w:val="0"/>
      <w:marRight w:val="0"/>
      <w:marTop w:val="0"/>
      <w:marBottom w:val="0"/>
      <w:divBdr>
        <w:top w:val="none" w:sz="0" w:space="0" w:color="auto"/>
        <w:left w:val="none" w:sz="0" w:space="0" w:color="auto"/>
        <w:bottom w:val="none" w:sz="0" w:space="0" w:color="auto"/>
        <w:right w:val="none" w:sz="0" w:space="0" w:color="auto"/>
      </w:divBdr>
    </w:div>
    <w:div w:id="1878814789">
      <w:bodyDiv w:val="1"/>
      <w:marLeft w:val="0"/>
      <w:marRight w:val="0"/>
      <w:marTop w:val="0"/>
      <w:marBottom w:val="0"/>
      <w:divBdr>
        <w:top w:val="none" w:sz="0" w:space="0" w:color="auto"/>
        <w:left w:val="none" w:sz="0" w:space="0" w:color="auto"/>
        <w:bottom w:val="none" w:sz="0" w:space="0" w:color="auto"/>
        <w:right w:val="none" w:sz="0" w:space="0" w:color="auto"/>
      </w:divBdr>
    </w:div>
    <w:div w:id="1879707765">
      <w:bodyDiv w:val="1"/>
      <w:marLeft w:val="0"/>
      <w:marRight w:val="0"/>
      <w:marTop w:val="0"/>
      <w:marBottom w:val="0"/>
      <w:divBdr>
        <w:top w:val="none" w:sz="0" w:space="0" w:color="auto"/>
        <w:left w:val="none" w:sz="0" w:space="0" w:color="auto"/>
        <w:bottom w:val="none" w:sz="0" w:space="0" w:color="auto"/>
        <w:right w:val="none" w:sz="0" w:space="0" w:color="auto"/>
      </w:divBdr>
    </w:div>
    <w:div w:id="1879781519">
      <w:bodyDiv w:val="1"/>
      <w:marLeft w:val="0"/>
      <w:marRight w:val="0"/>
      <w:marTop w:val="0"/>
      <w:marBottom w:val="0"/>
      <w:divBdr>
        <w:top w:val="none" w:sz="0" w:space="0" w:color="auto"/>
        <w:left w:val="none" w:sz="0" w:space="0" w:color="auto"/>
        <w:bottom w:val="none" w:sz="0" w:space="0" w:color="auto"/>
        <w:right w:val="none" w:sz="0" w:space="0" w:color="auto"/>
      </w:divBdr>
    </w:div>
    <w:div w:id="1881090803">
      <w:bodyDiv w:val="1"/>
      <w:marLeft w:val="0"/>
      <w:marRight w:val="0"/>
      <w:marTop w:val="0"/>
      <w:marBottom w:val="0"/>
      <w:divBdr>
        <w:top w:val="none" w:sz="0" w:space="0" w:color="auto"/>
        <w:left w:val="none" w:sz="0" w:space="0" w:color="auto"/>
        <w:bottom w:val="none" w:sz="0" w:space="0" w:color="auto"/>
        <w:right w:val="none" w:sz="0" w:space="0" w:color="auto"/>
      </w:divBdr>
    </w:div>
    <w:div w:id="1881630971">
      <w:bodyDiv w:val="1"/>
      <w:marLeft w:val="0"/>
      <w:marRight w:val="0"/>
      <w:marTop w:val="0"/>
      <w:marBottom w:val="0"/>
      <w:divBdr>
        <w:top w:val="none" w:sz="0" w:space="0" w:color="auto"/>
        <w:left w:val="none" w:sz="0" w:space="0" w:color="auto"/>
        <w:bottom w:val="none" w:sz="0" w:space="0" w:color="auto"/>
        <w:right w:val="none" w:sz="0" w:space="0" w:color="auto"/>
      </w:divBdr>
    </w:div>
    <w:div w:id="1881934947">
      <w:bodyDiv w:val="1"/>
      <w:marLeft w:val="0"/>
      <w:marRight w:val="0"/>
      <w:marTop w:val="0"/>
      <w:marBottom w:val="0"/>
      <w:divBdr>
        <w:top w:val="none" w:sz="0" w:space="0" w:color="auto"/>
        <w:left w:val="none" w:sz="0" w:space="0" w:color="auto"/>
        <w:bottom w:val="none" w:sz="0" w:space="0" w:color="auto"/>
        <w:right w:val="none" w:sz="0" w:space="0" w:color="auto"/>
      </w:divBdr>
    </w:div>
    <w:div w:id="1882783997">
      <w:bodyDiv w:val="1"/>
      <w:marLeft w:val="0"/>
      <w:marRight w:val="0"/>
      <w:marTop w:val="0"/>
      <w:marBottom w:val="0"/>
      <w:divBdr>
        <w:top w:val="none" w:sz="0" w:space="0" w:color="auto"/>
        <w:left w:val="none" w:sz="0" w:space="0" w:color="auto"/>
        <w:bottom w:val="none" w:sz="0" w:space="0" w:color="auto"/>
        <w:right w:val="none" w:sz="0" w:space="0" w:color="auto"/>
      </w:divBdr>
    </w:div>
    <w:div w:id="1882865296">
      <w:bodyDiv w:val="1"/>
      <w:marLeft w:val="0"/>
      <w:marRight w:val="0"/>
      <w:marTop w:val="0"/>
      <w:marBottom w:val="0"/>
      <w:divBdr>
        <w:top w:val="none" w:sz="0" w:space="0" w:color="auto"/>
        <w:left w:val="none" w:sz="0" w:space="0" w:color="auto"/>
        <w:bottom w:val="none" w:sz="0" w:space="0" w:color="auto"/>
        <w:right w:val="none" w:sz="0" w:space="0" w:color="auto"/>
      </w:divBdr>
    </w:div>
    <w:div w:id="1883898896">
      <w:bodyDiv w:val="1"/>
      <w:marLeft w:val="0"/>
      <w:marRight w:val="0"/>
      <w:marTop w:val="0"/>
      <w:marBottom w:val="0"/>
      <w:divBdr>
        <w:top w:val="none" w:sz="0" w:space="0" w:color="auto"/>
        <w:left w:val="none" w:sz="0" w:space="0" w:color="auto"/>
        <w:bottom w:val="none" w:sz="0" w:space="0" w:color="auto"/>
        <w:right w:val="none" w:sz="0" w:space="0" w:color="auto"/>
      </w:divBdr>
    </w:div>
    <w:div w:id="1884246484">
      <w:bodyDiv w:val="1"/>
      <w:marLeft w:val="0"/>
      <w:marRight w:val="0"/>
      <w:marTop w:val="0"/>
      <w:marBottom w:val="0"/>
      <w:divBdr>
        <w:top w:val="none" w:sz="0" w:space="0" w:color="auto"/>
        <w:left w:val="none" w:sz="0" w:space="0" w:color="auto"/>
        <w:bottom w:val="none" w:sz="0" w:space="0" w:color="auto"/>
        <w:right w:val="none" w:sz="0" w:space="0" w:color="auto"/>
      </w:divBdr>
    </w:div>
    <w:div w:id="1885094412">
      <w:bodyDiv w:val="1"/>
      <w:marLeft w:val="0"/>
      <w:marRight w:val="0"/>
      <w:marTop w:val="0"/>
      <w:marBottom w:val="0"/>
      <w:divBdr>
        <w:top w:val="none" w:sz="0" w:space="0" w:color="auto"/>
        <w:left w:val="none" w:sz="0" w:space="0" w:color="auto"/>
        <w:bottom w:val="none" w:sz="0" w:space="0" w:color="auto"/>
        <w:right w:val="none" w:sz="0" w:space="0" w:color="auto"/>
      </w:divBdr>
    </w:div>
    <w:div w:id="1885560517">
      <w:bodyDiv w:val="1"/>
      <w:marLeft w:val="0"/>
      <w:marRight w:val="0"/>
      <w:marTop w:val="0"/>
      <w:marBottom w:val="0"/>
      <w:divBdr>
        <w:top w:val="none" w:sz="0" w:space="0" w:color="auto"/>
        <w:left w:val="none" w:sz="0" w:space="0" w:color="auto"/>
        <w:bottom w:val="none" w:sz="0" w:space="0" w:color="auto"/>
        <w:right w:val="none" w:sz="0" w:space="0" w:color="auto"/>
      </w:divBdr>
    </w:div>
    <w:div w:id="1887258724">
      <w:bodyDiv w:val="1"/>
      <w:marLeft w:val="0"/>
      <w:marRight w:val="0"/>
      <w:marTop w:val="0"/>
      <w:marBottom w:val="0"/>
      <w:divBdr>
        <w:top w:val="none" w:sz="0" w:space="0" w:color="auto"/>
        <w:left w:val="none" w:sz="0" w:space="0" w:color="auto"/>
        <w:bottom w:val="none" w:sz="0" w:space="0" w:color="auto"/>
        <w:right w:val="none" w:sz="0" w:space="0" w:color="auto"/>
      </w:divBdr>
    </w:div>
    <w:div w:id="1888370015">
      <w:bodyDiv w:val="1"/>
      <w:marLeft w:val="0"/>
      <w:marRight w:val="0"/>
      <w:marTop w:val="0"/>
      <w:marBottom w:val="0"/>
      <w:divBdr>
        <w:top w:val="none" w:sz="0" w:space="0" w:color="auto"/>
        <w:left w:val="none" w:sz="0" w:space="0" w:color="auto"/>
        <w:bottom w:val="none" w:sz="0" w:space="0" w:color="auto"/>
        <w:right w:val="none" w:sz="0" w:space="0" w:color="auto"/>
      </w:divBdr>
    </w:div>
    <w:div w:id="1888372175">
      <w:bodyDiv w:val="1"/>
      <w:marLeft w:val="0"/>
      <w:marRight w:val="0"/>
      <w:marTop w:val="0"/>
      <w:marBottom w:val="0"/>
      <w:divBdr>
        <w:top w:val="none" w:sz="0" w:space="0" w:color="auto"/>
        <w:left w:val="none" w:sz="0" w:space="0" w:color="auto"/>
        <w:bottom w:val="none" w:sz="0" w:space="0" w:color="auto"/>
        <w:right w:val="none" w:sz="0" w:space="0" w:color="auto"/>
      </w:divBdr>
    </w:div>
    <w:div w:id="1888754706">
      <w:bodyDiv w:val="1"/>
      <w:marLeft w:val="0"/>
      <w:marRight w:val="0"/>
      <w:marTop w:val="0"/>
      <w:marBottom w:val="0"/>
      <w:divBdr>
        <w:top w:val="none" w:sz="0" w:space="0" w:color="auto"/>
        <w:left w:val="none" w:sz="0" w:space="0" w:color="auto"/>
        <w:bottom w:val="none" w:sz="0" w:space="0" w:color="auto"/>
        <w:right w:val="none" w:sz="0" w:space="0" w:color="auto"/>
      </w:divBdr>
    </w:div>
    <w:div w:id="1889806016">
      <w:bodyDiv w:val="1"/>
      <w:marLeft w:val="0"/>
      <w:marRight w:val="0"/>
      <w:marTop w:val="0"/>
      <w:marBottom w:val="0"/>
      <w:divBdr>
        <w:top w:val="none" w:sz="0" w:space="0" w:color="auto"/>
        <w:left w:val="none" w:sz="0" w:space="0" w:color="auto"/>
        <w:bottom w:val="none" w:sz="0" w:space="0" w:color="auto"/>
        <w:right w:val="none" w:sz="0" w:space="0" w:color="auto"/>
      </w:divBdr>
    </w:div>
    <w:div w:id="1891770242">
      <w:bodyDiv w:val="1"/>
      <w:marLeft w:val="0"/>
      <w:marRight w:val="0"/>
      <w:marTop w:val="0"/>
      <w:marBottom w:val="0"/>
      <w:divBdr>
        <w:top w:val="none" w:sz="0" w:space="0" w:color="auto"/>
        <w:left w:val="none" w:sz="0" w:space="0" w:color="auto"/>
        <w:bottom w:val="none" w:sz="0" w:space="0" w:color="auto"/>
        <w:right w:val="none" w:sz="0" w:space="0" w:color="auto"/>
      </w:divBdr>
    </w:div>
    <w:div w:id="1892883568">
      <w:bodyDiv w:val="1"/>
      <w:marLeft w:val="0"/>
      <w:marRight w:val="0"/>
      <w:marTop w:val="0"/>
      <w:marBottom w:val="0"/>
      <w:divBdr>
        <w:top w:val="none" w:sz="0" w:space="0" w:color="auto"/>
        <w:left w:val="none" w:sz="0" w:space="0" w:color="auto"/>
        <w:bottom w:val="none" w:sz="0" w:space="0" w:color="auto"/>
        <w:right w:val="none" w:sz="0" w:space="0" w:color="auto"/>
      </w:divBdr>
    </w:div>
    <w:div w:id="1892884443">
      <w:bodyDiv w:val="1"/>
      <w:marLeft w:val="0"/>
      <w:marRight w:val="0"/>
      <w:marTop w:val="0"/>
      <w:marBottom w:val="0"/>
      <w:divBdr>
        <w:top w:val="none" w:sz="0" w:space="0" w:color="auto"/>
        <w:left w:val="none" w:sz="0" w:space="0" w:color="auto"/>
        <w:bottom w:val="none" w:sz="0" w:space="0" w:color="auto"/>
        <w:right w:val="none" w:sz="0" w:space="0" w:color="auto"/>
      </w:divBdr>
    </w:div>
    <w:div w:id="1893035281">
      <w:bodyDiv w:val="1"/>
      <w:marLeft w:val="0"/>
      <w:marRight w:val="0"/>
      <w:marTop w:val="0"/>
      <w:marBottom w:val="0"/>
      <w:divBdr>
        <w:top w:val="none" w:sz="0" w:space="0" w:color="auto"/>
        <w:left w:val="none" w:sz="0" w:space="0" w:color="auto"/>
        <w:bottom w:val="none" w:sz="0" w:space="0" w:color="auto"/>
        <w:right w:val="none" w:sz="0" w:space="0" w:color="auto"/>
      </w:divBdr>
    </w:div>
    <w:div w:id="1893536156">
      <w:bodyDiv w:val="1"/>
      <w:marLeft w:val="0"/>
      <w:marRight w:val="0"/>
      <w:marTop w:val="0"/>
      <w:marBottom w:val="0"/>
      <w:divBdr>
        <w:top w:val="none" w:sz="0" w:space="0" w:color="auto"/>
        <w:left w:val="none" w:sz="0" w:space="0" w:color="auto"/>
        <w:bottom w:val="none" w:sz="0" w:space="0" w:color="auto"/>
        <w:right w:val="none" w:sz="0" w:space="0" w:color="auto"/>
      </w:divBdr>
    </w:div>
    <w:div w:id="1894343783">
      <w:bodyDiv w:val="1"/>
      <w:marLeft w:val="0"/>
      <w:marRight w:val="0"/>
      <w:marTop w:val="0"/>
      <w:marBottom w:val="0"/>
      <w:divBdr>
        <w:top w:val="none" w:sz="0" w:space="0" w:color="auto"/>
        <w:left w:val="none" w:sz="0" w:space="0" w:color="auto"/>
        <w:bottom w:val="none" w:sz="0" w:space="0" w:color="auto"/>
        <w:right w:val="none" w:sz="0" w:space="0" w:color="auto"/>
      </w:divBdr>
    </w:div>
    <w:div w:id="1895774990">
      <w:bodyDiv w:val="1"/>
      <w:marLeft w:val="0"/>
      <w:marRight w:val="0"/>
      <w:marTop w:val="0"/>
      <w:marBottom w:val="0"/>
      <w:divBdr>
        <w:top w:val="none" w:sz="0" w:space="0" w:color="auto"/>
        <w:left w:val="none" w:sz="0" w:space="0" w:color="auto"/>
        <w:bottom w:val="none" w:sz="0" w:space="0" w:color="auto"/>
        <w:right w:val="none" w:sz="0" w:space="0" w:color="auto"/>
      </w:divBdr>
    </w:div>
    <w:div w:id="1896038428">
      <w:bodyDiv w:val="1"/>
      <w:marLeft w:val="0"/>
      <w:marRight w:val="0"/>
      <w:marTop w:val="0"/>
      <w:marBottom w:val="0"/>
      <w:divBdr>
        <w:top w:val="none" w:sz="0" w:space="0" w:color="auto"/>
        <w:left w:val="none" w:sz="0" w:space="0" w:color="auto"/>
        <w:bottom w:val="none" w:sz="0" w:space="0" w:color="auto"/>
        <w:right w:val="none" w:sz="0" w:space="0" w:color="auto"/>
      </w:divBdr>
    </w:div>
    <w:div w:id="1896308774">
      <w:bodyDiv w:val="1"/>
      <w:marLeft w:val="0"/>
      <w:marRight w:val="0"/>
      <w:marTop w:val="0"/>
      <w:marBottom w:val="0"/>
      <w:divBdr>
        <w:top w:val="none" w:sz="0" w:space="0" w:color="auto"/>
        <w:left w:val="none" w:sz="0" w:space="0" w:color="auto"/>
        <w:bottom w:val="none" w:sz="0" w:space="0" w:color="auto"/>
        <w:right w:val="none" w:sz="0" w:space="0" w:color="auto"/>
      </w:divBdr>
    </w:div>
    <w:div w:id="1896699416">
      <w:bodyDiv w:val="1"/>
      <w:marLeft w:val="0"/>
      <w:marRight w:val="0"/>
      <w:marTop w:val="0"/>
      <w:marBottom w:val="0"/>
      <w:divBdr>
        <w:top w:val="none" w:sz="0" w:space="0" w:color="auto"/>
        <w:left w:val="none" w:sz="0" w:space="0" w:color="auto"/>
        <w:bottom w:val="none" w:sz="0" w:space="0" w:color="auto"/>
        <w:right w:val="none" w:sz="0" w:space="0" w:color="auto"/>
      </w:divBdr>
    </w:div>
    <w:div w:id="1897812338">
      <w:bodyDiv w:val="1"/>
      <w:marLeft w:val="0"/>
      <w:marRight w:val="0"/>
      <w:marTop w:val="0"/>
      <w:marBottom w:val="0"/>
      <w:divBdr>
        <w:top w:val="none" w:sz="0" w:space="0" w:color="auto"/>
        <w:left w:val="none" w:sz="0" w:space="0" w:color="auto"/>
        <w:bottom w:val="none" w:sz="0" w:space="0" w:color="auto"/>
        <w:right w:val="none" w:sz="0" w:space="0" w:color="auto"/>
      </w:divBdr>
    </w:div>
    <w:div w:id="1898928997">
      <w:bodyDiv w:val="1"/>
      <w:marLeft w:val="0"/>
      <w:marRight w:val="0"/>
      <w:marTop w:val="0"/>
      <w:marBottom w:val="0"/>
      <w:divBdr>
        <w:top w:val="none" w:sz="0" w:space="0" w:color="auto"/>
        <w:left w:val="none" w:sz="0" w:space="0" w:color="auto"/>
        <w:bottom w:val="none" w:sz="0" w:space="0" w:color="auto"/>
        <w:right w:val="none" w:sz="0" w:space="0" w:color="auto"/>
      </w:divBdr>
    </w:div>
    <w:div w:id="1899314961">
      <w:bodyDiv w:val="1"/>
      <w:marLeft w:val="0"/>
      <w:marRight w:val="0"/>
      <w:marTop w:val="0"/>
      <w:marBottom w:val="0"/>
      <w:divBdr>
        <w:top w:val="none" w:sz="0" w:space="0" w:color="auto"/>
        <w:left w:val="none" w:sz="0" w:space="0" w:color="auto"/>
        <w:bottom w:val="none" w:sz="0" w:space="0" w:color="auto"/>
        <w:right w:val="none" w:sz="0" w:space="0" w:color="auto"/>
      </w:divBdr>
    </w:div>
    <w:div w:id="1900051060">
      <w:bodyDiv w:val="1"/>
      <w:marLeft w:val="0"/>
      <w:marRight w:val="0"/>
      <w:marTop w:val="0"/>
      <w:marBottom w:val="0"/>
      <w:divBdr>
        <w:top w:val="none" w:sz="0" w:space="0" w:color="auto"/>
        <w:left w:val="none" w:sz="0" w:space="0" w:color="auto"/>
        <w:bottom w:val="none" w:sz="0" w:space="0" w:color="auto"/>
        <w:right w:val="none" w:sz="0" w:space="0" w:color="auto"/>
      </w:divBdr>
    </w:div>
    <w:div w:id="1901820185">
      <w:bodyDiv w:val="1"/>
      <w:marLeft w:val="0"/>
      <w:marRight w:val="0"/>
      <w:marTop w:val="0"/>
      <w:marBottom w:val="0"/>
      <w:divBdr>
        <w:top w:val="none" w:sz="0" w:space="0" w:color="auto"/>
        <w:left w:val="none" w:sz="0" w:space="0" w:color="auto"/>
        <w:bottom w:val="none" w:sz="0" w:space="0" w:color="auto"/>
        <w:right w:val="none" w:sz="0" w:space="0" w:color="auto"/>
      </w:divBdr>
    </w:div>
    <w:div w:id="1902402408">
      <w:bodyDiv w:val="1"/>
      <w:marLeft w:val="0"/>
      <w:marRight w:val="0"/>
      <w:marTop w:val="0"/>
      <w:marBottom w:val="0"/>
      <w:divBdr>
        <w:top w:val="none" w:sz="0" w:space="0" w:color="auto"/>
        <w:left w:val="none" w:sz="0" w:space="0" w:color="auto"/>
        <w:bottom w:val="none" w:sz="0" w:space="0" w:color="auto"/>
        <w:right w:val="none" w:sz="0" w:space="0" w:color="auto"/>
      </w:divBdr>
    </w:div>
    <w:div w:id="1903056844">
      <w:bodyDiv w:val="1"/>
      <w:marLeft w:val="0"/>
      <w:marRight w:val="0"/>
      <w:marTop w:val="0"/>
      <w:marBottom w:val="0"/>
      <w:divBdr>
        <w:top w:val="none" w:sz="0" w:space="0" w:color="auto"/>
        <w:left w:val="none" w:sz="0" w:space="0" w:color="auto"/>
        <w:bottom w:val="none" w:sz="0" w:space="0" w:color="auto"/>
        <w:right w:val="none" w:sz="0" w:space="0" w:color="auto"/>
      </w:divBdr>
    </w:div>
    <w:div w:id="1904175648">
      <w:bodyDiv w:val="1"/>
      <w:marLeft w:val="0"/>
      <w:marRight w:val="0"/>
      <w:marTop w:val="0"/>
      <w:marBottom w:val="0"/>
      <w:divBdr>
        <w:top w:val="none" w:sz="0" w:space="0" w:color="auto"/>
        <w:left w:val="none" w:sz="0" w:space="0" w:color="auto"/>
        <w:bottom w:val="none" w:sz="0" w:space="0" w:color="auto"/>
        <w:right w:val="none" w:sz="0" w:space="0" w:color="auto"/>
      </w:divBdr>
    </w:div>
    <w:div w:id="1904871889">
      <w:bodyDiv w:val="1"/>
      <w:marLeft w:val="0"/>
      <w:marRight w:val="0"/>
      <w:marTop w:val="0"/>
      <w:marBottom w:val="0"/>
      <w:divBdr>
        <w:top w:val="none" w:sz="0" w:space="0" w:color="auto"/>
        <w:left w:val="none" w:sz="0" w:space="0" w:color="auto"/>
        <w:bottom w:val="none" w:sz="0" w:space="0" w:color="auto"/>
        <w:right w:val="none" w:sz="0" w:space="0" w:color="auto"/>
      </w:divBdr>
    </w:div>
    <w:div w:id="1904901837">
      <w:bodyDiv w:val="1"/>
      <w:marLeft w:val="0"/>
      <w:marRight w:val="0"/>
      <w:marTop w:val="0"/>
      <w:marBottom w:val="0"/>
      <w:divBdr>
        <w:top w:val="none" w:sz="0" w:space="0" w:color="auto"/>
        <w:left w:val="none" w:sz="0" w:space="0" w:color="auto"/>
        <w:bottom w:val="none" w:sz="0" w:space="0" w:color="auto"/>
        <w:right w:val="none" w:sz="0" w:space="0" w:color="auto"/>
      </w:divBdr>
    </w:div>
    <w:div w:id="1905918546">
      <w:bodyDiv w:val="1"/>
      <w:marLeft w:val="0"/>
      <w:marRight w:val="0"/>
      <w:marTop w:val="0"/>
      <w:marBottom w:val="0"/>
      <w:divBdr>
        <w:top w:val="none" w:sz="0" w:space="0" w:color="auto"/>
        <w:left w:val="none" w:sz="0" w:space="0" w:color="auto"/>
        <w:bottom w:val="none" w:sz="0" w:space="0" w:color="auto"/>
        <w:right w:val="none" w:sz="0" w:space="0" w:color="auto"/>
      </w:divBdr>
    </w:div>
    <w:div w:id="1906336148">
      <w:bodyDiv w:val="1"/>
      <w:marLeft w:val="0"/>
      <w:marRight w:val="0"/>
      <w:marTop w:val="0"/>
      <w:marBottom w:val="0"/>
      <w:divBdr>
        <w:top w:val="none" w:sz="0" w:space="0" w:color="auto"/>
        <w:left w:val="none" w:sz="0" w:space="0" w:color="auto"/>
        <w:bottom w:val="none" w:sz="0" w:space="0" w:color="auto"/>
        <w:right w:val="none" w:sz="0" w:space="0" w:color="auto"/>
      </w:divBdr>
    </w:div>
    <w:div w:id="1906454554">
      <w:bodyDiv w:val="1"/>
      <w:marLeft w:val="0"/>
      <w:marRight w:val="0"/>
      <w:marTop w:val="0"/>
      <w:marBottom w:val="0"/>
      <w:divBdr>
        <w:top w:val="none" w:sz="0" w:space="0" w:color="auto"/>
        <w:left w:val="none" w:sz="0" w:space="0" w:color="auto"/>
        <w:bottom w:val="none" w:sz="0" w:space="0" w:color="auto"/>
        <w:right w:val="none" w:sz="0" w:space="0" w:color="auto"/>
      </w:divBdr>
    </w:div>
    <w:div w:id="1906719247">
      <w:bodyDiv w:val="1"/>
      <w:marLeft w:val="0"/>
      <w:marRight w:val="0"/>
      <w:marTop w:val="0"/>
      <w:marBottom w:val="0"/>
      <w:divBdr>
        <w:top w:val="none" w:sz="0" w:space="0" w:color="auto"/>
        <w:left w:val="none" w:sz="0" w:space="0" w:color="auto"/>
        <w:bottom w:val="none" w:sz="0" w:space="0" w:color="auto"/>
        <w:right w:val="none" w:sz="0" w:space="0" w:color="auto"/>
      </w:divBdr>
    </w:div>
    <w:div w:id="1912080645">
      <w:bodyDiv w:val="1"/>
      <w:marLeft w:val="0"/>
      <w:marRight w:val="0"/>
      <w:marTop w:val="0"/>
      <w:marBottom w:val="0"/>
      <w:divBdr>
        <w:top w:val="none" w:sz="0" w:space="0" w:color="auto"/>
        <w:left w:val="none" w:sz="0" w:space="0" w:color="auto"/>
        <w:bottom w:val="none" w:sz="0" w:space="0" w:color="auto"/>
        <w:right w:val="none" w:sz="0" w:space="0" w:color="auto"/>
      </w:divBdr>
    </w:div>
    <w:div w:id="1913655531">
      <w:bodyDiv w:val="1"/>
      <w:marLeft w:val="0"/>
      <w:marRight w:val="0"/>
      <w:marTop w:val="0"/>
      <w:marBottom w:val="0"/>
      <w:divBdr>
        <w:top w:val="none" w:sz="0" w:space="0" w:color="auto"/>
        <w:left w:val="none" w:sz="0" w:space="0" w:color="auto"/>
        <w:bottom w:val="none" w:sz="0" w:space="0" w:color="auto"/>
        <w:right w:val="none" w:sz="0" w:space="0" w:color="auto"/>
      </w:divBdr>
    </w:div>
    <w:div w:id="1915774129">
      <w:bodyDiv w:val="1"/>
      <w:marLeft w:val="0"/>
      <w:marRight w:val="0"/>
      <w:marTop w:val="0"/>
      <w:marBottom w:val="0"/>
      <w:divBdr>
        <w:top w:val="none" w:sz="0" w:space="0" w:color="auto"/>
        <w:left w:val="none" w:sz="0" w:space="0" w:color="auto"/>
        <w:bottom w:val="none" w:sz="0" w:space="0" w:color="auto"/>
        <w:right w:val="none" w:sz="0" w:space="0" w:color="auto"/>
      </w:divBdr>
    </w:div>
    <w:div w:id="1916938828">
      <w:bodyDiv w:val="1"/>
      <w:marLeft w:val="0"/>
      <w:marRight w:val="0"/>
      <w:marTop w:val="0"/>
      <w:marBottom w:val="0"/>
      <w:divBdr>
        <w:top w:val="none" w:sz="0" w:space="0" w:color="auto"/>
        <w:left w:val="none" w:sz="0" w:space="0" w:color="auto"/>
        <w:bottom w:val="none" w:sz="0" w:space="0" w:color="auto"/>
        <w:right w:val="none" w:sz="0" w:space="0" w:color="auto"/>
      </w:divBdr>
    </w:div>
    <w:div w:id="1919243207">
      <w:bodyDiv w:val="1"/>
      <w:marLeft w:val="0"/>
      <w:marRight w:val="0"/>
      <w:marTop w:val="0"/>
      <w:marBottom w:val="0"/>
      <w:divBdr>
        <w:top w:val="none" w:sz="0" w:space="0" w:color="auto"/>
        <w:left w:val="none" w:sz="0" w:space="0" w:color="auto"/>
        <w:bottom w:val="none" w:sz="0" w:space="0" w:color="auto"/>
        <w:right w:val="none" w:sz="0" w:space="0" w:color="auto"/>
      </w:divBdr>
    </w:div>
    <w:div w:id="1920866842">
      <w:bodyDiv w:val="1"/>
      <w:marLeft w:val="0"/>
      <w:marRight w:val="0"/>
      <w:marTop w:val="0"/>
      <w:marBottom w:val="0"/>
      <w:divBdr>
        <w:top w:val="none" w:sz="0" w:space="0" w:color="auto"/>
        <w:left w:val="none" w:sz="0" w:space="0" w:color="auto"/>
        <w:bottom w:val="none" w:sz="0" w:space="0" w:color="auto"/>
        <w:right w:val="none" w:sz="0" w:space="0" w:color="auto"/>
      </w:divBdr>
    </w:div>
    <w:div w:id="1921019248">
      <w:bodyDiv w:val="1"/>
      <w:marLeft w:val="0"/>
      <w:marRight w:val="0"/>
      <w:marTop w:val="0"/>
      <w:marBottom w:val="0"/>
      <w:divBdr>
        <w:top w:val="none" w:sz="0" w:space="0" w:color="auto"/>
        <w:left w:val="none" w:sz="0" w:space="0" w:color="auto"/>
        <w:bottom w:val="none" w:sz="0" w:space="0" w:color="auto"/>
        <w:right w:val="none" w:sz="0" w:space="0" w:color="auto"/>
      </w:divBdr>
    </w:div>
    <w:div w:id="1921788813">
      <w:bodyDiv w:val="1"/>
      <w:marLeft w:val="0"/>
      <w:marRight w:val="0"/>
      <w:marTop w:val="0"/>
      <w:marBottom w:val="0"/>
      <w:divBdr>
        <w:top w:val="none" w:sz="0" w:space="0" w:color="auto"/>
        <w:left w:val="none" w:sz="0" w:space="0" w:color="auto"/>
        <w:bottom w:val="none" w:sz="0" w:space="0" w:color="auto"/>
        <w:right w:val="none" w:sz="0" w:space="0" w:color="auto"/>
      </w:divBdr>
    </w:div>
    <w:div w:id="1922331917">
      <w:bodyDiv w:val="1"/>
      <w:marLeft w:val="0"/>
      <w:marRight w:val="0"/>
      <w:marTop w:val="0"/>
      <w:marBottom w:val="0"/>
      <w:divBdr>
        <w:top w:val="none" w:sz="0" w:space="0" w:color="auto"/>
        <w:left w:val="none" w:sz="0" w:space="0" w:color="auto"/>
        <w:bottom w:val="none" w:sz="0" w:space="0" w:color="auto"/>
        <w:right w:val="none" w:sz="0" w:space="0" w:color="auto"/>
      </w:divBdr>
    </w:div>
    <w:div w:id="1924026036">
      <w:bodyDiv w:val="1"/>
      <w:marLeft w:val="0"/>
      <w:marRight w:val="0"/>
      <w:marTop w:val="0"/>
      <w:marBottom w:val="0"/>
      <w:divBdr>
        <w:top w:val="none" w:sz="0" w:space="0" w:color="auto"/>
        <w:left w:val="none" w:sz="0" w:space="0" w:color="auto"/>
        <w:bottom w:val="none" w:sz="0" w:space="0" w:color="auto"/>
        <w:right w:val="none" w:sz="0" w:space="0" w:color="auto"/>
      </w:divBdr>
    </w:div>
    <w:div w:id="1924993293">
      <w:bodyDiv w:val="1"/>
      <w:marLeft w:val="0"/>
      <w:marRight w:val="0"/>
      <w:marTop w:val="0"/>
      <w:marBottom w:val="0"/>
      <w:divBdr>
        <w:top w:val="none" w:sz="0" w:space="0" w:color="auto"/>
        <w:left w:val="none" w:sz="0" w:space="0" w:color="auto"/>
        <w:bottom w:val="none" w:sz="0" w:space="0" w:color="auto"/>
        <w:right w:val="none" w:sz="0" w:space="0" w:color="auto"/>
      </w:divBdr>
    </w:div>
    <w:div w:id="1926262616">
      <w:bodyDiv w:val="1"/>
      <w:marLeft w:val="0"/>
      <w:marRight w:val="0"/>
      <w:marTop w:val="0"/>
      <w:marBottom w:val="0"/>
      <w:divBdr>
        <w:top w:val="none" w:sz="0" w:space="0" w:color="auto"/>
        <w:left w:val="none" w:sz="0" w:space="0" w:color="auto"/>
        <w:bottom w:val="none" w:sz="0" w:space="0" w:color="auto"/>
        <w:right w:val="none" w:sz="0" w:space="0" w:color="auto"/>
      </w:divBdr>
    </w:div>
    <w:div w:id="1926496516">
      <w:bodyDiv w:val="1"/>
      <w:marLeft w:val="0"/>
      <w:marRight w:val="0"/>
      <w:marTop w:val="0"/>
      <w:marBottom w:val="0"/>
      <w:divBdr>
        <w:top w:val="none" w:sz="0" w:space="0" w:color="auto"/>
        <w:left w:val="none" w:sz="0" w:space="0" w:color="auto"/>
        <w:bottom w:val="none" w:sz="0" w:space="0" w:color="auto"/>
        <w:right w:val="none" w:sz="0" w:space="0" w:color="auto"/>
      </w:divBdr>
    </w:div>
    <w:div w:id="1928296681">
      <w:bodyDiv w:val="1"/>
      <w:marLeft w:val="0"/>
      <w:marRight w:val="0"/>
      <w:marTop w:val="0"/>
      <w:marBottom w:val="0"/>
      <w:divBdr>
        <w:top w:val="none" w:sz="0" w:space="0" w:color="auto"/>
        <w:left w:val="none" w:sz="0" w:space="0" w:color="auto"/>
        <w:bottom w:val="none" w:sz="0" w:space="0" w:color="auto"/>
        <w:right w:val="none" w:sz="0" w:space="0" w:color="auto"/>
      </w:divBdr>
    </w:div>
    <w:div w:id="1930002110">
      <w:bodyDiv w:val="1"/>
      <w:marLeft w:val="0"/>
      <w:marRight w:val="0"/>
      <w:marTop w:val="0"/>
      <w:marBottom w:val="0"/>
      <w:divBdr>
        <w:top w:val="none" w:sz="0" w:space="0" w:color="auto"/>
        <w:left w:val="none" w:sz="0" w:space="0" w:color="auto"/>
        <w:bottom w:val="none" w:sz="0" w:space="0" w:color="auto"/>
        <w:right w:val="none" w:sz="0" w:space="0" w:color="auto"/>
      </w:divBdr>
    </w:div>
    <w:div w:id="1930384014">
      <w:bodyDiv w:val="1"/>
      <w:marLeft w:val="0"/>
      <w:marRight w:val="0"/>
      <w:marTop w:val="0"/>
      <w:marBottom w:val="0"/>
      <w:divBdr>
        <w:top w:val="none" w:sz="0" w:space="0" w:color="auto"/>
        <w:left w:val="none" w:sz="0" w:space="0" w:color="auto"/>
        <w:bottom w:val="none" w:sz="0" w:space="0" w:color="auto"/>
        <w:right w:val="none" w:sz="0" w:space="0" w:color="auto"/>
      </w:divBdr>
    </w:div>
    <w:div w:id="1930774937">
      <w:bodyDiv w:val="1"/>
      <w:marLeft w:val="0"/>
      <w:marRight w:val="0"/>
      <w:marTop w:val="0"/>
      <w:marBottom w:val="0"/>
      <w:divBdr>
        <w:top w:val="none" w:sz="0" w:space="0" w:color="auto"/>
        <w:left w:val="none" w:sz="0" w:space="0" w:color="auto"/>
        <w:bottom w:val="none" w:sz="0" w:space="0" w:color="auto"/>
        <w:right w:val="none" w:sz="0" w:space="0" w:color="auto"/>
      </w:divBdr>
    </w:div>
    <w:div w:id="1931087421">
      <w:bodyDiv w:val="1"/>
      <w:marLeft w:val="0"/>
      <w:marRight w:val="0"/>
      <w:marTop w:val="0"/>
      <w:marBottom w:val="0"/>
      <w:divBdr>
        <w:top w:val="none" w:sz="0" w:space="0" w:color="auto"/>
        <w:left w:val="none" w:sz="0" w:space="0" w:color="auto"/>
        <w:bottom w:val="none" w:sz="0" w:space="0" w:color="auto"/>
        <w:right w:val="none" w:sz="0" w:space="0" w:color="auto"/>
      </w:divBdr>
    </w:div>
    <w:div w:id="1931499771">
      <w:bodyDiv w:val="1"/>
      <w:marLeft w:val="0"/>
      <w:marRight w:val="0"/>
      <w:marTop w:val="0"/>
      <w:marBottom w:val="0"/>
      <w:divBdr>
        <w:top w:val="none" w:sz="0" w:space="0" w:color="auto"/>
        <w:left w:val="none" w:sz="0" w:space="0" w:color="auto"/>
        <w:bottom w:val="none" w:sz="0" w:space="0" w:color="auto"/>
        <w:right w:val="none" w:sz="0" w:space="0" w:color="auto"/>
      </w:divBdr>
    </w:div>
    <w:div w:id="1931964833">
      <w:bodyDiv w:val="1"/>
      <w:marLeft w:val="0"/>
      <w:marRight w:val="0"/>
      <w:marTop w:val="0"/>
      <w:marBottom w:val="0"/>
      <w:divBdr>
        <w:top w:val="none" w:sz="0" w:space="0" w:color="auto"/>
        <w:left w:val="none" w:sz="0" w:space="0" w:color="auto"/>
        <w:bottom w:val="none" w:sz="0" w:space="0" w:color="auto"/>
        <w:right w:val="none" w:sz="0" w:space="0" w:color="auto"/>
      </w:divBdr>
    </w:div>
    <w:div w:id="1932084035">
      <w:bodyDiv w:val="1"/>
      <w:marLeft w:val="0"/>
      <w:marRight w:val="0"/>
      <w:marTop w:val="0"/>
      <w:marBottom w:val="0"/>
      <w:divBdr>
        <w:top w:val="none" w:sz="0" w:space="0" w:color="auto"/>
        <w:left w:val="none" w:sz="0" w:space="0" w:color="auto"/>
        <w:bottom w:val="none" w:sz="0" w:space="0" w:color="auto"/>
        <w:right w:val="none" w:sz="0" w:space="0" w:color="auto"/>
      </w:divBdr>
    </w:div>
    <w:div w:id="1932935407">
      <w:bodyDiv w:val="1"/>
      <w:marLeft w:val="0"/>
      <w:marRight w:val="0"/>
      <w:marTop w:val="0"/>
      <w:marBottom w:val="0"/>
      <w:divBdr>
        <w:top w:val="none" w:sz="0" w:space="0" w:color="auto"/>
        <w:left w:val="none" w:sz="0" w:space="0" w:color="auto"/>
        <w:bottom w:val="none" w:sz="0" w:space="0" w:color="auto"/>
        <w:right w:val="none" w:sz="0" w:space="0" w:color="auto"/>
      </w:divBdr>
    </w:div>
    <w:div w:id="1936479908">
      <w:bodyDiv w:val="1"/>
      <w:marLeft w:val="0"/>
      <w:marRight w:val="0"/>
      <w:marTop w:val="0"/>
      <w:marBottom w:val="0"/>
      <w:divBdr>
        <w:top w:val="none" w:sz="0" w:space="0" w:color="auto"/>
        <w:left w:val="none" w:sz="0" w:space="0" w:color="auto"/>
        <w:bottom w:val="none" w:sz="0" w:space="0" w:color="auto"/>
        <w:right w:val="none" w:sz="0" w:space="0" w:color="auto"/>
      </w:divBdr>
    </w:div>
    <w:div w:id="1936936939">
      <w:bodyDiv w:val="1"/>
      <w:marLeft w:val="0"/>
      <w:marRight w:val="0"/>
      <w:marTop w:val="0"/>
      <w:marBottom w:val="0"/>
      <w:divBdr>
        <w:top w:val="none" w:sz="0" w:space="0" w:color="auto"/>
        <w:left w:val="none" w:sz="0" w:space="0" w:color="auto"/>
        <w:bottom w:val="none" w:sz="0" w:space="0" w:color="auto"/>
        <w:right w:val="none" w:sz="0" w:space="0" w:color="auto"/>
      </w:divBdr>
    </w:div>
    <w:div w:id="1937445657">
      <w:bodyDiv w:val="1"/>
      <w:marLeft w:val="0"/>
      <w:marRight w:val="0"/>
      <w:marTop w:val="0"/>
      <w:marBottom w:val="0"/>
      <w:divBdr>
        <w:top w:val="none" w:sz="0" w:space="0" w:color="auto"/>
        <w:left w:val="none" w:sz="0" w:space="0" w:color="auto"/>
        <w:bottom w:val="none" w:sz="0" w:space="0" w:color="auto"/>
        <w:right w:val="none" w:sz="0" w:space="0" w:color="auto"/>
      </w:divBdr>
    </w:div>
    <w:div w:id="1937520173">
      <w:bodyDiv w:val="1"/>
      <w:marLeft w:val="0"/>
      <w:marRight w:val="0"/>
      <w:marTop w:val="0"/>
      <w:marBottom w:val="0"/>
      <w:divBdr>
        <w:top w:val="none" w:sz="0" w:space="0" w:color="auto"/>
        <w:left w:val="none" w:sz="0" w:space="0" w:color="auto"/>
        <w:bottom w:val="none" w:sz="0" w:space="0" w:color="auto"/>
        <w:right w:val="none" w:sz="0" w:space="0" w:color="auto"/>
      </w:divBdr>
    </w:div>
    <w:div w:id="1937594734">
      <w:bodyDiv w:val="1"/>
      <w:marLeft w:val="0"/>
      <w:marRight w:val="0"/>
      <w:marTop w:val="0"/>
      <w:marBottom w:val="0"/>
      <w:divBdr>
        <w:top w:val="none" w:sz="0" w:space="0" w:color="auto"/>
        <w:left w:val="none" w:sz="0" w:space="0" w:color="auto"/>
        <w:bottom w:val="none" w:sz="0" w:space="0" w:color="auto"/>
        <w:right w:val="none" w:sz="0" w:space="0" w:color="auto"/>
      </w:divBdr>
    </w:div>
    <w:div w:id="1937712194">
      <w:bodyDiv w:val="1"/>
      <w:marLeft w:val="0"/>
      <w:marRight w:val="0"/>
      <w:marTop w:val="0"/>
      <w:marBottom w:val="0"/>
      <w:divBdr>
        <w:top w:val="none" w:sz="0" w:space="0" w:color="auto"/>
        <w:left w:val="none" w:sz="0" w:space="0" w:color="auto"/>
        <w:bottom w:val="none" w:sz="0" w:space="0" w:color="auto"/>
        <w:right w:val="none" w:sz="0" w:space="0" w:color="auto"/>
      </w:divBdr>
    </w:div>
    <w:div w:id="1940405501">
      <w:bodyDiv w:val="1"/>
      <w:marLeft w:val="0"/>
      <w:marRight w:val="0"/>
      <w:marTop w:val="0"/>
      <w:marBottom w:val="0"/>
      <w:divBdr>
        <w:top w:val="none" w:sz="0" w:space="0" w:color="auto"/>
        <w:left w:val="none" w:sz="0" w:space="0" w:color="auto"/>
        <w:bottom w:val="none" w:sz="0" w:space="0" w:color="auto"/>
        <w:right w:val="none" w:sz="0" w:space="0" w:color="auto"/>
      </w:divBdr>
    </w:div>
    <w:div w:id="1941570138">
      <w:bodyDiv w:val="1"/>
      <w:marLeft w:val="0"/>
      <w:marRight w:val="0"/>
      <w:marTop w:val="0"/>
      <w:marBottom w:val="0"/>
      <w:divBdr>
        <w:top w:val="none" w:sz="0" w:space="0" w:color="auto"/>
        <w:left w:val="none" w:sz="0" w:space="0" w:color="auto"/>
        <w:bottom w:val="none" w:sz="0" w:space="0" w:color="auto"/>
        <w:right w:val="none" w:sz="0" w:space="0" w:color="auto"/>
      </w:divBdr>
    </w:div>
    <w:div w:id="1945379383">
      <w:bodyDiv w:val="1"/>
      <w:marLeft w:val="0"/>
      <w:marRight w:val="0"/>
      <w:marTop w:val="0"/>
      <w:marBottom w:val="0"/>
      <w:divBdr>
        <w:top w:val="none" w:sz="0" w:space="0" w:color="auto"/>
        <w:left w:val="none" w:sz="0" w:space="0" w:color="auto"/>
        <w:bottom w:val="none" w:sz="0" w:space="0" w:color="auto"/>
        <w:right w:val="none" w:sz="0" w:space="0" w:color="auto"/>
      </w:divBdr>
    </w:div>
    <w:div w:id="1946502527">
      <w:bodyDiv w:val="1"/>
      <w:marLeft w:val="0"/>
      <w:marRight w:val="0"/>
      <w:marTop w:val="0"/>
      <w:marBottom w:val="0"/>
      <w:divBdr>
        <w:top w:val="none" w:sz="0" w:space="0" w:color="auto"/>
        <w:left w:val="none" w:sz="0" w:space="0" w:color="auto"/>
        <w:bottom w:val="none" w:sz="0" w:space="0" w:color="auto"/>
        <w:right w:val="none" w:sz="0" w:space="0" w:color="auto"/>
      </w:divBdr>
    </w:div>
    <w:div w:id="1946691648">
      <w:bodyDiv w:val="1"/>
      <w:marLeft w:val="0"/>
      <w:marRight w:val="0"/>
      <w:marTop w:val="0"/>
      <w:marBottom w:val="0"/>
      <w:divBdr>
        <w:top w:val="none" w:sz="0" w:space="0" w:color="auto"/>
        <w:left w:val="none" w:sz="0" w:space="0" w:color="auto"/>
        <w:bottom w:val="none" w:sz="0" w:space="0" w:color="auto"/>
        <w:right w:val="none" w:sz="0" w:space="0" w:color="auto"/>
      </w:divBdr>
    </w:div>
    <w:div w:id="1947737132">
      <w:bodyDiv w:val="1"/>
      <w:marLeft w:val="0"/>
      <w:marRight w:val="0"/>
      <w:marTop w:val="0"/>
      <w:marBottom w:val="0"/>
      <w:divBdr>
        <w:top w:val="none" w:sz="0" w:space="0" w:color="auto"/>
        <w:left w:val="none" w:sz="0" w:space="0" w:color="auto"/>
        <w:bottom w:val="none" w:sz="0" w:space="0" w:color="auto"/>
        <w:right w:val="none" w:sz="0" w:space="0" w:color="auto"/>
      </w:divBdr>
    </w:div>
    <w:div w:id="1948810551">
      <w:bodyDiv w:val="1"/>
      <w:marLeft w:val="0"/>
      <w:marRight w:val="0"/>
      <w:marTop w:val="0"/>
      <w:marBottom w:val="0"/>
      <w:divBdr>
        <w:top w:val="none" w:sz="0" w:space="0" w:color="auto"/>
        <w:left w:val="none" w:sz="0" w:space="0" w:color="auto"/>
        <w:bottom w:val="none" w:sz="0" w:space="0" w:color="auto"/>
        <w:right w:val="none" w:sz="0" w:space="0" w:color="auto"/>
      </w:divBdr>
    </w:div>
    <w:div w:id="1949652064">
      <w:bodyDiv w:val="1"/>
      <w:marLeft w:val="0"/>
      <w:marRight w:val="0"/>
      <w:marTop w:val="0"/>
      <w:marBottom w:val="0"/>
      <w:divBdr>
        <w:top w:val="none" w:sz="0" w:space="0" w:color="auto"/>
        <w:left w:val="none" w:sz="0" w:space="0" w:color="auto"/>
        <w:bottom w:val="none" w:sz="0" w:space="0" w:color="auto"/>
        <w:right w:val="none" w:sz="0" w:space="0" w:color="auto"/>
      </w:divBdr>
    </w:div>
    <w:div w:id="1949894134">
      <w:bodyDiv w:val="1"/>
      <w:marLeft w:val="0"/>
      <w:marRight w:val="0"/>
      <w:marTop w:val="0"/>
      <w:marBottom w:val="0"/>
      <w:divBdr>
        <w:top w:val="none" w:sz="0" w:space="0" w:color="auto"/>
        <w:left w:val="none" w:sz="0" w:space="0" w:color="auto"/>
        <w:bottom w:val="none" w:sz="0" w:space="0" w:color="auto"/>
        <w:right w:val="none" w:sz="0" w:space="0" w:color="auto"/>
      </w:divBdr>
    </w:div>
    <w:div w:id="1951625559">
      <w:bodyDiv w:val="1"/>
      <w:marLeft w:val="0"/>
      <w:marRight w:val="0"/>
      <w:marTop w:val="0"/>
      <w:marBottom w:val="0"/>
      <w:divBdr>
        <w:top w:val="none" w:sz="0" w:space="0" w:color="auto"/>
        <w:left w:val="none" w:sz="0" w:space="0" w:color="auto"/>
        <w:bottom w:val="none" w:sz="0" w:space="0" w:color="auto"/>
        <w:right w:val="none" w:sz="0" w:space="0" w:color="auto"/>
      </w:divBdr>
    </w:div>
    <w:div w:id="1951860088">
      <w:bodyDiv w:val="1"/>
      <w:marLeft w:val="0"/>
      <w:marRight w:val="0"/>
      <w:marTop w:val="0"/>
      <w:marBottom w:val="0"/>
      <w:divBdr>
        <w:top w:val="none" w:sz="0" w:space="0" w:color="auto"/>
        <w:left w:val="none" w:sz="0" w:space="0" w:color="auto"/>
        <w:bottom w:val="none" w:sz="0" w:space="0" w:color="auto"/>
        <w:right w:val="none" w:sz="0" w:space="0" w:color="auto"/>
      </w:divBdr>
    </w:div>
    <w:div w:id="1953589794">
      <w:bodyDiv w:val="1"/>
      <w:marLeft w:val="0"/>
      <w:marRight w:val="0"/>
      <w:marTop w:val="0"/>
      <w:marBottom w:val="0"/>
      <w:divBdr>
        <w:top w:val="none" w:sz="0" w:space="0" w:color="auto"/>
        <w:left w:val="none" w:sz="0" w:space="0" w:color="auto"/>
        <w:bottom w:val="none" w:sz="0" w:space="0" w:color="auto"/>
        <w:right w:val="none" w:sz="0" w:space="0" w:color="auto"/>
      </w:divBdr>
    </w:div>
    <w:div w:id="1953827583">
      <w:bodyDiv w:val="1"/>
      <w:marLeft w:val="0"/>
      <w:marRight w:val="0"/>
      <w:marTop w:val="0"/>
      <w:marBottom w:val="0"/>
      <w:divBdr>
        <w:top w:val="none" w:sz="0" w:space="0" w:color="auto"/>
        <w:left w:val="none" w:sz="0" w:space="0" w:color="auto"/>
        <w:bottom w:val="none" w:sz="0" w:space="0" w:color="auto"/>
        <w:right w:val="none" w:sz="0" w:space="0" w:color="auto"/>
      </w:divBdr>
    </w:div>
    <w:div w:id="1954971388">
      <w:bodyDiv w:val="1"/>
      <w:marLeft w:val="0"/>
      <w:marRight w:val="0"/>
      <w:marTop w:val="0"/>
      <w:marBottom w:val="0"/>
      <w:divBdr>
        <w:top w:val="none" w:sz="0" w:space="0" w:color="auto"/>
        <w:left w:val="none" w:sz="0" w:space="0" w:color="auto"/>
        <w:bottom w:val="none" w:sz="0" w:space="0" w:color="auto"/>
        <w:right w:val="none" w:sz="0" w:space="0" w:color="auto"/>
      </w:divBdr>
    </w:div>
    <w:div w:id="1955139101">
      <w:bodyDiv w:val="1"/>
      <w:marLeft w:val="0"/>
      <w:marRight w:val="0"/>
      <w:marTop w:val="0"/>
      <w:marBottom w:val="0"/>
      <w:divBdr>
        <w:top w:val="none" w:sz="0" w:space="0" w:color="auto"/>
        <w:left w:val="none" w:sz="0" w:space="0" w:color="auto"/>
        <w:bottom w:val="none" w:sz="0" w:space="0" w:color="auto"/>
        <w:right w:val="none" w:sz="0" w:space="0" w:color="auto"/>
      </w:divBdr>
    </w:div>
    <w:div w:id="1961496383">
      <w:bodyDiv w:val="1"/>
      <w:marLeft w:val="0"/>
      <w:marRight w:val="0"/>
      <w:marTop w:val="0"/>
      <w:marBottom w:val="0"/>
      <w:divBdr>
        <w:top w:val="none" w:sz="0" w:space="0" w:color="auto"/>
        <w:left w:val="none" w:sz="0" w:space="0" w:color="auto"/>
        <w:bottom w:val="none" w:sz="0" w:space="0" w:color="auto"/>
        <w:right w:val="none" w:sz="0" w:space="0" w:color="auto"/>
      </w:divBdr>
    </w:div>
    <w:div w:id="1962227214">
      <w:bodyDiv w:val="1"/>
      <w:marLeft w:val="0"/>
      <w:marRight w:val="0"/>
      <w:marTop w:val="0"/>
      <w:marBottom w:val="0"/>
      <w:divBdr>
        <w:top w:val="none" w:sz="0" w:space="0" w:color="auto"/>
        <w:left w:val="none" w:sz="0" w:space="0" w:color="auto"/>
        <w:bottom w:val="none" w:sz="0" w:space="0" w:color="auto"/>
        <w:right w:val="none" w:sz="0" w:space="0" w:color="auto"/>
      </w:divBdr>
    </w:div>
    <w:div w:id="1965647936">
      <w:bodyDiv w:val="1"/>
      <w:marLeft w:val="0"/>
      <w:marRight w:val="0"/>
      <w:marTop w:val="0"/>
      <w:marBottom w:val="0"/>
      <w:divBdr>
        <w:top w:val="none" w:sz="0" w:space="0" w:color="auto"/>
        <w:left w:val="none" w:sz="0" w:space="0" w:color="auto"/>
        <w:bottom w:val="none" w:sz="0" w:space="0" w:color="auto"/>
        <w:right w:val="none" w:sz="0" w:space="0" w:color="auto"/>
      </w:divBdr>
    </w:div>
    <w:div w:id="1966037195">
      <w:bodyDiv w:val="1"/>
      <w:marLeft w:val="0"/>
      <w:marRight w:val="0"/>
      <w:marTop w:val="0"/>
      <w:marBottom w:val="0"/>
      <w:divBdr>
        <w:top w:val="none" w:sz="0" w:space="0" w:color="auto"/>
        <w:left w:val="none" w:sz="0" w:space="0" w:color="auto"/>
        <w:bottom w:val="none" w:sz="0" w:space="0" w:color="auto"/>
        <w:right w:val="none" w:sz="0" w:space="0" w:color="auto"/>
      </w:divBdr>
    </w:div>
    <w:div w:id="1966233697">
      <w:bodyDiv w:val="1"/>
      <w:marLeft w:val="0"/>
      <w:marRight w:val="0"/>
      <w:marTop w:val="0"/>
      <w:marBottom w:val="0"/>
      <w:divBdr>
        <w:top w:val="none" w:sz="0" w:space="0" w:color="auto"/>
        <w:left w:val="none" w:sz="0" w:space="0" w:color="auto"/>
        <w:bottom w:val="none" w:sz="0" w:space="0" w:color="auto"/>
        <w:right w:val="none" w:sz="0" w:space="0" w:color="auto"/>
      </w:divBdr>
    </w:div>
    <w:div w:id="1966303407">
      <w:bodyDiv w:val="1"/>
      <w:marLeft w:val="0"/>
      <w:marRight w:val="0"/>
      <w:marTop w:val="0"/>
      <w:marBottom w:val="0"/>
      <w:divBdr>
        <w:top w:val="none" w:sz="0" w:space="0" w:color="auto"/>
        <w:left w:val="none" w:sz="0" w:space="0" w:color="auto"/>
        <w:bottom w:val="none" w:sz="0" w:space="0" w:color="auto"/>
        <w:right w:val="none" w:sz="0" w:space="0" w:color="auto"/>
      </w:divBdr>
    </w:div>
    <w:div w:id="1966690431">
      <w:bodyDiv w:val="1"/>
      <w:marLeft w:val="0"/>
      <w:marRight w:val="0"/>
      <w:marTop w:val="0"/>
      <w:marBottom w:val="0"/>
      <w:divBdr>
        <w:top w:val="none" w:sz="0" w:space="0" w:color="auto"/>
        <w:left w:val="none" w:sz="0" w:space="0" w:color="auto"/>
        <w:bottom w:val="none" w:sz="0" w:space="0" w:color="auto"/>
        <w:right w:val="none" w:sz="0" w:space="0" w:color="auto"/>
      </w:divBdr>
    </w:div>
    <w:div w:id="1967154503">
      <w:bodyDiv w:val="1"/>
      <w:marLeft w:val="0"/>
      <w:marRight w:val="0"/>
      <w:marTop w:val="0"/>
      <w:marBottom w:val="0"/>
      <w:divBdr>
        <w:top w:val="none" w:sz="0" w:space="0" w:color="auto"/>
        <w:left w:val="none" w:sz="0" w:space="0" w:color="auto"/>
        <w:bottom w:val="none" w:sz="0" w:space="0" w:color="auto"/>
        <w:right w:val="none" w:sz="0" w:space="0" w:color="auto"/>
      </w:divBdr>
    </w:div>
    <w:div w:id="1969044369">
      <w:bodyDiv w:val="1"/>
      <w:marLeft w:val="0"/>
      <w:marRight w:val="0"/>
      <w:marTop w:val="0"/>
      <w:marBottom w:val="0"/>
      <w:divBdr>
        <w:top w:val="none" w:sz="0" w:space="0" w:color="auto"/>
        <w:left w:val="none" w:sz="0" w:space="0" w:color="auto"/>
        <w:bottom w:val="none" w:sz="0" w:space="0" w:color="auto"/>
        <w:right w:val="none" w:sz="0" w:space="0" w:color="auto"/>
      </w:divBdr>
    </w:div>
    <w:div w:id="1969161979">
      <w:bodyDiv w:val="1"/>
      <w:marLeft w:val="0"/>
      <w:marRight w:val="0"/>
      <w:marTop w:val="0"/>
      <w:marBottom w:val="0"/>
      <w:divBdr>
        <w:top w:val="none" w:sz="0" w:space="0" w:color="auto"/>
        <w:left w:val="none" w:sz="0" w:space="0" w:color="auto"/>
        <w:bottom w:val="none" w:sz="0" w:space="0" w:color="auto"/>
        <w:right w:val="none" w:sz="0" w:space="0" w:color="auto"/>
      </w:divBdr>
    </w:div>
    <w:div w:id="1970352798">
      <w:bodyDiv w:val="1"/>
      <w:marLeft w:val="0"/>
      <w:marRight w:val="0"/>
      <w:marTop w:val="0"/>
      <w:marBottom w:val="0"/>
      <w:divBdr>
        <w:top w:val="none" w:sz="0" w:space="0" w:color="auto"/>
        <w:left w:val="none" w:sz="0" w:space="0" w:color="auto"/>
        <w:bottom w:val="none" w:sz="0" w:space="0" w:color="auto"/>
        <w:right w:val="none" w:sz="0" w:space="0" w:color="auto"/>
      </w:divBdr>
    </w:div>
    <w:div w:id="1970550567">
      <w:bodyDiv w:val="1"/>
      <w:marLeft w:val="0"/>
      <w:marRight w:val="0"/>
      <w:marTop w:val="0"/>
      <w:marBottom w:val="0"/>
      <w:divBdr>
        <w:top w:val="none" w:sz="0" w:space="0" w:color="auto"/>
        <w:left w:val="none" w:sz="0" w:space="0" w:color="auto"/>
        <w:bottom w:val="none" w:sz="0" w:space="0" w:color="auto"/>
        <w:right w:val="none" w:sz="0" w:space="0" w:color="auto"/>
      </w:divBdr>
    </w:div>
    <w:div w:id="1971665604">
      <w:bodyDiv w:val="1"/>
      <w:marLeft w:val="0"/>
      <w:marRight w:val="0"/>
      <w:marTop w:val="0"/>
      <w:marBottom w:val="0"/>
      <w:divBdr>
        <w:top w:val="none" w:sz="0" w:space="0" w:color="auto"/>
        <w:left w:val="none" w:sz="0" w:space="0" w:color="auto"/>
        <w:bottom w:val="none" w:sz="0" w:space="0" w:color="auto"/>
        <w:right w:val="none" w:sz="0" w:space="0" w:color="auto"/>
      </w:divBdr>
    </w:div>
    <w:div w:id="1973633762">
      <w:bodyDiv w:val="1"/>
      <w:marLeft w:val="0"/>
      <w:marRight w:val="0"/>
      <w:marTop w:val="0"/>
      <w:marBottom w:val="0"/>
      <w:divBdr>
        <w:top w:val="none" w:sz="0" w:space="0" w:color="auto"/>
        <w:left w:val="none" w:sz="0" w:space="0" w:color="auto"/>
        <w:bottom w:val="none" w:sz="0" w:space="0" w:color="auto"/>
        <w:right w:val="none" w:sz="0" w:space="0" w:color="auto"/>
      </w:divBdr>
    </w:div>
    <w:div w:id="1974632315">
      <w:bodyDiv w:val="1"/>
      <w:marLeft w:val="0"/>
      <w:marRight w:val="0"/>
      <w:marTop w:val="0"/>
      <w:marBottom w:val="0"/>
      <w:divBdr>
        <w:top w:val="none" w:sz="0" w:space="0" w:color="auto"/>
        <w:left w:val="none" w:sz="0" w:space="0" w:color="auto"/>
        <w:bottom w:val="none" w:sz="0" w:space="0" w:color="auto"/>
        <w:right w:val="none" w:sz="0" w:space="0" w:color="auto"/>
      </w:divBdr>
    </w:div>
    <w:div w:id="1974672436">
      <w:bodyDiv w:val="1"/>
      <w:marLeft w:val="0"/>
      <w:marRight w:val="0"/>
      <w:marTop w:val="0"/>
      <w:marBottom w:val="0"/>
      <w:divBdr>
        <w:top w:val="none" w:sz="0" w:space="0" w:color="auto"/>
        <w:left w:val="none" w:sz="0" w:space="0" w:color="auto"/>
        <w:bottom w:val="none" w:sz="0" w:space="0" w:color="auto"/>
        <w:right w:val="none" w:sz="0" w:space="0" w:color="auto"/>
      </w:divBdr>
    </w:div>
    <w:div w:id="1975022091">
      <w:bodyDiv w:val="1"/>
      <w:marLeft w:val="0"/>
      <w:marRight w:val="0"/>
      <w:marTop w:val="0"/>
      <w:marBottom w:val="0"/>
      <w:divBdr>
        <w:top w:val="none" w:sz="0" w:space="0" w:color="auto"/>
        <w:left w:val="none" w:sz="0" w:space="0" w:color="auto"/>
        <w:bottom w:val="none" w:sz="0" w:space="0" w:color="auto"/>
        <w:right w:val="none" w:sz="0" w:space="0" w:color="auto"/>
      </w:divBdr>
    </w:div>
    <w:div w:id="1976595638">
      <w:bodyDiv w:val="1"/>
      <w:marLeft w:val="0"/>
      <w:marRight w:val="0"/>
      <w:marTop w:val="0"/>
      <w:marBottom w:val="0"/>
      <w:divBdr>
        <w:top w:val="none" w:sz="0" w:space="0" w:color="auto"/>
        <w:left w:val="none" w:sz="0" w:space="0" w:color="auto"/>
        <w:bottom w:val="none" w:sz="0" w:space="0" w:color="auto"/>
        <w:right w:val="none" w:sz="0" w:space="0" w:color="auto"/>
      </w:divBdr>
    </w:div>
    <w:div w:id="1977179060">
      <w:bodyDiv w:val="1"/>
      <w:marLeft w:val="0"/>
      <w:marRight w:val="0"/>
      <w:marTop w:val="0"/>
      <w:marBottom w:val="0"/>
      <w:divBdr>
        <w:top w:val="none" w:sz="0" w:space="0" w:color="auto"/>
        <w:left w:val="none" w:sz="0" w:space="0" w:color="auto"/>
        <w:bottom w:val="none" w:sz="0" w:space="0" w:color="auto"/>
        <w:right w:val="none" w:sz="0" w:space="0" w:color="auto"/>
      </w:divBdr>
    </w:div>
    <w:div w:id="1977955305">
      <w:bodyDiv w:val="1"/>
      <w:marLeft w:val="0"/>
      <w:marRight w:val="0"/>
      <w:marTop w:val="0"/>
      <w:marBottom w:val="0"/>
      <w:divBdr>
        <w:top w:val="none" w:sz="0" w:space="0" w:color="auto"/>
        <w:left w:val="none" w:sz="0" w:space="0" w:color="auto"/>
        <w:bottom w:val="none" w:sz="0" w:space="0" w:color="auto"/>
        <w:right w:val="none" w:sz="0" w:space="0" w:color="auto"/>
      </w:divBdr>
    </w:div>
    <w:div w:id="1979914512">
      <w:bodyDiv w:val="1"/>
      <w:marLeft w:val="0"/>
      <w:marRight w:val="0"/>
      <w:marTop w:val="0"/>
      <w:marBottom w:val="0"/>
      <w:divBdr>
        <w:top w:val="none" w:sz="0" w:space="0" w:color="auto"/>
        <w:left w:val="none" w:sz="0" w:space="0" w:color="auto"/>
        <w:bottom w:val="none" w:sz="0" w:space="0" w:color="auto"/>
        <w:right w:val="none" w:sz="0" w:space="0" w:color="auto"/>
      </w:divBdr>
    </w:div>
    <w:div w:id="1980643050">
      <w:bodyDiv w:val="1"/>
      <w:marLeft w:val="0"/>
      <w:marRight w:val="0"/>
      <w:marTop w:val="0"/>
      <w:marBottom w:val="0"/>
      <w:divBdr>
        <w:top w:val="none" w:sz="0" w:space="0" w:color="auto"/>
        <w:left w:val="none" w:sz="0" w:space="0" w:color="auto"/>
        <w:bottom w:val="none" w:sz="0" w:space="0" w:color="auto"/>
        <w:right w:val="none" w:sz="0" w:space="0" w:color="auto"/>
      </w:divBdr>
    </w:div>
    <w:div w:id="1983608667">
      <w:bodyDiv w:val="1"/>
      <w:marLeft w:val="0"/>
      <w:marRight w:val="0"/>
      <w:marTop w:val="0"/>
      <w:marBottom w:val="0"/>
      <w:divBdr>
        <w:top w:val="none" w:sz="0" w:space="0" w:color="auto"/>
        <w:left w:val="none" w:sz="0" w:space="0" w:color="auto"/>
        <w:bottom w:val="none" w:sz="0" w:space="0" w:color="auto"/>
        <w:right w:val="none" w:sz="0" w:space="0" w:color="auto"/>
      </w:divBdr>
    </w:div>
    <w:div w:id="1983657000">
      <w:bodyDiv w:val="1"/>
      <w:marLeft w:val="0"/>
      <w:marRight w:val="0"/>
      <w:marTop w:val="0"/>
      <w:marBottom w:val="0"/>
      <w:divBdr>
        <w:top w:val="none" w:sz="0" w:space="0" w:color="auto"/>
        <w:left w:val="none" w:sz="0" w:space="0" w:color="auto"/>
        <w:bottom w:val="none" w:sz="0" w:space="0" w:color="auto"/>
        <w:right w:val="none" w:sz="0" w:space="0" w:color="auto"/>
      </w:divBdr>
    </w:div>
    <w:div w:id="1983727777">
      <w:bodyDiv w:val="1"/>
      <w:marLeft w:val="0"/>
      <w:marRight w:val="0"/>
      <w:marTop w:val="0"/>
      <w:marBottom w:val="0"/>
      <w:divBdr>
        <w:top w:val="none" w:sz="0" w:space="0" w:color="auto"/>
        <w:left w:val="none" w:sz="0" w:space="0" w:color="auto"/>
        <w:bottom w:val="none" w:sz="0" w:space="0" w:color="auto"/>
        <w:right w:val="none" w:sz="0" w:space="0" w:color="auto"/>
      </w:divBdr>
    </w:div>
    <w:div w:id="1984043915">
      <w:bodyDiv w:val="1"/>
      <w:marLeft w:val="0"/>
      <w:marRight w:val="0"/>
      <w:marTop w:val="0"/>
      <w:marBottom w:val="0"/>
      <w:divBdr>
        <w:top w:val="none" w:sz="0" w:space="0" w:color="auto"/>
        <w:left w:val="none" w:sz="0" w:space="0" w:color="auto"/>
        <w:bottom w:val="none" w:sz="0" w:space="0" w:color="auto"/>
        <w:right w:val="none" w:sz="0" w:space="0" w:color="auto"/>
      </w:divBdr>
    </w:div>
    <w:div w:id="1985817675">
      <w:bodyDiv w:val="1"/>
      <w:marLeft w:val="0"/>
      <w:marRight w:val="0"/>
      <w:marTop w:val="0"/>
      <w:marBottom w:val="0"/>
      <w:divBdr>
        <w:top w:val="none" w:sz="0" w:space="0" w:color="auto"/>
        <w:left w:val="none" w:sz="0" w:space="0" w:color="auto"/>
        <w:bottom w:val="none" w:sz="0" w:space="0" w:color="auto"/>
        <w:right w:val="none" w:sz="0" w:space="0" w:color="auto"/>
      </w:divBdr>
    </w:div>
    <w:div w:id="1985961801">
      <w:bodyDiv w:val="1"/>
      <w:marLeft w:val="0"/>
      <w:marRight w:val="0"/>
      <w:marTop w:val="0"/>
      <w:marBottom w:val="0"/>
      <w:divBdr>
        <w:top w:val="none" w:sz="0" w:space="0" w:color="auto"/>
        <w:left w:val="none" w:sz="0" w:space="0" w:color="auto"/>
        <w:bottom w:val="none" w:sz="0" w:space="0" w:color="auto"/>
        <w:right w:val="none" w:sz="0" w:space="0" w:color="auto"/>
      </w:divBdr>
    </w:div>
    <w:div w:id="1986157583">
      <w:bodyDiv w:val="1"/>
      <w:marLeft w:val="0"/>
      <w:marRight w:val="0"/>
      <w:marTop w:val="0"/>
      <w:marBottom w:val="0"/>
      <w:divBdr>
        <w:top w:val="none" w:sz="0" w:space="0" w:color="auto"/>
        <w:left w:val="none" w:sz="0" w:space="0" w:color="auto"/>
        <w:bottom w:val="none" w:sz="0" w:space="0" w:color="auto"/>
        <w:right w:val="none" w:sz="0" w:space="0" w:color="auto"/>
      </w:divBdr>
    </w:div>
    <w:div w:id="1986736609">
      <w:bodyDiv w:val="1"/>
      <w:marLeft w:val="0"/>
      <w:marRight w:val="0"/>
      <w:marTop w:val="0"/>
      <w:marBottom w:val="0"/>
      <w:divBdr>
        <w:top w:val="none" w:sz="0" w:space="0" w:color="auto"/>
        <w:left w:val="none" w:sz="0" w:space="0" w:color="auto"/>
        <w:bottom w:val="none" w:sz="0" w:space="0" w:color="auto"/>
        <w:right w:val="none" w:sz="0" w:space="0" w:color="auto"/>
      </w:divBdr>
    </w:div>
    <w:div w:id="1987121721">
      <w:bodyDiv w:val="1"/>
      <w:marLeft w:val="0"/>
      <w:marRight w:val="0"/>
      <w:marTop w:val="0"/>
      <w:marBottom w:val="0"/>
      <w:divBdr>
        <w:top w:val="none" w:sz="0" w:space="0" w:color="auto"/>
        <w:left w:val="none" w:sz="0" w:space="0" w:color="auto"/>
        <w:bottom w:val="none" w:sz="0" w:space="0" w:color="auto"/>
        <w:right w:val="none" w:sz="0" w:space="0" w:color="auto"/>
      </w:divBdr>
    </w:div>
    <w:div w:id="1987665074">
      <w:bodyDiv w:val="1"/>
      <w:marLeft w:val="0"/>
      <w:marRight w:val="0"/>
      <w:marTop w:val="0"/>
      <w:marBottom w:val="0"/>
      <w:divBdr>
        <w:top w:val="none" w:sz="0" w:space="0" w:color="auto"/>
        <w:left w:val="none" w:sz="0" w:space="0" w:color="auto"/>
        <w:bottom w:val="none" w:sz="0" w:space="0" w:color="auto"/>
        <w:right w:val="none" w:sz="0" w:space="0" w:color="auto"/>
      </w:divBdr>
    </w:div>
    <w:div w:id="1989704967">
      <w:bodyDiv w:val="1"/>
      <w:marLeft w:val="0"/>
      <w:marRight w:val="0"/>
      <w:marTop w:val="0"/>
      <w:marBottom w:val="0"/>
      <w:divBdr>
        <w:top w:val="none" w:sz="0" w:space="0" w:color="auto"/>
        <w:left w:val="none" w:sz="0" w:space="0" w:color="auto"/>
        <w:bottom w:val="none" w:sz="0" w:space="0" w:color="auto"/>
        <w:right w:val="none" w:sz="0" w:space="0" w:color="auto"/>
      </w:divBdr>
    </w:div>
    <w:div w:id="1990093062">
      <w:bodyDiv w:val="1"/>
      <w:marLeft w:val="0"/>
      <w:marRight w:val="0"/>
      <w:marTop w:val="0"/>
      <w:marBottom w:val="0"/>
      <w:divBdr>
        <w:top w:val="none" w:sz="0" w:space="0" w:color="auto"/>
        <w:left w:val="none" w:sz="0" w:space="0" w:color="auto"/>
        <w:bottom w:val="none" w:sz="0" w:space="0" w:color="auto"/>
        <w:right w:val="none" w:sz="0" w:space="0" w:color="auto"/>
      </w:divBdr>
    </w:div>
    <w:div w:id="1991397727">
      <w:bodyDiv w:val="1"/>
      <w:marLeft w:val="0"/>
      <w:marRight w:val="0"/>
      <w:marTop w:val="0"/>
      <w:marBottom w:val="0"/>
      <w:divBdr>
        <w:top w:val="none" w:sz="0" w:space="0" w:color="auto"/>
        <w:left w:val="none" w:sz="0" w:space="0" w:color="auto"/>
        <w:bottom w:val="none" w:sz="0" w:space="0" w:color="auto"/>
        <w:right w:val="none" w:sz="0" w:space="0" w:color="auto"/>
      </w:divBdr>
    </w:div>
    <w:div w:id="1991444728">
      <w:bodyDiv w:val="1"/>
      <w:marLeft w:val="0"/>
      <w:marRight w:val="0"/>
      <w:marTop w:val="0"/>
      <w:marBottom w:val="0"/>
      <w:divBdr>
        <w:top w:val="none" w:sz="0" w:space="0" w:color="auto"/>
        <w:left w:val="none" w:sz="0" w:space="0" w:color="auto"/>
        <w:bottom w:val="none" w:sz="0" w:space="0" w:color="auto"/>
        <w:right w:val="none" w:sz="0" w:space="0" w:color="auto"/>
      </w:divBdr>
    </w:div>
    <w:div w:id="1992520668">
      <w:bodyDiv w:val="1"/>
      <w:marLeft w:val="0"/>
      <w:marRight w:val="0"/>
      <w:marTop w:val="0"/>
      <w:marBottom w:val="0"/>
      <w:divBdr>
        <w:top w:val="none" w:sz="0" w:space="0" w:color="auto"/>
        <w:left w:val="none" w:sz="0" w:space="0" w:color="auto"/>
        <w:bottom w:val="none" w:sz="0" w:space="0" w:color="auto"/>
        <w:right w:val="none" w:sz="0" w:space="0" w:color="auto"/>
      </w:divBdr>
    </w:div>
    <w:div w:id="1993632981">
      <w:bodyDiv w:val="1"/>
      <w:marLeft w:val="0"/>
      <w:marRight w:val="0"/>
      <w:marTop w:val="0"/>
      <w:marBottom w:val="0"/>
      <w:divBdr>
        <w:top w:val="none" w:sz="0" w:space="0" w:color="auto"/>
        <w:left w:val="none" w:sz="0" w:space="0" w:color="auto"/>
        <w:bottom w:val="none" w:sz="0" w:space="0" w:color="auto"/>
        <w:right w:val="none" w:sz="0" w:space="0" w:color="auto"/>
      </w:divBdr>
    </w:div>
    <w:div w:id="1993755433">
      <w:bodyDiv w:val="1"/>
      <w:marLeft w:val="0"/>
      <w:marRight w:val="0"/>
      <w:marTop w:val="0"/>
      <w:marBottom w:val="0"/>
      <w:divBdr>
        <w:top w:val="none" w:sz="0" w:space="0" w:color="auto"/>
        <w:left w:val="none" w:sz="0" w:space="0" w:color="auto"/>
        <w:bottom w:val="none" w:sz="0" w:space="0" w:color="auto"/>
        <w:right w:val="none" w:sz="0" w:space="0" w:color="auto"/>
      </w:divBdr>
    </w:div>
    <w:div w:id="1995180287">
      <w:bodyDiv w:val="1"/>
      <w:marLeft w:val="0"/>
      <w:marRight w:val="0"/>
      <w:marTop w:val="0"/>
      <w:marBottom w:val="0"/>
      <w:divBdr>
        <w:top w:val="none" w:sz="0" w:space="0" w:color="auto"/>
        <w:left w:val="none" w:sz="0" w:space="0" w:color="auto"/>
        <w:bottom w:val="none" w:sz="0" w:space="0" w:color="auto"/>
        <w:right w:val="none" w:sz="0" w:space="0" w:color="auto"/>
      </w:divBdr>
    </w:div>
    <w:div w:id="1995258031">
      <w:bodyDiv w:val="1"/>
      <w:marLeft w:val="0"/>
      <w:marRight w:val="0"/>
      <w:marTop w:val="0"/>
      <w:marBottom w:val="0"/>
      <w:divBdr>
        <w:top w:val="none" w:sz="0" w:space="0" w:color="auto"/>
        <w:left w:val="none" w:sz="0" w:space="0" w:color="auto"/>
        <w:bottom w:val="none" w:sz="0" w:space="0" w:color="auto"/>
        <w:right w:val="none" w:sz="0" w:space="0" w:color="auto"/>
      </w:divBdr>
    </w:div>
    <w:div w:id="1995714595">
      <w:bodyDiv w:val="1"/>
      <w:marLeft w:val="0"/>
      <w:marRight w:val="0"/>
      <w:marTop w:val="0"/>
      <w:marBottom w:val="0"/>
      <w:divBdr>
        <w:top w:val="none" w:sz="0" w:space="0" w:color="auto"/>
        <w:left w:val="none" w:sz="0" w:space="0" w:color="auto"/>
        <w:bottom w:val="none" w:sz="0" w:space="0" w:color="auto"/>
        <w:right w:val="none" w:sz="0" w:space="0" w:color="auto"/>
      </w:divBdr>
    </w:div>
    <w:div w:id="1997219460">
      <w:bodyDiv w:val="1"/>
      <w:marLeft w:val="0"/>
      <w:marRight w:val="0"/>
      <w:marTop w:val="0"/>
      <w:marBottom w:val="0"/>
      <w:divBdr>
        <w:top w:val="none" w:sz="0" w:space="0" w:color="auto"/>
        <w:left w:val="none" w:sz="0" w:space="0" w:color="auto"/>
        <w:bottom w:val="none" w:sz="0" w:space="0" w:color="auto"/>
        <w:right w:val="none" w:sz="0" w:space="0" w:color="auto"/>
      </w:divBdr>
    </w:div>
    <w:div w:id="1998877822">
      <w:bodyDiv w:val="1"/>
      <w:marLeft w:val="0"/>
      <w:marRight w:val="0"/>
      <w:marTop w:val="0"/>
      <w:marBottom w:val="0"/>
      <w:divBdr>
        <w:top w:val="none" w:sz="0" w:space="0" w:color="auto"/>
        <w:left w:val="none" w:sz="0" w:space="0" w:color="auto"/>
        <w:bottom w:val="none" w:sz="0" w:space="0" w:color="auto"/>
        <w:right w:val="none" w:sz="0" w:space="0" w:color="auto"/>
      </w:divBdr>
    </w:div>
    <w:div w:id="1998878465">
      <w:bodyDiv w:val="1"/>
      <w:marLeft w:val="0"/>
      <w:marRight w:val="0"/>
      <w:marTop w:val="0"/>
      <w:marBottom w:val="0"/>
      <w:divBdr>
        <w:top w:val="none" w:sz="0" w:space="0" w:color="auto"/>
        <w:left w:val="none" w:sz="0" w:space="0" w:color="auto"/>
        <w:bottom w:val="none" w:sz="0" w:space="0" w:color="auto"/>
        <w:right w:val="none" w:sz="0" w:space="0" w:color="auto"/>
      </w:divBdr>
    </w:div>
    <w:div w:id="2001736518">
      <w:bodyDiv w:val="1"/>
      <w:marLeft w:val="0"/>
      <w:marRight w:val="0"/>
      <w:marTop w:val="0"/>
      <w:marBottom w:val="0"/>
      <w:divBdr>
        <w:top w:val="none" w:sz="0" w:space="0" w:color="auto"/>
        <w:left w:val="none" w:sz="0" w:space="0" w:color="auto"/>
        <w:bottom w:val="none" w:sz="0" w:space="0" w:color="auto"/>
        <w:right w:val="none" w:sz="0" w:space="0" w:color="auto"/>
      </w:divBdr>
    </w:div>
    <w:div w:id="2001960148">
      <w:bodyDiv w:val="1"/>
      <w:marLeft w:val="0"/>
      <w:marRight w:val="0"/>
      <w:marTop w:val="0"/>
      <w:marBottom w:val="0"/>
      <w:divBdr>
        <w:top w:val="none" w:sz="0" w:space="0" w:color="auto"/>
        <w:left w:val="none" w:sz="0" w:space="0" w:color="auto"/>
        <w:bottom w:val="none" w:sz="0" w:space="0" w:color="auto"/>
        <w:right w:val="none" w:sz="0" w:space="0" w:color="auto"/>
      </w:divBdr>
    </w:div>
    <w:div w:id="2002852937">
      <w:bodyDiv w:val="1"/>
      <w:marLeft w:val="0"/>
      <w:marRight w:val="0"/>
      <w:marTop w:val="0"/>
      <w:marBottom w:val="0"/>
      <w:divBdr>
        <w:top w:val="none" w:sz="0" w:space="0" w:color="auto"/>
        <w:left w:val="none" w:sz="0" w:space="0" w:color="auto"/>
        <w:bottom w:val="none" w:sz="0" w:space="0" w:color="auto"/>
        <w:right w:val="none" w:sz="0" w:space="0" w:color="auto"/>
      </w:divBdr>
    </w:div>
    <w:div w:id="2003309724">
      <w:bodyDiv w:val="1"/>
      <w:marLeft w:val="0"/>
      <w:marRight w:val="0"/>
      <w:marTop w:val="0"/>
      <w:marBottom w:val="0"/>
      <w:divBdr>
        <w:top w:val="none" w:sz="0" w:space="0" w:color="auto"/>
        <w:left w:val="none" w:sz="0" w:space="0" w:color="auto"/>
        <w:bottom w:val="none" w:sz="0" w:space="0" w:color="auto"/>
        <w:right w:val="none" w:sz="0" w:space="0" w:color="auto"/>
      </w:divBdr>
    </w:div>
    <w:div w:id="2003582446">
      <w:bodyDiv w:val="1"/>
      <w:marLeft w:val="0"/>
      <w:marRight w:val="0"/>
      <w:marTop w:val="0"/>
      <w:marBottom w:val="0"/>
      <w:divBdr>
        <w:top w:val="none" w:sz="0" w:space="0" w:color="auto"/>
        <w:left w:val="none" w:sz="0" w:space="0" w:color="auto"/>
        <w:bottom w:val="none" w:sz="0" w:space="0" w:color="auto"/>
        <w:right w:val="none" w:sz="0" w:space="0" w:color="auto"/>
      </w:divBdr>
    </w:div>
    <w:div w:id="2004317226">
      <w:bodyDiv w:val="1"/>
      <w:marLeft w:val="0"/>
      <w:marRight w:val="0"/>
      <w:marTop w:val="0"/>
      <w:marBottom w:val="0"/>
      <w:divBdr>
        <w:top w:val="none" w:sz="0" w:space="0" w:color="auto"/>
        <w:left w:val="none" w:sz="0" w:space="0" w:color="auto"/>
        <w:bottom w:val="none" w:sz="0" w:space="0" w:color="auto"/>
        <w:right w:val="none" w:sz="0" w:space="0" w:color="auto"/>
      </w:divBdr>
    </w:div>
    <w:div w:id="2005739923">
      <w:bodyDiv w:val="1"/>
      <w:marLeft w:val="0"/>
      <w:marRight w:val="0"/>
      <w:marTop w:val="0"/>
      <w:marBottom w:val="0"/>
      <w:divBdr>
        <w:top w:val="none" w:sz="0" w:space="0" w:color="auto"/>
        <w:left w:val="none" w:sz="0" w:space="0" w:color="auto"/>
        <w:bottom w:val="none" w:sz="0" w:space="0" w:color="auto"/>
        <w:right w:val="none" w:sz="0" w:space="0" w:color="auto"/>
      </w:divBdr>
    </w:div>
    <w:div w:id="2006547114">
      <w:bodyDiv w:val="1"/>
      <w:marLeft w:val="0"/>
      <w:marRight w:val="0"/>
      <w:marTop w:val="0"/>
      <w:marBottom w:val="0"/>
      <w:divBdr>
        <w:top w:val="none" w:sz="0" w:space="0" w:color="auto"/>
        <w:left w:val="none" w:sz="0" w:space="0" w:color="auto"/>
        <w:bottom w:val="none" w:sz="0" w:space="0" w:color="auto"/>
        <w:right w:val="none" w:sz="0" w:space="0" w:color="auto"/>
      </w:divBdr>
    </w:div>
    <w:div w:id="2009093557">
      <w:bodyDiv w:val="1"/>
      <w:marLeft w:val="0"/>
      <w:marRight w:val="0"/>
      <w:marTop w:val="0"/>
      <w:marBottom w:val="0"/>
      <w:divBdr>
        <w:top w:val="none" w:sz="0" w:space="0" w:color="auto"/>
        <w:left w:val="none" w:sz="0" w:space="0" w:color="auto"/>
        <w:bottom w:val="none" w:sz="0" w:space="0" w:color="auto"/>
        <w:right w:val="none" w:sz="0" w:space="0" w:color="auto"/>
      </w:divBdr>
    </w:div>
    <w:div w:id="2009600053">
      <w:bodyDiv w:val="1"/>
      <w:marLeft w:val="0"/>
      <w:marRight w:val="0"/>
      <w:marTop w:val="0"/>
      <w:marBottom w:val="0"/>
      <w:divBdr>
        <w:top w:val="none" w:sz="0" w:space="0" w:color="auto"/>
        <w:left w:val="none" w:sz="0" w:space="0" w:color="auto"/>
        <w:bottom w:val="none" w:sz="0" w:space="0" w:color="auto"/>
        <w:right w:val="none" w:sz="0" w:space="0" w:color="auto"/>
      </w:divBdr>
    </w:div>
    <w:div w:id="2011637969">
      <w:bodyDiv w:val="1"/>
      <w:marLeft w:val="0"/>
      <w:marRight w:val="0"/>
      <w:marTop w:val="0"/>
      <w:marBottom w:val="0"/>
      <w:divBdr>
        <w:top w:val="none" w:sz="0" w:space="0" w:color="auto"/>
        <w:left w:val="none" w:sz="0" w:space="0" w:color="auto"/>
        <w:bottom w:val="none" w:sz="0" w:space="0" w:color="auto"/>
        <w:right w:val="none" w:sz="0" w:space="0" w:color="auto"/>
      </w:divBdr>
    </w:div>
    <w:div w:id="2012103368">
      <w:bodyDiv w:val="1"/>
      <w:marLeft w:val="0"/>
      <w:marRight w:val="0"/>
      <w:marTop w:val="0"/>
      <w:marBottom w:val="0"/>
      <w:divBdr>
        <w:top w:val="none" w:sz="0" w:space="0" w:color="auto"/>
        <w:left w:val="none" w:sz="0" w:space="0" w:color="auto"/>
        <w:bottom w:val="none" w:sz="0" w:space="0" w:color="auto"/>
        <w:right w:val="none" w:sz="0" w:space="0" w:color="auto"/>
      </w:divBdr>
    </w:div>
    <w:div w:id="2013793972">
      <w:bodyDiv w:val="1"/>
      <w:marLeft w:val="0"/>
      <w:marRight w:val="0"/>
      <w:marTop w:val="0"/>
      <w:marBottom w:val="0"/>
      <w:divBdr>
        <w:top w:val="none" w:sz="0" w:space="0" w:color="auto"/>
        <w:left w:val="none" w:sz="0" w:space="0" w:color="auto"/>
        <w:bottom w:val="none" w:sz="0" w:space="0" w:color="auto"/>
        <w:right w:val="none" w:sz="0" w:space="0" w:color="auto"/>
      </w:divBdr>
    </w:div>
    <w:div w:id="2014453701">
      <w:bodyDiv w:val="1"/>
      <w:marLeft w:val="0"/>
      <w:marRight w:val="0"/>
      <w:marTop w:val="0"/>
      <w:marBottom w:val="0"/>
      <w:divBdr>
        <w:top w:val="none" w:sz="0" w:space="0" w:color="auto"/>
        <w:left w:val="none" w:sz="0" w:space="0" w:color="auto"/>
        <w:bottom w:val="none" w:sz="0" w:space="0" w:color="auto"/>
        <w:right w:val="none" w:sz="0" w:space="0" w:color="auto"/>
      </w:divBdr>
    </w:div>
    <w:div w:id="2014916869">
      <w:bodyDiv w:val="1"/>
      <w:marLeft w:val="0"/>
      <w:marRight w:val="0"/>
      <w:marTop w:val="0"/>
      <w:marBottom w:val="0"/>
      <w:divBdr>
        <w:top w:val="none" w:sz="0" w:space="0" w:color="auto"/>
        <w:left w:val="none" w:sz="0" w:space="0" w:color="auto"/>
        <w:bottom w:val="none" w:sz="0" w:space="0" w:color="auto"/>
        <w:right w:val="none" w:sz="0" w:space="0" w:color="auto"/>
      </w:divBdr>
    </w:div>
    <w:div w:id="2015565419">
      <w:bodyDiv w:val="1"/>
      <w:marLeft w:val="0"/>
      <w:marRight w:val="0"/>
      <w:marTop w:val="0"/>
      <w:marBottom w:val="0"/>
      <w:divBdr>
        <w:top w:val="none" w:sz="0" w:space="0" w:color="auto"/>
        <w:left w:val="none" w:sz="0" w:space="0" w:color="auto"/>
        <w:bottom w:val="none" w:sz="0" w:space="0" w:color="auto"/>
        <w:right w:val="none" w:sz="0" w:space="0" w:color="auto"/>
      </w:divBdr>
    </w:div>
    <w:div w:id="2016878485">
      <w:bodyDiv w:val="1"/>
      <w:marLeft w:val="0"/>
      <w:marRight w:val="0"/>
      <w:marTop w:val="0"/>
      <w:marBottom w:val="0"/>
      <w:divBdr>
        <w:top w:val="none" w:sz="0" w:space="0" w:color="auto"/>
        <w:left w:val="none" w:sz="0" w:space="0" w:color="auto"/>
        <w:bottom w:val="none" w:sz="0" w:space="0" w:color="auto"/>
        <w:right w:val="none" w:sz="0" w:space="0" w:color="auto"/>
      </w:divBdr>
    </w:div>
    <w:div w:id="2016960581">
      <w:bodyDiv w:val="1"/>
      <w:marLeft w:val="0"/>
      <w:marRight w:val="0"/>
      <w:marTop w:val="0"/>
      <w:marBottom w:val="0"/>
      <w:divBdr>
        <w:top w:val="none" w:sz="0" w:space="0" w:color="auto"/>
        <w:left w:val="none" w:sz="0" w:space="0" w:color="auto"/>
        <w:bottom w:val="none" w:sz="0" w:space="0" w:color="auto"/>
        <w:right w:val="none" w:sz="0" w:space="0" w:color="auto"/>
      </w:divBdr>
    </w:div>
    <w:div w:id="2017615474">
      <w:bodyDiv w:val="1"/>
      <w:marLeft w:val="0"/>
      <w:marRight w:val="0"/>
      <w:marTop w:val="0"/>
      <w:marBottom w:val="0"/>
      <w:divBdr>
        <w:top w:val="none" w:sz="0" w:space="0" w:color="auto"/>
        <w:left w:val="none" w:sz="0" w:space="0" w:color="auto"/>
        <w:bottom w:val="none" w:sz="0" w:space="0" w:color="auto"/>
        <w:right w:val="none" w:sz="0" w:space="0" w:color="auto"/>
      </w:divBdr>
    </w:div>
    <w:div w:id="2017804481">
      <w:bodyDiv w:val="1"/>
      <w:marLeft w:val="0"/>
      <w:marRight w:val="0"/>
      <w:marTop w:val="0"/>
      <w:marBottom w:val="0"/>
      <w:divBdr>
        <w:top w:val="none" w:sz="0" w:space="0" w:color="auto"/>
        <w:left w:val="none" w:sz="0" w:space="0" w:color="auto"/>
        <w:bottom w:val="none" w:sz="0" w:space="0" w:color="auto"/>
        <w:right w:val="none" w:sz="0" w:space="0" w:color="auto"/>
      </w:divBdr>
    </w:div>
    <w:div w:id="2018188823">
      <w:bodyDiv w:val="1"/>
      <w:marLeft w:val="0"/>
      <w:marRight w:val="0"/>
      <w:marTop w:val="0"/>
      <w:marBottom w:val="0"/>
      <w:divBdr>
        <w:top w:val="none" w:sz="0" w:space="0" w:color="auto"/>
        <w:left w:val="none" w:sz="0" w:space="0" w:color="auto"/>
        <w:bottom w:val="none" w:sz="0" w:space="0" w:color="auto"/>
        <w:right w:val="none" w:sz="0" w:space="0" w:color="auto"/>
      </w:divBdr>
    </w:div>
    <w:div w:id="2018458790">
      <w:bodyDiv w:val="1"/>
      <w:marLeft w:val="0"/>
      <w:marRight w:val="0"/>
      <w:marTop w:val="0"/>
      <w:marBottom w:val="0"/>
      <w:divBdr>
        <w:top w:val="none" w:sz="0" w:space="0" w:color="auto"/>
        <w:left w:val="none" w:sz="0" w:space="0" w:color="auto"/>
        <w:bottom w:val="none" w:sz="0" w:space="0" w:color="auto"/>
        <w:right w:val="none" w:sz="0" w:space="0" w:color="auto"/>
      </w:divBdr>
    </w:div>
    <w:div w:id="2018921958">
      <w:bodyDiv w:val="1"/>
      <w:marLeft w:val="0"/>
      <w:marRight w:val="0"/>
      <w:marTop w:val="0"/>
      <w:marBottom w:val="0"/>
      <w:divBdr>
        <w:top w:val="none" w:sz="0" w:space="0" w:color="auto"/>
        <w:left w:val="none" w:sz="0" w:space="0" w:color="auto"/>
        <w:bottom w:val="none" w:sz="0" w:space="0" w:color="auto"/>
        <w:right w:val="none" w:sz="0" w:space="0" w:color="auto"/>
      </w:divBdr>
    </w:div>
    <w:div w:id="2019765977">
      <w:bodyDiv w:val="1"/>
      <w:marLeft w:val="0"/>
      <w:marRight w:val="0"/>
      <w:marTop w:val="0"/>
      <w:marBottom w:val="0"/>
      <w:divBdr>
        <w:top w:val="none" w:sz="0" w:space="0" w:color="auto"/>
        <w:left w:val="none" w:sz="0" w:space="0" w:color="auto"/>
        <w:bottom w:val="none" w:sz="0" w:space="0" w:color="auto"/>
        <w:right w:val="none" w:sz="0" w:space="0" w:color="auto"/>
      </w:divBdr>
    </w:div>
    <w:div w:id="2020546562">
      <w:bodyDiv w:val="1"/>
      <w:marLeft w:val="0"/>
      <w:marRight w:val="0"/>
      <w:marTop w:val="0"/>
      <w:marBottom w:val="0"/>
      <w:divBdr>
        <w:top w:val="none" w:sz="0" w:space="0" w:color="auto"/>
        <w:left w:val="none" w:sz="0" w:space="0" w:color="auto"/>
        <w:bottom w:val="none" w:sz="0" w:space="0" w:color="auto"/>
        <w:right w:val="none" w:sz="0" w:space="0" w:color="auto"/>
      </w:divBdr>
    </w:div>
    <w:div w:id="2020884965">
      <w:bodyDiv w:val="1"/>
      <w:marLeft w:val="0"/>
      <w:marRight w:val="0"/>
      <w:marTop w:val="0"/>
      <w:marBottom w:val="0"/>
      <w:divBdr>
        <w:top w:val="none" w:sz="0" w:space="0" w:color="auto"/>
        <w:left w:val="none" w:sz="0" w:space="0" w:color="auto"/>
        <w:bottom w:val="none" w:sz="0" w:space="0" w:color="auto"/>
        <w:right w:val="none" w:sz="0" w:space="0" w:color="auto"/>
      </w:divBdr>
    </w:div>
    <w:div w:id="2022510525">
      <w:bodyDiv w:val="1"/>
      <w:marLeft w:val="0"/>
      <w:marRight w:val="0"/>
      <w:marTop w:val="0"/>
      <w:marBottom w:val="0"/>
      <w:divBdr>
        <w:top w:val="none" w:sz="0" w:space="0" w:color="auto"/>
        <w:left w:val="none" w:sz="0" w:space="0" w:color="auto"/>
        <w:bottom w:val="none" w:sz="0" w:space="0" w:color="auto"/>
        <w:right w:val="none" w:sz="0" w:space="0" w:color="auto"/>
      </w:divBdr>
    </w:div>
    <w:div w:id="2022588983">
      <w:bodyDiv w:val="1"/>
      <w:marLeft w:val="0"/>
      <w:marRight w:val="0"/>
      <w:marTop w:val="0"/>
      <w:marBottom w:val="0"/>
      <w:divBdr>
        <w:top w:val="none" w:sz="0" w:space="0" w:color="auto"/>
        <w:left w:val="none" w:sz="0" w:space="0" w:color="auto"/>
        <w:bottom w:val="none" w:sz="0" w:space="0" w:color="auto"/>
        <w:right w:val="none" w:sz="0" w:space="0" w:color="auto"/>
      </w:divBdr>
    </w:div>
    <w:div w:id="2023966197">
      <w:bodyDiv w:val="1"/>
      <w:marLeft w:val="0"/>
      <w:marRight w:val="0"/>
      <w:marTop w:val="0"/>
      <w:marBottom w:val="0"/>
      <w:divBdr>
        <w:top w:val="none" w:sz="0" w:space="0" w:color="auto"/>
        <w:left w:val="none" w:sz="0" w:space="0" w:color="auto"/>
        <w:bottom w:val="none" w:sz="0" w:space="0" w:color="auto"/>
        <w:right w:val="none" w:sz="0" w:space="0" w:color="auto"/>
      </w:divBdr>
    </w:div>
    <w:div w:id="2025591852">
      <w:bodyDiv w:val="1"/>
      <w:marLeft w:val="0"/>
      <w:marRight w:val="0"/>
      <w:marTop w:val="0"/>
      <w:marBottom w:val="0"/>
      <w:divBdr>
        <w:top w:val="none" w:sz="0" w:space="0" w:color="auto"/>
        <w:left w:val="none" w:sz="0" w:space="0" w:color="auto"/>
        <w:bottom w:val="none" w:sz="0" w:space="0" w:color="auto"/>
        <w:right w:val="none" w:sz="0" w:space="0" w:color="auto"/>
      </w:divBdr>
    </w:div>
    <w:div w:id="2027053630">
      <w:bodyDiv w:val="1"/>
      <w:marLeft w:val="0"/>
      <w:marRight w:val="0"/>
      <w:marTop w:val="0"/>
      <w:marBottom w:val="0"/>
      <w:divBdr>
        <w:top w:val="none" w:sz="0" w:space="0" w:color="auto"/>
        <w:left w:val="none" w:sz="0" w:space="0" w:color="auto"/>
        <w:bottom w:val="none" w:sz="0" w:space="0" w:color="auto"/>
        <w:right w:val="none" w:sz="0" w:space="0" w:color="auto"/>
      </w:divBdr>
    </w:div>
    <w:div w:id="2027361205">
      <w:bodyDiv w:val="1"/>
      <w:marLeft w:val="0"/>
      <w:marRight w:val="0"/>
      <w:marTop w:val="0"/>
      <w:marBottom w:val="0"/>
      <w:divBdr>
        <w:top w:val="none" w:sz="0" w:space="0" w:color="auto"/>
        <w:left w:val="none" w:sz="0" w:space="0" w:color="auto"/>
        <w:bottom w:val="none" w:sz="0" w:space="0" w:color="auto"/>
        <w:right w:val="none" w:sz="0" w:space="0" w:color="auto"/>
      </w:divBdr>
    </w:div>
    <w:div w:id="2028487105">
      <w:bodyDiv w:val="1"/>
      <w:marLeft w:val="0"/>
      <w:marRight w:val="0"/>
      <w:marTop w:val="0"/>
      <w:marBottom w:val="0"/>
      <w:divBdr>
        <w:top w:val="none" w:sz="0" w:space="0" w:color="auto"/>
        <w:left w:val="none" w:sz="0" w:space="0" w:color="auto"/>
        <w:bottom w:val="none" w:sz="0" w:space="0" w:color="auto"/>
        <w:right w:val="none" w:sz="0" w:space="0" w:color="auto"/>
      </w:divBdr>
    </w:div>
    <w:div w:id="2028601813">
      <w:bodyDiv w:val="1"/>
      <w:marLeft w:val="0"/>
      <w:marRight w:val="0"/>
      <w:marTop w:val="0"/>
      <w:marBottom w:val="0"/>
      <w:divBdr>
        <w:top w:val="none" w:sz="0" w:space="0" w:color="auto"/>
        <w:left w:val="none" w:sz="0" w:space="0" w:color="auto"/>
        <w:bottom w:val="none" w:sz="0" w:space="0" w:color="auto"/>
        <w:right w:val="none" w:sz="0" w:space="0" w:color="auto"/>
      </w:divBdr>
    </w:div>
    <w:div w:id="2028628996">
      <w:bodyDiv w:val="1"/>
      <w:marLeft w:val="0"/>
      <w:marRight w:val="0"/>
      <w:marTop w:val="0"/>
      <w:marBottom w:val="0"/>
      <w:divBdr>
        <w:top w:val="none" w:sz="0" w:space="0" w:color="auto"/>
        <w:left w:val="none" w:sz="0" w:space="0" w:color="auto"/>
        <w:bottom w:val="none" w:sz="0" w:space="0" w:color="auto"/>
        <w:right w:val="none" w:sz="0" w:space="0" w:color="auto"/>
      </w:divBdr>
    </w:div>
    <w:div w:id="2029525850">
      <w:bodyDiv w:val="1"/>
      <w:marLeft w:val="0"/>
      <w:marRight w:val="0"/>
      <w:marTop w:val="0"/>
      <w:marBottom w:val="0"/>
      <w:divBdr>
        <w:top w:val="none" w:sz="0" w:space="0" w:color="auto"/>
        <w:left w:val="none" w:sz="0" w:space="0" w:color="auto"/>
        <w:bottom w:val="none" w:sz="0" w:space="0" w:color="auto"/>
        <w:right w:val="none" w:sz="0" w:space="0" w:color="auto"/>
      </w:divBdr>
    </w:div>
    <w:div w:id="2031173791">
      <w:bodyDiv w:val="1"/>
      <w:marLeft w:val="0"/>
      <w:marRight w:val="0"/>
      <w:marTop w:val="0"/>
      <w:marBottom w:val="0"/>
      <w:divBdr>
        <w:top w:val="none" w:sz="0" w:space="0" w:color="auto"/>
        <w:left w:val="none" w:sz="0" w:space="0" w:color="auto"/>
        <w:bottom w:val="none" w:sz="0" w:space="0" w:color="auto"/>
        <w:right w:val="none" w:sz="0" w:space="0" w:color="auto"/>
      </w:divBdr>
    </w:div>
    <w:div w:id="2031369722">
      <w:bodyDiv w:val="1"/>
      <w:marLeft w:val="0"/>
      <w:marRight w:val="0"/>
      <w:marTop w:val="0"/>
      <w:marBottom w:val="0"/>
      <w:divBdr>
        <w:top w:val="none" w:sz="0" w:space="0" w:color="auto"/>
        <w:left w:val="none" w:sz="0" w:space="0" w:color="auto"/>
        <w:bottom w:val="none" w:sz="0" w:space="0" w:color="auto"/>
        <w:right w:val="none" w:sz="0" w:space="0" w:color="auto"/>
      </w:divBdr>
    </w:div>
    <w:div w:id="2031370952">
      <w:bodyDiv w:val="1"/>
      <w:marLeft w:val="0"/>
      <w:marRight w:val="0"/>
      <w:marTop w:val="0"/>
      <w:marBottom w:val="0"/>
      <w:divBdr>
        <w:top w:val="none" w:sz="0" w:space="0" w:color="auto"/>
        <w:left w:val="none" w:sz="0" w:space="0" w:color="auto"/>
        <w:bottom w:val="none" w:sz="0" w:space="0" w:color="auto"/>
        <w:right w:val="none" w:sz="0" w:space="0" w:color="auto"/>
      </w:divBdr>
    </w:div>
    <w:div w:id="2031372619">
      <w:bodyDiv w:val="1"/>
      <w:marLeft w:val="0"/>
      <w:marRight w:val="0"/>
      <w:marTop w:val="0"/>
      <w:marBottom w:val="0"/>
      <w:divBdr>
        <w:top w:val="none" w:sz="0" w:space="0" w:color="auto"/>
        <w:left w:val="none" w:sz="0" w:space="0" w:color="auto"/>
        <w:bottom w:val="none" w:sz="0" w:space="0" w:color="auto"/>
        <w:right w:val="none" w:sz="0" w:space="0" w:color="auto"/>
      </w:divBdr>
    </w:div>
    <w:div w:id="2031836400">
      <w:bodyDiv w:val="1"/>
      <w:marLeft w:val="0"/>
      <w:marRight w:val="0"/>
      <w:marTop w:val="0"/>
      <w:marBottom w:val="0"/>
      <w:divBdr>
        <w:top w:val="none" w:sz="0" w:space="0" w:color="auto"/>
        <w:left w:val="none" w:sz="0" w:space="0" w:color="auto"/>
        <w:bottom w:val="none" w:sz="0" w:space="0" w:color="auto"/>
        <w:right w:val="none" w:sz="0" w:space="0" w:color="auto"/>
      </w:divBdr>
    </w:div>
    <w:div w:id="2034257599">
      <w:bodyDiv w:val="1"/>
      <w:marLeft w:val="0"/>
      <w:marRight w:val="0"/>
      <w:marTop w:val="0"/>
      <w:marBottom w:val="0"/>
      <w:divBdr>
        <w:top w:val="none" w:sz="0" w:space="0" w:color="auto"/>
        <w:left w:val="none" w:sz="0" w:space="0" w:color="auto"/>
        <w:bottom w:val="none" w:sz="0" w:space="0" w:color="auto"/>
        <w:right w:val="none" w:sz="0" w:space="0" w:color="auto"/>
      </w:divBdr>
    </w:div>
    <w:div w:id="2035035238">
      <w:bodyDiv w:val="1"/>
      <w:marLeft w:val="0"/>
      <w:marRight w:val="0"/>
      <w:marTop w:val="0"/>
      <w:marBottom w:val="0"/>
      <w:divBdr>
        <w:top w:val="none" w:sz="0" w:space="0" w:color="auto"/>
        <w:left w:val="none" w:sz="0" w:space="0" w:color="auto"/>
        <w:bottom w:val="none" w:sz="0" w:space="0" w:color="auto"/>
        <w:right w:val="none" w:sz="0" w:space="0" w:color="auto"/>
      </w:divBdr>
    </w:div>
    <w:div w:id="2035574724">
      <w:bodyDiv w:val="1"/>
      <w:marLeft w:val="0"/>
      <w:marRight w:val="0"/>
      <w:marTop w:val="0"/>
      <w:marBottom w:val="0"/>
      <w:divBdr>
        <w:top w:val="none" w:sz="0" w:space="0" w:color="auto"/>
        <w:left w:val="none" w:sz="0" w:space="0" w:color="auto"/>
        <w:bottom w:val="none" w:sz="0" w:space="0" w:color="auto"/>
        <w:right w:val="none" w:sz="0" w:space="0" w:color="auto"/>
      </w:divBdr>
    </w:div>
    <w:div w:id="2035690928">
      <w:bodyDiv w:val="1"/>
      <w:marLeft w:val="0"/>
      <w:marRight w:val="0"/>
      <w:marTop w:val="0"/>
      <w:marBottom w:val="0"/>
      <w:divBdr>
        <w:top w:val="none" w:sz="0" w:space="0" w:color="auto"/>
        <w:left w:val="none" w:sz="0" w:space="0" w:color="auto"/>
        <w:bottom w:val="none" w:sz="0" w:space="0" w:color="auto"/>
        <w:right w:val="none" w:sz="0" w:space="0" w:color="auto"/>
      </w:divBdr>
    </w:div>
    <w:div w:id="2036075595">
      <w:bodyDiv w:val="1"/>
      <w:marLeft w:val="0"/>
      <w:marRight w:val="0"/>
      <w:marTop w:val="0"/>
      <w:marBottom w:val="0"/>
      <w:divBdr>
        <w:top w:val="none" w:sz="0" w:space="0" w:color="auto"/>
        <w:left w:val="none" w:sz="0" w:space="0" w:color="auto"/>
        <w:bottom w:val="none" w:sz="0" w:space="0" w:color="auto"/>
        <w:right w:val="none" w:sz="0" w:space="0" w:color="auto"/>
      </w:divBdr>
    </w:div>
    <w:div w:id="2036422280">
      <w:bodyDiv w:val="1"/>
      <w:marLeft w:val="0"/>
      <w:marRight w:val="0"/>
      <w:marTop w:val="0"/>
      <w:marBottom w:val="0"/>
      <w:divBdr>
        <w:top w:val="none" w:sz="0" w:space="0" w:color="auto"/>
        <w:left w:val="none" w:sz="0" w:space="0" w:color="auto"/>
        <w:bottom w:val="none" w:sz="0" w:space="0" w:color="auto"/>
        <w:right w:val="none" w:sz="0" w:space="0" w:color="auto"/>
      </w:divBdr>
    </w:div>
    <w:div w:id="2036997284">
      <w:bodyDiv w:val="1"/>
      <w:marLeft w:val="0"/>
      <w:marRight w:val="0"/>
      <w:marTop w:val="0"/>
      <w:marBottom w:val="0"/>
      <w:divBdr>
        <w:top w:val="none" w:sz="0" w:space="0" w:color="auto"/>
        <w:left w:val="none" w:sz="0" w:space="0" w:color="auto"/>
        <w:bottom w:val="none" w:sz="0" w:space="0" w:color="auto"/>
        <w:right w:val="none" w:sz="0" w:space="0" w:color="auto"/>
      </w:divBdr>
    </w:div>
    <w:div w:id="2037654562">
      <w:bodyDiv w:val="1"/>
      <w:marLeft w:val="0"/>
      <w:marRight w:val="0"/>
      <w:marTop w:val="0"/>
      <w:marBottom w:val="0"/>
      <w:divBdr>
        <w:top w:val="none" w:sz="0" w:space="0" w:color="auto"/>
        <w:left w:val="none" w:sz="0" w:space="0" w:color="auto"/>
        <w:bottom w:val="none" w:sz="0" w:space="0" w:color="auto"/>
        <w:right w:val="none" w:sz="0" w:space="0" w:color="auto"/>
      </w:divBdr>
    </w:div>
    <w:div w:id="2038239654">
      <w:bodyDiv w:val="1"/>
      <w:marLeft w:val="0"/>
      <w:marRight w:val="0"/>
      <w:marTop w:val="0"/>
      <w:marBottom w:val="0"/>
      <w:divBdr>
        <w:top w:val="none" w:sz="0" w:space="0" w:color="auto"/>
        <w:left w:val="none" w:sz="0" w:space="0" w:color="auto"/>
        <w:bottom w:val="none" w:sz="0" w:space="0" w:color="auto"/>
        <w:right w:val="none" w:sz="0" w:space="0" w:color="auto"/>
      </w:divBdr>
    </w:div>
    <w:div w:id="2038266949">
      <w:bodyDiv w:val="1"/>
      <w:marLeft w:val="0"/>
      <w:marRight w:val="0"/>
      <w:marTop w:val="0"/>
      <w:marBottom w:val="0"/>
      <w:divBdr>
        <w:top w:val="none" w:sz="0" w:space="0" w:color="auto"/>
        <w:left w:val="none" w:sz="0" w:space="0" w:color="auto"/>
        <w:bottom w:val="none" w:sz="0" w:space="0" w:color="auto"/>
        <w:right w:val="none" w:sz="0" w:space="0" w:color="auto"/>
      </w:divBdr>
    </w:div>
    <w:div w:id="2038652337">
      <w:bodyDiv w:val="1"/>
      <w:marLeft w:val="0"/>
      <w:marRight w:val="0"/>
      <w:marTop w:val="0"/>
      <w:marBottom w:val="0"/>
      <w:divBdr>
        <w:top w:val="none" w:sz="0" w:space="0" w:color="auto"/>
        <w:left w:val="none" w:sz="0" w:space="0" w:color="auto"/>
        <w:bottom w:val="none" w:sz="0" w:space="0" w:color="auto"/>
        <w:right w:val="none" w:sz="0" w:space="0" w:color="auto"/>
      </w:divBdr>
    </w:div>
    <w:div w:id="2039159674">
      <w:bodyDiv w:val="1"/>
      <w:marLeft w:val="0"/>
      <w:marRight w:val="0"/>
      <w:marTop w:val="0"/>
      <w:marBottom w:val="0"/>
      <w:divBdr>
        <w:top w:val="none" w:sz="0" w:space="0" w:color="auto"/>
        <w:left w:val="none" w:sz="0" w:space="0" w:color="auto"/>
        <w:bottom w:val="none" w:sz="0" w:space="0" w:color="auto"/>
        <w:right w:val="none" w:sz="0" w:space="0" w:color="auto"/>
      </w:divBdr>
    </w:div>
    <w:div w:id="2039621093">
      <w:bodyDiv w:val="1"/>
      <w:marLeft w:val="0"/>
      <w:marRight w:val="0"/>
      <w:marTop w:val="0"/>
      <w:marBottom w:val="0"/>
      <w:divBdr>
        <w:top w:val="none" w:sz="0" w:space="0" w:color="auto"/>
        <w:left w:val="none" w:sz="0" w:space="0" w:color="auto"/>
        <w:bottom w:val="none" w:sz="0" w:space="0" w:color="auto"/>
        <w:right w:val="none" w:sz="0" w:space="0" w:color="auto"/>
      </w:divBdr>
    </w:div>
    <w:div w:id="2040231002">
      <w:bodyDiv w:val="1"/>
      <w:marLeft w:val="0"/>
      <w:marRight w:val="0"/>
      <w:marTop w:val="0"/>
      <w:marBottom w:val="0"/>
      <w:divBdr>
        <w:top w:val="none" w:sz="0" w:space="0" w:color="auto"/>
        <w:left w:val="none" w:sz="0" w:space="0" w:color="auto"/>
        <w:bottom w:val="none" w:sz="0" w:space="0" w:color="auto"/>
        <w:right w:val="none" w:sz="0" w:space="0" w:color="auto"/>
      </w:divBdr>
    </w:div>
    <w:div w:id="2040277820">
      <w:bodyDiv w:val="1"/>
      <w:marLeft w:val="0"/>
      <w:marRight w:val="0"/>
      <w:marTop w:val="0"/>
      <w:marBottom w:val="0"/>
      <w:divBdr>
        <w:top w:val="none" w:sz="0" w:space="0" w:color="auto"/>
        <w:left w:val="none" w:sz="0" w:space="0" w:color="auto"/>
        <w:bottom w:val="none" w:sz="0" w:space="0" w:color="auto"/>
        <w:right w:val="none" w:sz="0" w:space="0" w:color="auto"/>
      </w:divBdr>
    </w:div>
    <w:div w:id="2043246618">
      <w:bodyDiv w:val="1"/>
      <w:marLeft w:val="0"/>
      <w:marRight w:val="0"/>
      <w:marTop w:val="0"/>
      <w:marBottom w:val="0"/>
      <w:divBdr>
        <w:top w:val="none" w:sz="0" w:space="0" w:color="auto"/>
        <w:left w:val="none" w:sz="0" w:space="0" w:color="auto"/>
        <w:bottom w:val="none" w:sz="0" w:space="0" w:color="auto"/>
        <w:right w:val="none" w:sz="0" w:space="0" w:color="auto"/>
      </w:divBdr>
    </w:div>
    <w:div w:id="2043944576">
      <w:bodyDiv w:val="1"/>
      <w:marLeft w:val="0"/>
      <w:marRight w:val="0"/>
      <w:marTop w:val="0"/>
      <w:marBottom w:val="0"/>
      <w:divBdr>
        <w:top w:val="none" w:sz="0" w:space="0" w:color="auto"/>
        <w:left w:val="none" w:sz="0" w:space="0" w:color="auto"/>
        <w:bottom w:val="none" w:sz="0" w:space="0" w:color="auto"/>
        <w:right w:val="none" w:sz="0" w:space="0" w:color="auto"/>
      </w:divBdr>
    </w:div>
    <w:div w:id="2044208567">
      <w:bodyDiv w:val="1"/>
      <w:marLeft w:val="0"/>
      <w:marRight w:val="0"/>
      <w:marTop w:val="0"/>
      <w:marBottom w:val="0"/>
      <w:divBdr>
        <w:top w:val="none" w:sz="0" w:space="0" w:color="auto"/>
        <w:left w:val="none" w:sz="0" w:space="0" w:color="auto"/>
        <w:bottom w:val="none" w:sz="0" w:space="0" w:color="auto"/>
        <w:right w:val="none" w:sz="0" w:space="0" w:color="auto"/>
      </w:divBdr>
    </w:div>
    <w:div w:id="2044548698">
      <w:bodyDiv w:val="1"/>
      <w:marLeft w:val="0"/>
      <w:marRight w:val="0"/>
      <w:marTop w:val="0"/>
      <w:marBottom w:val="0"/>
      <w:divBdr>
        <w:top w:val="none" w:sz="0" w:space="0" w:color="auto"/>
        <w:left w:val="none" w:sz="0" w:space="0" w:color="auto"/>
        <w:bottom w:val="none" w:sz="0" w:space="0" w:color="auto"/>
        <w:right w:val="none" w:sz="0" w:space="0" w:color="auto"/>
      </w:divBdr>
    </w:div>
    <w:div w:id="2045210090">
      <w:bodyDiv w:val="1"/>
      <w:marLeft w:val="0"/>
      <w:marRight w:val="0"/>
      <w:marTop w:val="0"/>
      <w:marBottom w:val="0"/>
      <w:divBdr>
        <w:top w:val="none" w:sz="0" w:space="0" w:color="auto"/>
        <w:left w:val="none" w:sz="0" w:space="0" w:color="auto"/>
        <w:bottom w:val="none" w:sz="0" w:space="0" w:color="auto"/>
        <w:right w:val="none" w:sz="0" w:space="0" w:color="auto"/>
      </w:divBdr>
    </w:div>
    <w:div w:id="2045592986">
      <w:bodyDiv w:val="1"/>
      <w:marLeft w:val="0"/>
      <w:marRight w:val="0"/>
      <w:marTop w:val="0"/>
      <w:marBottom w:val="0"/>
      <w:divBdr>
        <w:top w:val="none" w:sz="0" w:space="0" w:color="auto"/>
        <w:left w:val="none" w:sz="0" w:space="0" w:color="auto"/>
        <w:bottom w:val="none" w:sz="0" w:space="0" w:color="auto"/>
        <w:right w:val="none" w:sz="0" w:space="0" w:color="auto"/>
      </w:divBdr>
    </w:div>
    <w:div w:id="2045714541">
      <w:bodyDiv w:val="1"/>
      <w:marLeft w:val="0"/>
      <w:marRight w:val="0"/>
      <w:marTop w:val="0"/>
      <w:marBottom w:val="0"/>
      <w:divBdr>
        <w:top w:val="none" w:sz="0" w:space="0" w:color="auto"/>
        <w:left w:val="none" w:sz="0" w:space="0" w:color="auto"/>
        <w:bottom w:val="none" w:sz="0" w:space="0" w:color="auto"/>
        <w:right w:val="none" w:sz="0" w:space="0" w:color="auto"/>
      </w:divBdr>
    </w:div>
    <w:div w:id="2047175156">
      <w:bodyDiv w:val="1"/>
      <w:marLeft w:val="0"/>
      <w:marRight w:val="0"/>
      <w:marTop w:val="0"/>
      <w:marBottom w:val="0"/>
      <w:divBdr>
        <w:top w:val="none" w:sz="0" w:space="0" w:color="auto"/>
        <w:left w:val="none" w:sz="0" w:space="0" w:color="auto"/>
        <w:bottom w:val="none" w:sz="0" w:space="0" w:color="auto"/>
        <w:right w:val="none" w:sz="0" w:space="0" w:color="auto"/>
      </w:divBdr>
    </w:div>
    <w:div w:id="2047293786">
      <w:bodyDiv w:val="1"/>
      <w:marLeft w:val="0"/>
      <w:marRight w:val="0"/>
      <w:marTop w:val="0"/>
      <w:marBottom w:val="0"/>
      <w:divBdr>
        <w:top w:val="none" w:sz="0" w:space="0" w:color="auto"/>
        <w:left w:val="none" w:sz="0" w:space="0" w:color="auto"/>
        <w:bottom w:val="none" w:sz="0" w:space="0" w:color="auto"/>
        <w:right w:val="none" w:sz="0" w:space="0" w:color="auto"/>
      </w:divBdr>
    </w:div>
    <w:div w:id="2049378123">
      <w:bodyDiv w:val="1"/>
      <w:marLeft w:val="0"/>
      <w:marRight w:val="0"/>
      <w:marTop w:val="0"/>
      <w:marBottom w:val="0"/>
      <w:divBdr>
        <w:top w:val="none" w:sz="0" w:space="0" w:color="auto"/>
        <w:left w:val="none" w:sz="0" w:space="0" w:color="auto"/>
        <w:bottom w:val="none" w:sz="0" w:space="0" w:color="auto"/>
        <w:right w:val="none" w:sz="0" w:space="0" w:color="auto"/>
      </w:divBdr>
    </w:div>
    <w:div w:id="2049719604">
      <w:bodyDiv w:val="1"/>
      <w:marLeft w:val="0"/>
      <w:marRight w:val="0"/>
      <w:marTop w:val="0"/>
      <w:marBottom w:val="0"/>
      <w:divBdr>
        <w:top w:val="none" w:sz="0" w:space="0" w:color="auto"/>
        <w:left w:val="none" w:sz="0" w:space="0" w:color="auto"/>
        <w:bottom w:val="none" w:sz="0" w:space="0" w:color="auto"/>
        <w:right w:val="none" w:sz="0" w:space="0" w:color="auto"/>
      </w:divBdr>
    </w:div>
    <w:div w:id="2049836994">
      <w:bodyDiv w:val="1"/>
      <w:marLeft w:val="0"/>
      <w:marRight w:val="0"/>
      <w:marTop w:val="0"/>
      <w:marBottom w:val="0"/>
      <w:divBdr>
        <w:top w:val="none" w:sz="0" w:space="0" w:color="auto"/>
        <w:left w:val="none" w:sz="0" w:space="0" w:color="auto"/>
        <w:bottom w:val="none" w:sz="0" w:space="0" w:color="auto"/>
        <w:right w:val="none" w:sz="0" w:space="0" w:color="auto"/>
      </w:divBdr>
    </w:div>
    <w:div w:id="2050496654">
      <w:bodyDiv w:val="1"/>
      <w:marLeft w:val="0"/>
      <w:marRight w:val="0"/>
      <w:marTop w:val="0"/>
      <w:marBottom w:val="0"/>
      <w:divBdr>
        <w:top w:val="none" w:sz="0" w:space="0" w:color="auto"/>
        <w:left w:val="none" w:sz="0" w:space="0" w:color="auto"/>
        <w:bottom w:val="none" w:sz="0" w:space="0" w:color="auto"/>
        <w:right w:val="none" w:sz="0" w:space="0" w:color="auto"/>
      </w:divBdr>
    </w:div>
    <w:div w:id="2052612614">
      <w:bodyDiv w:val="1"/>
      <w:marLeft w:val="0"/>
      <w:marRight w:val="0"/>
      <w:marTop w:val="0"/>
      <w:marBottom w:val="0"/>
      <w:divBdr>
        <w:top w:val="none" w:sz="0" w:space="0" w:color="auto"/>
        <w:left w:val="none" w:sz="0" w:space="0" w:color="auto"/>
        <w:bottom w:val="none" w:sz="0" w:space="0" w:color="auto"/>
        <w:right w:val="none" w:sz="0" w:space="0" w:color="auto"/>
      </w:divBdr>
    </w:div>
    <w:div w:id="2054839784">
      <w:bodyDiv w:val="1"/>
      <w:marLeft w:val="0"/>
      <w:marRight w:val="0"/>
      <w:marTop w:val="0"/>
      <w:marBottom w:val="0"/>
      <w:divBdr>
        <w:top w:val="none" w:sz="0" w:space="0" w:color="auto"/>
        <w:left w:val="none" w:sz="0" w:space="0" w:color="auto"/>
        <w:bottom w:val="none" w:sz="0" w:space="0" w:color="auto"/>
        <w:right w:val="none" w:sz="0" w:space="0" w:color="auto"/>
      </w:divBdr>
    </w:div>
    <w:div w:id="2054882809">
      <w:bodyDiv w:val="1"/>
      <w:marLeft w:val="0"/>
      <w:marRight w:val="0"/>
      <w:marTop w:val="0"/>
      <w:marBottom w:val="0"/>
      <w:divBdr>
        <w:top w:val="none" w:sz="0" w:space="0" w:color="auto"/>
        <w:left w:val="none" w:sz="0" w:space="0" w:color="auto"/>
        <w:bottom w:val="none" w:sz="0" w:space="0" w:color="auto"/>
        <w:right w:val="none" w:sz="0" w:space="0" w:color="auto"/>
      </w:divBdr>
    </w:div>
    <w:div w:id="2054959874">
      <w:bodyDiv w:val="1"/>
      <w:marLeft w:val="0"/>
      <w:marRight w:val="0"/>
      <w:marTop w:val="0"/>
      <w:marBottom w:val="0"/>
      <w:divBdr>
        <w:top w:val="none" w:sz="0" w:space="0" w:color="auto"/>
        <w:left w:val="none" w:sz="0" w:space="0" w:color="auto"/>
        <w:bottom w:val="none" w:sz="0" w:space="0" w:color="auto"/>
        <w:right w:val="none" w:sz="0" w:space="0" w:color="auto"/>
      </w:divBdr>
    </w:div>
    <w:div w:id="2055302484">
      <w:bodyDiv w:val="1"/>
      <w:marLeft w:val="0"/>
      <w:marRight w:val="0"/>
      <w:marTop w:val="0"/>
      <w:marBottom w:val="0"/>
      <w:divBdr>
        <w:top w:val="none" w:sz="0" w:space="0" w:color="auto"/>
        <w:left w:val="none" w:sz="0" w:space="0" w:color="auto"/>
        <w:bottom w:val="none" w:sz="0" w:space="0" w:color="auto"/>
        <w:right w:val="none" w:sz="0" w:space="0" w:color="auto"/>
      </w:divBdr>
    </w:div>
    <w:div w:id="2055543622">
      <w:bodyDiv w:val="1"/>
      <w:marLeft w:val="0"/>
      <w:marRight w:val="0"/>
      <w:marTop w:val="0"/>
      <w:marBottom w:val="0"/>
      <w:divBdr>
        <w:top w:val="none" w:sz="0" w:space="0" w:color="auto"/>
        <w:left w:val="none" w:sz="0" w:space="0" w:color="auto"/>
        <w:bottom w:val="none" w:sz="0" w:space="0" w:color="auto"/>
        <w:right w:val="none" w:sz="0" w:space="0" w:color="auto"/>
      </w:divBdr>
    </w:div>
    <w:div w:id="2056811973">
      <w:bodyDiv w:val="1"/>
      <w:marLeft w:val="0"/>
      <w:marRight w:val="0"/>
      <w:marTop w:val="0"/>
      <w:marBottom w:val="0"/>
      <w:divBdr>
        <w:top w:val="none" w:sz="0" w:space="0" w:color="auto"/>
        <w:left w:val="none" w:sz="0" w:space="0" w:color="auto"/>
        <w:bottom w:val="none" w:sz="0" w:space="0" w:color="auto"/>
        <w:right w:val="none" w:sz="0" w:space="0" w:color="auto"/>
      </w:divBdr>
    </w:div>
    <w:div w:id="2057584134">
      <w:bodyDiv w:val="1"/>
      <w:marLeft w:val="0"/>
      <w:marRight w:val="0"/>
      <w:marTop w:val="0"/>
      <w:marBottom w:val="0"/>
      <w:divBdr>
        <w:top w:val="none" w:sz="0" w:space="0" w:color="auto"/>
        <w:left w:val="none" w:sz="0" w:space="0" w:color="auto"/>
        <w:bottom w:val="none" w:sz="0" w:space="0" w:color="auto"/>
        <w:right w:val="none" w:sz="0" w:space="0" w:color="auto"/>
      </w:divBdr>
    </w:div>
    <w:div w:id="2058049377">
      <w:bodyDiv w:val="1"/>
      <w:marLeft w:val="0"/>
      <w:marRight w:val="0"/>
      <w:marTop w:val="0"/>
      <w:marBottom w:val="0"/>
      <w:divBdr>
        <w:top w:val="none" w:sz="0" w:space="0" w:color="auto"/>
        <w:left w:val="none" w:sz="0" w:space="0" w:color="auto"/>
        <w:bottom w:val="none" w:sz="0" w:space="0" w:color="auto"/>
        <w:right w:val="none" w:sz="0" w:space="0" w:color="auto"/>
      </w:divBdr>
    </w:div>
    <w:div w:id="2058968619">
      <w:bodyDiv w:val="1"/>
      <w:marLeft w:val="0"/>
      <w:marRight w:val="0"/>
      <w:marTop w:val="0"/>
      <w:marBottom w:val="0"/>
      <w:divBdr>
        <w:top w:val="none" w:sz="0" w:space="0" w:color="auto"/>
        <w:left w:val="none" w:sz="0" w:space="0" w:color="auto"/>
        <w:bottom w:val="none" w:sz="0" w:space="0" w:color="auto"/>
        <w:right w:val="none" w:sz="0" w:space="0" w:color="auto"/>
      </w:divBdr>
    </w:div>
    <w:div w:id="2059475180">
      <w:bodyDiv w:val="1"/>
      <w:marLeft w:val="0"/>
      <w:marRight w:val="0"/>
      <w:marTop w:val="0"/>
      <w:marBottom w:val="0"/>
      <w:divBdr>
        <w:top w:val="none" w:sz="0" w:space="0" w:color="auto"/>
        <w:left w:val="none" w:sz="0" w:space="0" w:color="auto"/>
        <w:bottom w:val="none" w:sz="0" w:space="0" w:color="auto"/>
        <w:right w:val="none" w:sz="0" w:space="0" w:color="auto"/>
      </w:divBdr>
    </w:div>
    <w:div w:id="2061202032">
      <w:bodyDiv w:val="1"/>
      <w:marLeft w:val="0"/>
      <w:marRight w:val="0"/>
      <w:marTop w:val="0"/>
      <w:marBottom w:val="0"/>
      <w:divBdr>
        <w:top w:val="none" w:sz="0" w:space="0" w:color="auto"/>
        <w:left w:val="none" w:sz="0" w:space="0" w:color="auto"/>
        <w:bottom w:val="none" w:sz="0" w:space="0" w:color="auto"/>
        <w:right w:val="none" w:sz="0" w:space="0" w:color="auto"/>
      </w:divBdr>
    </w:div>
    <w:div w:id="2062122683">
      <w:bodyDiv w:val="1"/>
      <w:marLeft w:val="0"/>
      <w:marRight w:val="0"/>
      <w:marTop w:val="0"/>
      <w:marBottom w:val="0"/>
      <w:divBdr>
        <w:top w:val="none" w:sz="0" w:space="0" w:color="auto"/>
        <w:left w:val="none" w:sz="0" w:space="0" w:color="auto"/>
        <w:bottom w:val="none" w:sz="0" w:space="0" w:color="auto"/>
        <w:right w:val="none" w:sz="0" w:space="0" w:color="auto"/>
      </w:divBdr>
    </w:div>
    <w:div w:id="2062443070">
      <w:bodyDiv w:val="1"/>
      <w:marLeft w:val="0"/>
      <w:marRight w:val="0"/>
      <w:marTop w:val="0"/>
      <w:marBottom w:val="0"/>
      <w:divBdr>
        <w:top w:val="none" w:sz="0" w:space="0" w:color="auto"/>
        <w:left w:val="none" w:sz="0" w:space="0" w:color="auto"/>
        <w:bottom w:val="none" w:sz="0" w:space="0" w:color="auto"/>
        <w:right w:val="none" w:sz="0" w:space="0" w:color="auto"/>
      </w:divBdr>
    </w:div>
    <w:div w:id="2064015981">
      <w:bodyDiv w:val="1"/>
      <w:marLeft w:val="0"/>
      <w:marRight w:val="0"/>
      <w:marTop w:val="0"/>
      <w:marBottom w:val="0"/>
      <w:divBdr>
        <w:top w:val="none" w:sz="0" w:space="0" w:color="auto"/>
        <w:left w:val="none" w:sz="0" w:space="0" w:color="auto"/>
        <w:bottom w:val="none" w:sz="0" w:space="0" w:color="auto"/>
        <w:right w:val="none" w:sz="0" w:space="0" w:color="auto"/>
      </w:divBdr>
    </w:div>
    <w:div w:id="2065789069">
      <w:bodyDiv w:val="1"/>
      <w:marLeft w:val="0"/>
      <w:marRight w:val="0"/>
      <w:marTop w:val="0"/>
      <w:marBottom w:val="0"/>
      <w:divBdr>
        <w:top w:val="none" w:sz="0" w:space="0" w:color="auto"/>
        <w:left w:val="none" w:sz="0" w:space="0" w:color="auto"/>
        <w:bottom w:val="none" w:sz="0" w:space="0" w:color="auto"/>
        <w:right w:val="none" w:sz="0" w:space="0" w:color="auto"/>
      </w:divBdr>
    </w:div>
    <w:div w:id="2065910607">
      <w:bodyDiv w:val="1"/>
      <w:marLeft w:val="0"/>
      <w:marRight w:val="0"/>
      <w:marTop w:val="0"/>
      <w:marBottom w:val="0"/>
      <w:divBdr>
        <w:top w:val="none" w:sz="0" w:space="0" w:color="auto"/>
        <w:left w:val="none" w:sz="0" w:space="0" w:color="auto"/>
        <w:bottom w:val="none" w:sz="0" w:space="0" w:color="auto"/>
        <w:right w:val="none" w:sz="0" w:space="0" w:color="auto"/>
      </w:divBdr>
    </w:div>
    <w:div w:id="2066104200">
      <w:bodyDiv w:val="1"/>
      <w:marLeft w:val="0"/>
      <w:marRight w:val="0"/>
      <w:marTop w:val="0"/>
      <w:marBottom w:val="0"/>
      <w:divBdr>
        <w:top w:val="none" w:sz="0" w:space="0" w:color="auto"/>
        <w:left w:val="none" w:sz="0" w:space="0" w:color="auto"/>
        <w:bottom w:val="none" w:sz="0" w:space="0" w:color="auto"/>
        <w:right w:val="none" w:sz="0" w:space="0" w:color="auto"/>
      </w:divBdr>
    </w:div>
    <w:div w:id="2067751952">
      <w:bodyDiv w:val="1"/>
      <w:marLeft w:val="0"/>
      <w:marRight w:val="0"/>
      <w:marTop w:val="0"/>
      <w:marBottom w:val="0"/>
      <w:divBdr>
        <w:top w:val="none" w:sz="0" w:space="0" w:color="auto"/>
        <w:left w:val="none" w:sz="0" w:space="0" w:color="auto"/>
        <w:bottom w:val="none" w:sz="0" w:space="0" w:color="auto"/>
        <w:right w:val="none" w:sz="0" w:space="0" w:color="auto"/>
      </w:divBdr>
    </w:div>
    <w:div w:id="2067952277">
      <w:bodyDiv w:val="1"/>
      <w:marLeft w:val="0"/>
      <w:marRight w:val="0"/>
      <w:marTop w:val="0"/>
      <w:marBottom w:val="0"/>
      <w:divBdr>
        <w:top w:val="none" w:sz="0" w:space="0" w:color="auto"/>
        <w:left w:val="none" w:sz="0" w:space="0" w:color="auto"/>
        <w:bottom w:val="none" w:sz="0" w:space="0" w:color="auto"/>
        <w:right w:val="none" w:sz="0" w:space="0" w:color="auto"/>
      </w:divBdr>
    </w:div>
    <w:div w:id="2067989448">
      <w:bodyDiv w:val="1"/>
      <w:marLeft w:val="0"/>
      <w:marRight w:val="0"/>
      <w:marTop w:val="0"/>
      <w:marBottom w:val="0"/>
      <w:divBdr>
        <w:top w:val="none" w:sz="0" w:space="0" w:color="auto"/>
        <w:left w:val="none" w:sz="0" w:space="0" w:color="auto"/>
        <w:bottom w:val="none" w:sz="0" w:space="0" w:color="auto"/>
        <w:right w:val="none" w:sz="0" w:space="0" w:color="auto"/>
      </w:divBdr>
    </w:div>
    <w:div w:id="2068213426">
      <w:bodyDiv w:val="1"/>
      <w:marLeft w:val="0"/>
      <w:marRight w:val="0"/>
      <w:marTop w:val="0"/>
      <w:marBottom w:val="0"/>
      <w:divBdr>
        <w:top w:val="none" w:sz="0" w:space="0" w:color="auto"/>
        <w:left w:val="none" w:sz="0" w:space="0" w:color="auto"/>
        <w:bottom w:val="none" w:sz="0" w:space="0" w:color="auto"/>
        <w:right w:val="none" w:sz="0" w:space="0" w:color="auto"/>
      </w:divBdr>
    </w:div>
    <w:div w:id="2070490651">
      <w:bodyDiv w:val="1"/>
      <w:marLeft w:val="0"/>
      <w:marRight w:val="0"/>
      <w:marTop w:val="0"/>
      <w:marBottom w:val="0"/>
      <w:divBdr>
        <w:top w:val="none" w:sz="0" w:space="0" w:color="auto"/>
        <w:left w:val="none" w:sz="0" w:space="0" w:color="auto"/>
        <w:bottom w:val="none" w:sz="0" w:space="0" w:color="auto"/>
        <w:right w:val="none" w:sz="0" w:space="0" w:color="auto"/>
      </w:divBdr>
    </w:div>
    <w:div w:id="2071421398">
      <w:bodyDiv w:val="1"/>
      <w:marLeft w:val="0"/>
      <w:marRight w:val="0"/>
      <w:marTop w:val="0"/>
      <w:marBottom w:val="0"/>
      <w:divBdr>
        <w:top w:val="none" w:sz="0" w:space="0" w:color="auto"/>
        <w:left w:val="none" w:sz="0" w:space="0" w:color="auto"/>
        <w:bottom w:val="none" w:sz="0" w:space="0" w:color="auto"/>
        <w:right w:val="none" w:sz="0" w:space="0" w:color="auto"/>
      </w:divBdr>
    </w:div>
    <w:div w:id="2071809779">
      <w:bodyDiv w:val="1"/>
      <w:marLeft w:val="0"/>
      <w:marRight w:val="0"/>
      <w:marTop w:val="0"/>
      <w:marBottom w:val="0"/>
      <w:divBdr>
        <w:top w:val="none" w:sz="0" w:space="0" w:color="auto"/>
        <w:left w:val="none" w:sz="0" w:space="0" w:color="auto"/>
        <w:bottom w:val="none" w:sz="0" w:space="0" w:color="auto"/>
        <w:right w:val="none" w:sz="0" w:space="0" w:color="auto"/>
      </w:divBdr>
    </w:div>
    <w:div w:id="2072535500">
      <w:bodyDiv w:val="1"/>
      <w:marLeft w:val="0"/>
      <w:marRight w:val="0"/>
      <w:marTop w:val="0"/>
      <w:marBottom w:val="0"/>
      <w:divBdr>
        <w:top w:val="none" w:sz="0" w:space="0" w:color="auto"/>
        <w:left w:val="none" w:sz="0" w:space="0" w:color="auto"/>
        <w:bottom w:val="none" w:sz="0" w:space="0" w:color="auto"/>
        <w:right w:val="none" w:sz="0" w:space="0" w:color="auto"/>
      </w:divBdr>
    </w:div>
    <w:div w:id="2072539159">
      <w:bodyDiv w:val="1"/>
      <w:marLeft w:val="0"/>
      <w:marRight w:val="0"/>
      <w:marTop w:val="0"/>
      <w:marBottom w:val="0"/>
      <w:divBdr>
        <w:top w:val="none" w:sz="0" w:space="0" w:color="auto"/>
        <w:left w:val="none" w:sz="0" w:space="0" w:color="auto"/>
        <w:bottom w:val="none" w:sz="0" w:space="0" w:color="auto"/>
        <w:right w:val="none" w:sz="0" w:space="0" w:color="auto"/>
      </w:divBdr>
    </w:div>
    <w:div w:id="2072919728">
      <w:bodyDiv w:val="1"/>
      <w:marLeft w:val="0"/>
      <w:marRight w:val="0"/>
      <w:marTop w:val="0"/>
      <w:marBottom w:val="0"/>
      <w:divBdr>
        <w:top w:val="none" w:sz="0" w:space="0" w:color="auto"/>
        <w:left w:val="none" w:sz="0" w:space="0" w:color="auto"/>
        <w:bottom w:val="none" w:sz="0" w:space="0" w:color="auto"/>
        <w:right w:val="none" w:sz="0" w:space="0" w:color="auto"/>
      </w:divBdr>
    </w:div>
    <w:div w:id="2073236952">
      <w:bodyDiv w:val="1"/>
      <w:marLeft w:val="0"/>
      <w:marRight w:val="0"/>
      <w:marTop w:val="0"/>
      <w:marBottom w:val="0"/>
      <w:divBdr>
        <w:top w:val="none" w:sz="0" w:space="0" w:color="auto"/>
        <w:left w:val="none" w:sz="0" w:space="0" w:color="auto"/>
        <w:bottom w:val="none" w:sz="0" w:space="0" w:color="auto"/>
        <w:right w:val="none" w:sz="0" w:space="0" w:color="auto"/>
      </w:divBdr>
    </w:div>
    <w:div w:id="2074042370">
      <w:bodyDiv w:val="1"/>
      <w:marLeft w:val="0"/>
      <w:marRight w:val="0"/>
      <w:marTop w:val="0"/>
      <w:marBottom w:val="0"/>
      <w:divBdr>
        <w:top w:val="none" w:sz="0" w:space="0" w:color="auto"/>
        <w:left w:val="none" w:sz="0" w:space="0" w:color="auto"/>
        <w:bottom w:val="none" w:sz="0" w:space="0" w:color="auto"/>
        <w:right w:val="none" w:sz="0" w:space="0" w:color="auto"/>
      </w:divBdr>
    </w:div>
    <w:div w:id="2074115985">
      <w:bodyDiv w:val="1"/>
      <w:marLeft w:val="0"/>
      <w:marRight w:val="0"/>
      <w:marTop w:val="0"/>
      <w:marBottom w:val="0"/>
      <w:divBdr>
        <w:top w:val="none" w:sz="0" w:space="0" w:color="auto"/>
        <w:left w:val="none" w:sz="0" w:space="0" w:color="auto"/>
        <w:bottom w:val="none" w:sz="0" w:space="0" w:color="auto"/>
        <w:right w:val="none" w:sz="0" w:space="0" w:color="auto"/>
      </w:divBdr>
    </w:div>
    <w:div w:id="2074116063">
      <w:bodyDiv w:val="1"/>
      <w:marLeft w:val="0"/>
      <w:marRight w:val="0"/>
      <w:marTop w:val="0"/>
      <w:marBottom w:val="0"/>
      <w:divBdr>
        <w:top w:val="none" w:sz="0" w:space="0" w:color="auto"/>
        <w:left w:val="none" w:sz="0" w:space="0" w:color="auto"/>
        <w:bottom w:val="none" w:sz="0" w:space="0" w:color="auto"/>
        <w:right w:val="none" w:sz="0" w:space="0" w:color="auto"/>
      </w:divBdr>
    </w:div>
    <w:div w:id="2076122048">
      <w:bodyDiv w:val="1"/>
      <w:marLeft w:val="0"/>
      <w:marRight w:val="0"/>
      <w:marTop w:val="0"/>
      <w:marBottom w:val="0"/>
      <w:divBdr>
        <w:top w:val="none" w:sz="0" w:space="0" w:color="auto"/>
        <w:left w:val="none" w:sz="0" w:space="0" w:color="auto"/>
        <w:bottom w:val="none" w:sz="0" w:space="0" w:color="auto"/>
        <w:right w:val="none" w:sz="0" w:space="0" w:color="auto"/>
      </w:divBdr>
    </w:div>
    <w:div w:id="2076970339">
      <w:bodyDiv w:val="1"/>
      <w:marLeft w:val="0"/>
      <w:marRight w:val="0"/>
      <w:marTop w:val="0"/>
      <w:marBottom w:val="0"/>
      <w:divBdr>
        <w:top w:val="none" w:sz="0" w:space="0" w:color="auto"/>
        <w:left w:val="none" w:sz="0" w:space="0" w:color="auto"/>
        <w:bottom w:val="none" w:sz="0" w:space="0" w:color="auto"/>
        <w:right w:val="none" w:sz="0" w:space="0" w:color="auto"/>
      </w:divBdr>
    </w:div>
    <w:div w:id="2077320173">
      <w:bodyDiv w:val="1"/>
      <w:marLeft w:val="0"/>
      <w:marRight w:val="0"/>
      <w:marTop w:val="0"/>
      <w:marBottom w:val="0"/>
      <w:divBdr>
        <w:top w:val="none" w:sz="0" w:space="0" w:color="auto"/>
        <w:left w:val="none" w:sz="0" w:space="0" w:color="auto"/>
        <w:bottom w:val="none" w:sz="0" w:space="0" w:color="auto"/>
        <w:right w:val="none" w:sz="0" w:space="0" w:color="auto"/>
      </w:divBdr>
    </w:div>
    <w:div w:id="2077509223">
      <w:bodyDiv w:val="1"/>
      <w:marLeft w:val="0"/>
      <w:marRight w:val="0"/>
      <w:marTop w:val="0"/>
      <w:marBottom w:val="0"/>
      <w:divBdr>
        <w:top w:val="none" w:sz="0" w:space="0" w:color="auto"/>
        <w:left w:val="none" w:sz="0" w:space="0" w:color="auto"/>
        <w:bottom w:val="none" w:sz="0" w:space="0" w:color="auto"/>
        <w:right w:val="none" w:sz="0" w:space="0" w:color="auto"/>
      </w:divBdr>
    </w:div>
    <w:div w:id="2079473597">
      <w:bodyDiv w:val="1"/>
      <w:marLeft w:val="0"/>
      <w:marRight w:val="0"/>
      <w:marTop w:val="0"/>
      <w:marBottom w:val="0"/>
      <w:divBdr>
        <w:top w:val="none" w:sz="0" w:space="0" w:color="auto"/>
        <w:left w:val="none" w:sz="0" w:space="0" w:color="auto"/>
        <w:bottom w:val="none" w:sz="0" w:space="0" w:color="auto"/>
        <w:right w:val="none" w:sz="0" w:space="0" w:color="auto"/>
      </w:divBdr>
    </w:div>
    <w:div w:id="2079474653">
      <w:bodyDiv w:val="1"/>
      <w:marLeft w:val="0"/>
      <w:marRight w:val="0"/>
      <w:marTop w:val="0"/>
      <w:marBottom w:val="0"/>
      <w:divBdr>
        <w:top w:val="none" w:sz="0" w:space="0" w:color="auto"/>
        <w:left w:val="none" w:sz="0" w:space="0" w:color="auto"/>
        <w:bottom w:val="none" w:sz="0" w:space="0" w:color="auto"/>
        <w:right w:val="none" w:sz="0" w:space="0" w:color="auto"/>
      </w:divBdr>
    </w:div>
    <w:div w:id="2080203402">
      <w:bodyDiv w:val="1"/>
      <w:marLeft w:val="0"/>
      <w:marRight w:val="0"/>
      <w:marTop w:val="0"/>
      <w:marBottom w:val="0"/>
      <w:divBdr>
        <w:top w:val="none" w:sz="0" w:space="0" w:color="auto"/>
        <w:left w:val="none" w:sz="0" w:space="0" w:color="auto"/>
        <w:bottom w:val="none" w:sz="0" w:space="0" w:color="auto"/>
        <w:right w:val="none" w:sz="0" w:space="0" w:color="auto"/>
      </w:divBdr>
    </w:div>
    <w:div w:id="2080396131">
      <w:bodyDiv w:val="1"/>
      <w:marLeft w:val="0"/>
      <w:marRight w:val="0"/>
      <w:marTop w:val="0"/>
      <w:marBottom w:val="0"/>
      <w:divBdr>
        <w:top w:val="none" w:sz="0" w:space="0" w:color="auto"/>
        <w:left w:val="none" w:sz="0" w:space="0" w:color="auto"/>
        <w:bottom w:val="none" w:sz="0" w:space="0" w:color="auto"/>
        <w:right w:val="none" w:sz="0" w:space="0" w:color="auto"/>
      </w:divBdr>
    </w:div>
    <w:div w:id="2080591380">
      <w:bodyDiv w:val="1"/>
      <w:marLeft w:val="0"/>
      <w:marRight w:val="0"/>
      <w:marTop w:val="0"/>
      <w:marBottom w:val="0"/>
      <w:divBdr>
        <w:top w:val="none" w:sz="0" w:space="0" w:color="auto"/>
        <w:left w:val="none" w:sz="0" w:space="0" w:color="auto"/>
        <w:bottom w:val="none" w:sz="0" w:space="0" w:color="auto"/>
        <w:right w:val="none" w:sz="0" w:space="0" w:color="auto"/>
      </w:divBdr>
    </w:div>
    <w:div w:id="2080712815">
      <w:bodyDiv w:val="1"/>
      <w:marLeft w:val="0"/>
      <w:marRight w:val="0"/>
      <w:marTop w:val="0"/>
      <w:marBottom w:val="0"/>
      <w:divBdr>
        <w:top w:val="none" w:sz="0" w:space="0" w:color="auto"/>
        <w:left w:val="none" w:sz="0" w:space="0" w:color="auto"/>
        <w:bottom w:val="none" w:sz="0" w:space="0" w:color="auto"/>
        <w:right w:val="none" w:sz="0" w:space="0" w:color="auto"/>
      </w:divBdr>
    </w:div>
    <w:div w:id="2080901397">
      <w:bodyDiv w:val="1"/>
      <w:marLeft w:val="0"/>
      <w:marRight w:val="0"/>
      <w:marTop w:val="0"/>
      <w:marBottom w:val="0"/>
      <w:divBdr>
        <w:top w:val="none" w:sz="0" w:space="0" w:color="auto"/>
        <w:left w:val="none" w:sz="0" w:space="0" w:color="auto"/>
        <w:bottom w:val="none" w:sz="0" w:space="0" w:color="auto"/>
        <w:right w:val="none" w:sz="0" w:space="0" w:color="auto"/>
      </w:divBdr>
    </w:div>
    <w:div w:id="2081443507">
      <w:bodyDiv w:val="1"/>
      <w:marLeft w:val="0"/>
      <w:marRight w:val="0"/>
      <w:marTop w:val="0"/>
      <w:marBottom w:val="0"/>
      <w:divBdr>
        <w:top w:val="none" w:sz="0" w:space="0" w:color="auto"/>
        <w:left w:val="none" w:sz="0" w:space="0" w:color="auto"/>
        <w:bottom w:val="none" w:sz="0" w:space="0" w:color="auto"/>
        <w:right w:val="none" w:sz="0" w:space="0" w:color="auto"/>
      </w:divBdr>
    </w:div>
    <w:div w:id="2082025126">
      <w:bodyDiv w:val="1"/>
      <w:marLeft w:val="0"/>
      <w:marRight w:val="0"/>
      <w:marTop w:val="0"/>
      <w:marBottom w:val="0"/>
      <w:divBdr>
        <w:top w:val="none" w:sz="0" w:space="0" w:color="auto"/>
        <w:left w:val="none" w:sz="0" w:space="0" w:color="auto"/>
        <w:bottom w:val="none" w:sz="0" w:space="0" w:color="auto"/>
        <w:right w:val="none" w:sz="0" w:space="0" w:color="auto"/>
      </w:divBdr>
    </w:div>
    <w:div w:id="2082098650">
      <w:bodyDiv w:val="1"/>
      <w:marLeft w:val="0"/>
      <w:marRight w:val="0"/>
      <w:marTop w:val="0"/>
      <w:marBottom w:val="0"/>
      <w:divBdr>
        <w:top w:val="none" w:sz="0" w:space="0" w:color="auto"/>
        <w:left w:val="none" w:sz="0" w:space="0" w:color="auto"/>
        <w:bottom w:val="none" w:sz="0" w:space="0" w:color="auto"/>
        <w:right w:val="none" w:sz="0" w:space="0" w:color="auto"/>
      </w:divBdr>
    </w:div>
    <w:div w:id="2082368638">
      <w:bodyDiv w:val="1"/>
      <w:marLeft w:val="0"/>
      <w:marRight w:val="0"/>
      <w:marTop w:val="0"/>
      <w:marBottom w:val="0"/>
      <w:divBdr>
        <w:top w:val="none" w:sz="0" w:space="0" w:color="auto"/>
        <w:left w:val="none" w:sz="0" w:space="0" w:color="auto"/>
        <w:bottom w:val="none" w:sz="0" w:space="0" w:color="auto"/>
        <w:right w:val="none" w:sz="0" w:space="0" w:color="auto"/>
      </w:divBdr>
    </w:div>
    <w:div w:id="2083134596">
      <w:bodyDiv w:val="1"/>
      <w:marLeft w:val="0"/>
      <w:marRight w:val="0"/>
      <w:marTop w:val="0"/>
      <w:marBottom w:val="0"/>
      <w:divBdr>
        <w:top w:val="none" w:sz="0" w:space="0" w:color="auto"/>
        <w:left w:val="none" w:sz="0" w:space="0" w:color="auto"/>
        <w:bottom w:val="none" w:sz="0" w:space="0" w:color="auto"/>
        <w:right w:val="none" w:sz="0" w:space="0" w:color="auto"/>
      </w:divBdr>
    </w:div>
    <w:div w:id="2083680312">
      <w:bodyDiv w:val="1"/>
      <w:marLeft w:val="0"/>
      <w:marRight w:val="0"/>
      <w:marTop w:val="0"/>
      <w:marBottom w:val="0"/>
      <w:divBdr>
        <w:top w:val="none" w:sz="0" w:space="0" w:color="auto"/>
        <w:left w:val="none" w:sz="0" w:space="0" w:color="auto"/>
        <w:bottom w:val="none" w:sz="0" w:space="0" w:color="auto"/>
        <w:right w:val="none" w:sz="0" w:space="0" w:color="auto"/>
      </w:divBdr>
    </w:div>
    <w:div w:id="2083870301">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6218213">
      <w:bodyDiv w:val="1"/>
      <w:marLeft w:val="0"/>
      <w:marRight w:val="0"/>
      <w:marTop w:val="0"/>
      <w:marBottom w:val="0"/>
      <w:divBdr>
        <w:top w:val="none" w:sz="0" w:space="0" w:color="auto"/>
        <w:left w:val="none" w:sz="0" w:space="0" w:color="auto"/>
        <w:bottom w:val="none" w:sz="0" w:space="0" w:color="auto"/>
        <w:right w:val="none" w:sz="0" w:space="0" w:color="auto"/>
      </w:divBdr>
    </w:div>
    <w:div w:id="2087142667">
      <w:bodyDiv w:val="1"/>
      <w:marLeft w:val="0"/>
      <w:marRight w:val="0"/>
      <w:marTop w:val="0"/>
      <w:marBottom w:val="0"/>
      <w:divBdr>
        <w:top w:val="none" w:sz="0" w:space="0" w:color="auto"/>
        <w:left w:val="none" w:sz="0" w:space="0" w:color="auto"/>
        <w:bottom w:val="none" w:sz="0" w:space="0" w:color="auto"/>
        <w:right w:val="none" w:sz="0" w:space="0" w:color="auto"/>
      </w:divBdr>
    </w:div>
    <w:div w:id="2088569084">
      <w:bodyDiv w:val="1"/>
      <w:marLeft w:val="0"/>
      <w:marRight w:val="0"/>
      <w:marTop w:val="0"/>
      <w:marBottom w:val="0"/>
      <w:divBdr>
        <w:top w:val="none" w:sz="0" w:space="0" w:color="auto"/>
        <w:left w:val="none" w:sz="0" w:space="0" w:color="auto"/>
        <w:bottom w:val="none" w:sz="0" w:space="0" w:color="auto"/>
        <w:right w:val="none" w:sz="0" w:space="0" w:color="auto"/>
      </w:divBdr>
    </w:div>
    <w:div w:id="2089694048">
      <w:bodyDiv w:val="1"/>
      <w:marLeft w:val="0"/>
      <w:marRight w:val="0"/>
      <w:marTop w:val="0"/>
      <w:marBottom w:val="0"/>
      <w:divBdr>
        <w:top w:val="none" w:sz="0" w:space="0" w:color="auto"/>
        <w:left w:val="none" w:sz="0" w:space="0" w:color="auto"/>
        <w:bottom w:val="none" w:sz="0" w:space="0" w:color="auto"/>
        <w:right w:val="none" w:sz="0" w:space="0" w:color="auto"/>
      </w:divBdr>
    </w:div>
    <w:div w:id="2090150194">
      <w:bodyDiv w:val="1"/>
      <w:marLeft w:val="0"/>
      <w:marRight w:val="0"/>
      <w:marTop w:val="0"/>
      <w:marBottom w:val="0"/>
      <w:divBdr>
        <w:top w:val="none" w:sz="0" w:space="0" w:color="auto"/>
        <w:left w:val="none" w:sz="0" w:space="0" w:color="auto"/>
        <w:bottom w:val="none" w:sz="0" w:space="0" w:color="auto"/>
        <w:right w:val="none" w:sz="0" w:space="0" w:color="auto"/>
      </w:divBdr>
    </w:div>
    <w:div w:id="2092965762">
      <w:bodyDiv w:val="1"/>
      <w:marLeft w:val="0"/>
      <w:marRight w:val="0"/>
      <w:marTop w:val="0"/>
      <w:marBottom w:val="0"/>
      <w:divBdr>
        <w:top w:val="none" w:sz="0" w:space="0" w:color="auto"/>
        <w:left w:val="none" w:sz="0" w:space="0" w:color="auto"/>
        <w:bottom w:val="none" w:sz="0" w:space="0" w:color="auto"/>
        <w:right w:val="none" w:sz="0" w:space="0" w:color="auto"/>
      </w:divBdr>
    </w:div>
    <w:div w:id="2095973626">
      <w:bodyDiv w:val="1"/>
      <w:marLeft w:val="0"/>
      <w:marRight w:val="0"/>
      <w:marTop w:val="0"/>
      <w:marBottom w:val="0"/>
      <w:divBdr>
        <w:top w:val="none" w:sz="0" w:space="0" w:color="auto"/>
        <w:left w:val="none" w:sz="0" w:space="0" w:color="auto"/>
        <w:bottom w:val="none" w:sz="0" w:space="0" w:color="auto"/>
        <w:right w:val="none" w:sz="0" w:space="0" w:color="auto"/>
      </w:divBdr>
    </w:div>
    <w:div w:id="2096779530">
      <w:bodyDiv w:val="1"/>
      <w:marLeft w:val="0"/>
      <w:marRight w:val="0"/>
      <w:marTop w:val="0"/>
      <w:marBottom w:val="0"/>
      <w:divBdr>
        <w:top w:val="none" w:sz="0" w:space="0" w:color="auto"/>
        <w:left w:val="none" w:sz="0" w:space="0" w:color="auto"/>
        <w:bottom w:val="none" w:sz="0" w:space="0" w:color="auto"/>
        <w:right w:val="none" w:sz="0" w:space="0" w:color="auto"/>
      </w:divBdr>
    </w:div>
    <w:div w:id="2098361184">
      <w:bodyDiv w:val="1"/>
      <w:marLeft w:val="0"/>
      <w:marRight w:val="0"/>
      <w:marTop w:val="0"/>
      <w:marBottom w:val="0"/>
      <w:divBdr>
        <w:top w:val="none" w:sz="0" w:space="0" w:color="auto"/>
        <w:left w:val="none" w:sz="0" w:space="0" w:color="auto"/>
        <w:bottom w:val="none" w:sz="0" w:space="0" w:color="auto"/>
        <w:right w:val="none" w:sz="0" w:space="0" w:color="auto"/>
      </w:divBdr>
    </w:div>
    <w:div w:id="2099324235">
      <w:bodyDiv w:val="1"/>
      <w:marLeft w:val="0"/>
      <w:marRight w:val="0"/>
      <w:marTop w:val="0"/>
      <w:marBottom w:val="0"/>
      <w:divBdr>
        <w:top w:val="none" w:sz="0" w:space="0" w:color="auto"/>
        <w:left w:val="none" w:sz="0" w:space="0" w:color="auto"/>
        <w:bottom w:val="none" w:sz="0" w:space="0" w:color="auto"/>
        <w:right w:val="none" w:sz="0" w:space="0" w:color="auto"/>
      </w:divBdr>
    </w:div>
    <w:div w:id="2105638884">
      <w:bodyDiv w:val="1"/>
      <w:marLeft w:val="0"/>
      <w:marRight w:val="0"/>
      <w:marTop w:val="0"/>
      <w:marBottom w:val="0"/>
      <w:divBdr>
        <w:top w:val="none" w:sz="0" w:space="0" w:color="auto"/>
        <w:left w:val="none" w:sz="0" w:space="0" w:color="auto"/>
        <w:bottom w:val="none" w:sz="0" w:space="0" w:color="auto"/>
        <w:right w:val="none" w:sz="0" w:space="0" w:color="auto"/>
      </w:divBdr>
    </w:div>
    <w:div w:id="2108038252">
      <w:bodyDiv w:val="1"/>
      <w:marLeft w:val="0"/>
      <w:marRight w:val="0"/>
      <w:marTop w:val="0"/>
      <w:marBottom w:val="0"/>
      <w:divBdr>
        <w:top w:val="none" w:sz="0" w:space="0" w:color="auto"/>
        <w:left w:val="none" w:sz="0" w:space="0" w:color="auto"/>
        <w:bottom w:val="none" w:sz="0" w:space="0" w:color="auto"/>
        <w:right w:val="none" w:sz="0" w:space="0" w:color="auto"/>
      </w:divBdr>
    </w:div>
    <w:div w:id="2108235335">
      <w:bodyDiv w:val="1"/>
      <w:marLeft w:val="0"/>
      <w:marRight w:val="0"/>
      <w:marTop w:val="0"/>
      <w:marBottom w:val="0"/>
      <w:divBdr>
        <w:top w:val="none" w:sz="0" w:space="0" w:color="auto"/>
        <w:left w:val="none" w:sz="0" w:space="0" w:color="auto"/>
        <w:bottom w:val="none" w:sz="0" w:space="0" w:color="auto"/>
        <w:right w:val="none" w:sz="0" w:space="0" w:color="auto"/>
      </w:divBdr>
    </w:div>
    <w:div w:id="2109083067">
      <w:bodyDiv w:val="1"/>
      <w:marLeft w:val="0"/>
      <w:marRight w:val="0"/>
      <w:marTop w:val="0"/>
      <w:marBottom w:val="0"/>
      <w:divBdr>
        <w:top w:val="none" w:sz="0" w:space="0" w:color="auto"/>
        <w:left w:val="none" w:sz="0" w:space="0" w:color="auto"/>
        <w:bottom w:val="none" w:sz="0" w:space="0" w:color="auto"/>
        <w:right w:val="none" w:sz="0" w:space="0" w:color="auto"/>
      </w:divBdr>
    </w:div>
    <w:div w:id="2109301546">
      <w:bodyDiv w:val="1"/>
      <w:marLeft w:val="0"/>
      <w:marRight w:val="0"/>
      <w:marTop w:val="0"/>
      <w:marBottom w:val="0"/>
      <w:divBdr>
        <w:top w:val="none" w:sz="0" w:space="0" w:color="auto"/>
        <w:left w:val="none" w:sz="0" w:space="0" w:color="auto"/>
        <w:bottom w:val="none" w:sz="0" w:space="0" w:color="auto"/>
        <w:right w:val="none" w:sz="0" w:space="0" w:color="auto"/>
      </w:divBdr>
    </w:div>
    <w:div w:id="2109349717">
      <w:bodyDiv w:val="1"/>
      <w:marLeft w:val="0"/>
      <w:marRight w:val="0"/>
      <w:marTop w:val="0"/>
      <w:marBottom w:val="0"/>
      <w:divBdr>
        <w:top w:val="none" w:sz="0" w:space="0" w:color="auto"/>
        <w:left w:val="none" w:sz="0" w:space="0" w:color="auto"/>
        <w:bottom w:val="none" w:sz="0" w:space="0" w:color="auto"/>
        <w:right w:val="none" w:sz="0" w:space="0" w:color="auto"/>
      </w:divBdr>
    </w:div>
    <w:div w:id="2109765433">
      <w:bodyDiv w:val="1"/>
      <w:marLeft w:val="0"/>
      <w:marRight w:val="0"/>
      <w:marTop w:val="0"/>
      <w:marBottom w:val="0"/>
      <w:divBdr>
        <w:top w:val="none" w:sz="0" w:space="0" w:color="auto"/>
        <w:left w:val="none" w:sz="0" w:space="0" w:color="auto"/>
        <w:bottom w:val="none" w:sz="0" w:space="0" w:color="auto"/>
        <w:right w:val="none" w:sz="0" w:space="0" w:color="auto"/>
      </w:divBdr>
    </w:div>
    <w:div w:id="2109765668">
      <w:bodyDiv w:val="1"/>
      <w:marLeft w:val="0"/>
      <w:marRight w:val="0"/>
      <w:marTop w:val="0"/>
      <w:marBottom w:val="0"/>
      <w:divBdr>
        <w:top w:val="none" w:sz="0" w:space="0" w:color="auto"/>
        <w:left w:val="none" w:sz="0" w:space="0" w:color="auto"/>
        <w:bottom w:val="none" w:sz="0" w:space="0" w:color="auto"/>
        <w:right w:val="none" w:sz="0" w:space="0" w:color="auto"/>
      </w:divBdr>
    </w:div>
    <w:div w:id="2110344453">
      <w:bodyDiv w:val="1"/>
      <w:marLeft w:val="0"/>
      <w:marRight w:val="0"/>
      <w:marTop w:val="0"/>
      <w:marBottom w:val="0"/>
      <w:divBdr>
        <w:top w:val="none" w:sz="0" w:space="0" w:color="auto"/>
        <w:left w:val="none" w:sz="0" w:space="0" w:color="auto"/>
        <w:bottom w:val="none" w:sz="0" w:space="0" w:color="auto"/>
        <w:right w:val="none" w:sz="0" w:space="0" w:color="auto"/>
      </w:divBdr>
    </w:div>
    <w:div w:id="2110543822">
      <w:bodyDiv w:val="1"/>
      <w:marLeft w:val="0"/>
      <w:marRight w:val="0"/>
      <w:marTop w:val="0"/>
      <w:marBottom w:val="0"/>
      <w:divBdr>
        <w:top w:val="none" w:sz="0" w:space="0" w:color="auto"/>
        <w:left w:val="none" w:sz="0" w:space="0" w:color="auto"/>
        <w:bottom w:val="none" w:sz="0" w:space="0" w:color="auto"/>
        <w:right w:val="none" w:sz="0" w:space="0" w:color="auto"/>
      </w:divBdr>
    </w:div>
    <w:div w:id="2111973873">
      <w:bodyDiv w:val="1"/>
      <w:marLeft w:val="0"/>
      <w:marRight w:val="0"/>
      <w:marTop w:val="0"/>
      <w:marBottom w:val="0"/>
      <w:divBdr>
        <w:top w:val="none" w:sz="0" w:space="0" w:color="auto"/>
        <w:left w:val="none" w:sz="0" w:space="0" w:color="auto"/>
        <w:bottom w:val="none" w:sz="0" w:space="0" w:color="auto"/>
        <w:right w:val="none" w:sz="0" w:space="0" w:color="auto"/>
      </w:divBdr>
    </w:div>
    <w:div w:id="2112042617">
      <w:bodyDiv w:val="1"/>
      <w:marLeft w:val="0"/>
      <w:marRight w:val="0"/>
      <w:marTop w:val="0"/>
      <w:marBottom w:val="0"/>
      <w:divBdr>
        <w:top w:val="none" w:sz="0" w:space="0" w:color="auto"/>
        <w:left w:val="none" w:sz="0" w:space="0" w:color="auto"/>
        <w:bottom w:val="none" w:sz="0" w:space="0" w:color="auto"/>
        <w:right w:val="none" w:sz="0" w:space="0" w:color="auto"/>
      </w:divBdr>
    </w:div>
    <w:div w:id="2112772815">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4201046">
      <w:bodyDiv w:val="1"/>
      <w:marLeft w:val="0"/>
      <w:marRight w:val="0"/>
      <w:marTop w:val="0"/>
      <w:marBottom w:val="0"/>
      <w:divBdr>
        <w:top w:val="none" w:sz="0" w:space="0" w:color="auto"/>
        <w:left w:val="none" w:sz="0" w:space="0" w:color="auto"/>
        <w:bottom w:val="none" w:sz="0" w:space="0" w:color="auto"/>
        <w:right w:val="none" w:sz="0" w:space="0" w:color="auto"/>
      </w:divBdr>
    </w:div>
    <w:div w:id="2116946110">
      <w:bodyDiv w:val="1"/>
      <w:marLeft w:val="0"/>
      <w:marRight w:val="0"/>
      <w:marTop w:val="0"/>
      <w:marBottom w:val="0"/>
      <w:divBdr>
        <w:top w:val="none" w:sz="0" w:space="0" w:color="auto"/>
        <w:left w:val="none" w:sz="0" w:space="0" w:color="auto"/>
        <w:bottom w:val="none" w:sz="0" w:space="0" w:color="auto"/>
        <w:right w:val="none" w:sz="0" w:space="0" w:color="auto"/>
      </w:divBdr>
    </w:div>
    <w:div w:id="2116947299">
      <w:bodyDiv w:val="1"/>
      <w:marLeft w:val="0"/>
      <w:marRight w:val="0"/>
      <w:marTop w:val="0"/>
      <w:marBottom w:val="0"/>
      <w:divBdr>
        <w:top w:val="none" w:sz="0" w:space="0" w:color="auto"/>
        <w:left w:val="none" w:sz="0" w:space="0" w:color="auto"/>
        <w:bottom w:val="none" w:sz="0" w:space="0" w:color="auto"/>
        <w:right w:val="none" w:sz="0" w:space="0" w:color="auto"/>
      </w:divBdr>
    </w:div>
    <w:div w:id="2118136470">
      <w:bodyDiv w:val="1"/>
      <w:marLeft w:val="0"/>
      <w:marRight w:val="0"/>
      <w:marTop w:val="0"/>
      <w:marBottom w:val="0"/>
      <w:divBdr>
        <w:top w:val="none" w:sz="0" w:space="0" w:color="auto"/>
        <w:left w:val="none" w:sz="0" w:space="0" w:color="auto"/>
        <w:bottom w:val="none" w:sz="0" w:space="0" w:color="auto"/>
        <w:right w:val="none" w:sz="0" w:space="0" w:color="auto"/>
      </w:divBdr>
    </w:div>
    <w:div w:id="2118255275">
      <w:bodyDiv w:val="1"/>
      <w:marLeft w:val="0"/>
      <w:marRight w:val="0"/>
      <w:marTop w:val="0"/>
      <w:marBottom w:val="0"/>
      <w:divBdr>
        <w:top w:val="none" w:sz="0" w:space="0" w:color="auto"/>
        <w:left w:val="none" w:sz="0" w:space="0" w:color="auto"/>
        <w:bottom w:val="none" w:sz="0" w:space="0" w:color="auto"/>
        <w:right w:val="none" w:sz="0" w:space="0" w:color="auto"/>
      </w:divBdr>
    </w:div>
    <w:div w:id="2118792116">
      <w:bodyDiv w:val="1"/>
      <w:marLeft w:val="0"/>
      <w:marRight w:val="0"/>
      <w:marTop w:val="0"/>
      <w:marBottom w:val="0"/>
      <w:divBdr>
        <w:top w:val="none" w:sz="0" w:space="0" w:color="auto"/>
        <w:left w:val="none" w:sz="0" w:space="0" w:color="auto"/>
        <w:bottom w:val="none" w:sz="0" w:space="0" w:color="auto"/>
        <w:right w:val="none" w:sz="0" w:space="0" w:color="auto"/>
      </w:divBdr>
    </w:div>
    <w:div w:id="2120097896">
      <w:bodyDiv w:val="1"/>
      <w:marLeft w:val="0"/>
      <w:marRight w:val="0"/>
      <w:marTop w:val="0"/>
      <w:marBottom w:val="0"/>
      <w:divBdr>
        <w:top w:val="none" w:sz="0" w:space="0" w:color="auto"/>
        <w:left w:val="none" w:sz="0" w:space="0" w:color="auto"/>
        <w:bottom w:val="none" w:sz="0" w:space="0" w:color="auto"/>
        <w:right w:val="none" w:sz="0" w:space="0" w:color="auto"/>
      </w:divBdr>
    </w:div>
    <w:div w:id="2120488126">
      <w:bodyDiv w:val="1"/>
      <w:marLeft w:val="0"/>
      <w:marRight w:val="0"/>
      <w:marTop w:val="0"/>
      <w:marBottom w:val="0"/>
      <w:divBdr>
        <w:top w:val="none" w:sz="0" w:space="0" w:color="auto"/>
        <w:left w:val="none" w:sz="0" w:space="0" w:color="auto"/>
        <w:bottom w:val="none" w:sz="0" w:space="0" w:color="auto"/>
        <w:right w:val="none" w:sz="0" w:space="0" w:color="auto"/>
      </w:divBdr>
    </w:div>
    <w:div w:id="2120830120">
      <w:bodyDiv w:val="1"/>
      <w:marLeft w:val="0"/>
      <w:marRight w:val="0"/>
      <w:marTop w:val="0"/>
      <w:marBottom w:val="0"/>
      <w:divBdr>
        <w:top w:val="none" w:sz="0" w:space="0" w:color="auto"/>
        <w:left w:val="none" w:sz="0" w:space="0" w:color="auto"/>
        <w:bottom w:val="none" w:sz="0" w:space="0" w:color="auto"/>
        <w:right w:val="none" w:sz="0" w:space="0" w:color="auto"/>
      </w:divBdr>
    </w:div>
    <w:div w:id="2122527300">
      <w:bodyDiv w:val="1"/>
      <w:marLeft w:val="0"/>
      <w:marRight w:val="0"/>
      <w:marTop w:val="0"/>
      <w:marBottom w:val="0"/>
      <w:divBdr>
        <w:top w:val="none" w:sz="0" w:space="0" w:color="auto"/>
        <w:left w:val="none" w:sz="0" w:space="0" w:color="auto"/>
        <w:bottom w:val="none" w:sz="0" w:space="0" w:color="auto"/>
        <w:right w:val="none" w:sz="0" w:space="0" w:color="auto"/>
      </w:divBdr>
    </w:div>
    <w:div w:id="2123110196">
      <w:bodyDiv w:val="1"/>
      <w:marLeft w:val="0"/>
      <w:marRight w:val="0"/>
      <w:marTop w:val="0"/>
      <w:marBottom w:val="0"/>
      <w:divBdr>
        <w:top w:val="none" w:sz="0" w:space="0" w:color="auto"/>
        <w:left w:val="none" w:sz="0" w:space="0" w:color="auto"/>
        <w:bottom w:val="none" w:sz="0" w:space="0" w:color="auto"/>
        <w:right w:val="none" w:sz="0" w:space="0" w:color="auto"/>
      </w:divBdr>
    </w:div>
    <w:div w:id="2123498992">
      <w:bodyDiv w:val="1"/>
      <w:marLeft w:val="0"/>
      <w:marRight w:val="0"/>
      <w:marTop w:val="0"/>
      <w:marBottom w:val="0"/>
      <w:divBdr>
        <w:top w:val="none" w:sz="0" w:space="0" w:color="auto"/>
        <w:left w:val="none" w:sz="0" w:space="0" w:color="auto"/>
        <w:bottom w:val="none" w:sz="0" w:space="0" w:color="auto"/>
        <w:right w:val="none" w:sz="0" w:space="0" w:color="auto"/>
      </w:divBdr>
    </w:div>
    <w:div w:id="2124106596">
      <w:bodyDiv w:val="1"/>
      <w:marLeft w:val="0"/>
      <w:marRight w:val="0"/>
      <w:marTop w:val="0"/>
      <w:marBottom w:val="0"/>
      <w:divBdr>
        <w:top w:val="none" w:sz="0" w:space="0" w:color="auto"/>
        <w:left w:val="none" w:sz="0" w:space="0" w:color="auto"/>
        <w:bottom w:val="none" w:sz="0" w:space="0" w:color="auto"/>
        <w:right w:val="none" w:sz="0" w:space="0" w:color="auto"/>
      </w:divBdr>
    </w:div>
    <w:div w:id="2124155613">
      <w:bodyDiv w:val="1"/>
      <w:marLeft w:val="0"/>
      <w:marRight w:val="0"/>
      <w:marTop w:val="0"/>
      <w:marBottom w:val="0"/>
      <w:divBdr>
        <w:top w:val="none" w:sz="0" w:space="0" w:color="auto"/>
        <w:left w:val="none" w:sz="0" w:space="0" w:color="auto"/>
        <w:bottom w:val="none" w:sz="0" w:space="0" w:color="auto"/>
        <w:right w:val="none" w:sz="0" w:space="0" w:color="auto"/>
      </w:divBdr>
    </w:div>
    <w:div w:id="2127233528">
      <w:bodyDiv w:val="1"/>
      <w:marLeft w:val="0"/>
      <w:marRight w:val="0"/>
      <w:marTop w:val="0"/>
      <w:marBottom w:val="0"/>
      <w:divBdr>
        <w:top w:val="none" w:sz="0" w:space="0" w:color="auto"/>
        <w:left w:val="none" w:sz="0" w:space="0" w:color="auto"/>
        <w:bottom w:val="none" w:sz="0" w:space="0" w:color="auto"/>
        <w:right w:val="none" w:sz="0" w:space="0" w:color="auto"/>
      </w:divBdr>
    </w:div>
    <w:div w:id="2127846003">
      <w:bodyDiv w:val="1"/>
      <w:marLeft w:val="0"/>
      <w:marRight w:val="0"/>
      <w:marTop w:val="0"/>
      <w:marBottom w:val="0"/>
      <w:divBdr>
        <w:top w:val="none" w:sz="0" w:space="0" w:color="auto"/>
        <w:left w:val="none" w:sz="0" w:space="0" w:color="auto"/>
        <w:bottom w:val="none" w:sz="0" w:space="0" w:color="auto"/>
        <w:right w:val="none" w:sz="0" w:space="0" w:color="auto"/>
      </w:divBdr>
    </w:div>
    <w:div w:id="2129280240">
      <w:bodyDiv w:val="1"/>
      <w:marLeft w:val="0"/>
      <w:marRight w:val="0"/>
      <w:marTop w:val="0"/>
      <w:marBottom w:val="0"/>
      <w:divBdr>
        <w:top w:val="none" w:sz="0" w:space="0" w:color="auto"/>
        <w:left w:val="none" w:sz="0" w:space="0" w:color="auto"/>
        <w:bottom w:val="none" w:sz="0" w:space="0" w:color="auto"/>
        <w:right w:val="none" w:sz="0" w:space="0" w:color="auto"/>
      </w:divBdr>
    </w:div>
    <w:div w:id="2130970393">
      <w:bodyDiv w:val="1"/>
      <w:marLeft w:val="0"/>
      <w:marRight w:val="0"/>
      <w:marTop w:val="0"/>
      <w:marBottom w:val="0"/>
      <w:divBdr>
        <w:top w:val="none" w:sz="0" w:space="0" w:color="auto"/>
        <w:left w:val="none" w:sz="0" w:space="0" w:color="auto"/>
        <w:bottom w:val="none" w:sz="0" w:space="0" w:color="auto"/>
        <w:right w:val="none" w:sz="0" w:space="0" w:color="auto"/>
      </w:divBdr>
    </w:div>
    <w:div w:id="2133747220">
      <w:bodyDiv w:val="1"/>
      <w:marLeft w:val="0"/>
      <w:marRight w:val="0"/>
      <w:marTop w:val="0"/>
      <w:marBottom w:val="0"/>
      <w:divBdr>
        <w:top w:val="none" w:sz="0" w:space="0" w:color="auto"/>
        <w:left w:val="none" w:sz="0" w:space="0" w:color="auto"/>
        <w:bottom w:val="none" w:sz="0" w:space="0" w:color="auto"/>
        <w:right w:val="none" w:sz="0" w:space="0" w:color="auto"/>
      </w:divBdr>
    </w:div>
    <w:div w:id="2134518073">
      <w:bodyDiv w:val="1"/>
      <w:marLeft w:val="0"/>
      <w:marRight w:val="0"/>
      <w:marTop w:val="0"/>
      <w:marBottom w:val="0"/>
      <w:divBdr>
        <w:top w:val="none" w:sz="0" w:space="0" w:color="auto"/>
        <w:left w:val="none" w:sz="0" w:space="0" w:color="auto"/>
        <w:bottom w:val="none" w:sz="0" w:space="0" w:color="auto"/>
        <w:right w:val="none" w:sz="0" w:space="0" w:color="auto"/>
      </w:divBdr>
    </w:div>
    <w:div w:id="2134984102">
      <w:bodyDiv w:val="1"/>
      <w:marLeft w:val="0"/>
      <w:marRight w:val="0"/>
      <w:marTop w:val="0"/>
      <w:marBottom w:val="0"/>
      <w:divBdr>
        <w:top w:val="none" w:sz="0" w:space="0" w:color="auto"/>
        <w:left w:val="none" w:sz="0" w:space="0" w:color="auto"/>
        <w:bottom w:val="none" w:sz="0" w:space="0" w:color="auto"/>
        <w:right w:val="none" w:sz="0" w:space="0" w:color="auto"/>
      </w:divBdr>
    </w:div>
    <w:div w:id="2135560716">
      <w:bodyDiv w:val="1"/>
      <w:marLeft w:val="0"/>
      <w:marRight w:val="0"/>
      <w:marTop w:val="0"/>
      <w:marBottom w:val="0"/>
      <w:divBdr>
        <w:top w:val="none" w:sz="0" w:space="0" w:color="auto"/>
        <w:left w:val="none" w:sz="0" w:space="0" w:color="auto"/>
        <w:bottom w:val="none" w:sz="0" w:space="0" w:color="auto"/>
        <w:right w:val="none" w:sz="0" w:space="0" w:color="auto"/>
      </w:divBdr>
    </w:div>
    <w:div w:id="2136098151">
      <w:bodyDiv w:val="1"/>
      <w:marLeft w:val="0"/>
      <w:marRight w:val="0"/>
      <w:marTop w:val="0"/>
      <w:marBottom w:val="0"/>
      <w:divBdr>
        <w:top w:val="none" w:sz="0" w:space="0" w:color="auto"/>
        <w:left w:val="none" w:sz="0" w:space="0" w:color="auto"/>
        <w:bottom w:val="none" w:sz="0" w:space="0" w:color="auto"/>
        <w:right w:val="none" w:sz="0" w:space="0" w:color="auto"/>
      </w:divBdr>
    </w:div>
    <w:div w:id="2136673121">
      <w:bodyDiv w:val="1"/>
      <w:marLeft w:val="0"/>
      <w:marRight w:val="0"/>
      <w:marTop w:val="0"/>
      <w:marBottom w:val="0"/>
      <w:divBdr>
        <w:top w:val="none" w:sz="0" w:space="0" w:color="auto"/>
        <w:left w:val="none" w:sz="0" w:space="0" w:color="auto"/>
        <w:bottom w:val="none" w:sz="0" w:space="0" w:color="auto"/>
        <w:right w:val="none" w:sz="0" w:space="0" w:color="auto"/>
      </w:divBdr>
    </w:div>
    <w:div w:id="2138646150">
      <w:bodyDiv w:val="1"/>
      <w:marLeft w:val="0"/>
      <w:marRight w:val="0"/>
      <w:marTop w:val="0"/>
      <w:marBottom w:val="0"/>
      <w:divBdr>
        <w:top w:val="none" w:sz="0" w:space="0" w:color="auto"/>
        <w:left w:val="none" w:sz="0" w:space="0" w:color="auto"/>
        <w:bottom w:val="none" w:sz="0" w:space="0" w:color="auto"/>
        <w:right w:val="none" w:sz="0" w:space="0" w:color="auto"/>
      </w:divBdr>
    </w:div>
    <w:div w:id="2140951222">
      <w:bodyDiv w:val="1"/>
      <w:marLeft w:val="0"/>
      <w:marRight w:val="0"/>
      <w:marTop w:val="0"/>
      <w:marBottom w:val="0"/>
      <w:divBdr>
        <w:top w:val="none" w:sz="0" w:space="0" w:color="auto"/>
        <w:left w:val="none" w:sz="0" w:space="0" w:color="auto"/>
        <w:bottom w:val="none" w:sz="0" w:space="0" w:color="auto"/>
        <w:right w:val="none" w:sz="0" w:space="0" w:color="auto"/>
      </w:divBdr>
    </w:div>
    <w:div w:id="2141146860">
      <w:bodyDiv w:val="1"/>
      <w:marLeft w:val="0"/>
      <w:marRight w:val="0"/>
      <w:marTop w:val="0"/>
      <w:marBottom w:val="0"/>
      <w:divBdr>
        <w:top w:val="none" w:sz="0" w:space="0" w:color="auto"/>
        <w:left w:val="none" w:sz="0" w:space="0" w:color="auto"/>
        <w:bottom w:val="none" w:sz="0" w:space="0" w:color="auto"/>
        <w:right w:val="none" w:sz="0" w:space="0" w:color="auto"/>
      </w:divBdr>
    </w:div>
    <w:div w:id="2141216516">
      <w:bodyDiv w:val="1"/>
      <w:marLeft w:val="0"/>
      <w:marRight w:val="0"/>
      <w:marTop w:val="0"/>
      <w:marBottom w:val="0"/>
      <w:divBdr>
        <w:top w:val="none" w:sz="0" w:space="0" w:color="auto"/>
        <w:left w:val="none" w:sz="0" w:space="0" w:color="auto"/>
        <w:bottom w:val="none" w:sz="0" w:space="0" w:color="auto"/>
        <w:right w:val="none" w:sz="0" w:space="0" w:color="auto"/>
      </w:divBdr>
    </w:div>
    <w:div w:id="2141992169">
      <w:bodyDiv w:val="1"/>
      <w:marLeft w:val="0"/>
      <w:marRight w:val="0"/>
      <w:marTop w:val="0"/>
      <w:marBottom w:val="0"/>
      <w:divBdr>
        <w:top w:val="none" w:sz="0" w:space="0" w:color="auto"/>
        <w:left w:val="none" w:sz="0" w:space="0" w:color="auto"/>
        <w:bottom w:val="none" w:sz="0" w:space="0" w:color="auto"/>
        <w:right w:val="none" w:sz="0" w:space="0" w:color="auto"/>
      </w:divBdr>
    </w:div>
    <w:div w:id="2142336274">
      <w:bodyDiv w:val="1"/>
      <w:marLeft w:val="0"/>
      <w:marRight w:val="0"/>
      <w:marTop w:val="0"/>
      <w:marBottom w:val="0"/>
      <w:divBdr>
        <w:top w:val="none" w:sz="0" w:space="0" w:color="auto"/>
        <w:left w:val="none" w:sz="0" w:space="0" w:color="auto"/>
        <w:bottom w:val="none" w:sz="0" w:space="0" w:color="auto"/>
        <w:right w:val="none" w:sz="0" w:space="0" w:color="auto"/>
      </w:divBdr>
    </w:div>
    <w:div w:id="2142654566">
      <w:bodyDiv w:val="1"/>
      <w:marLeft w:val="0"/>
      <w:marRight w:val="0"/>
      <w:marTop w:val="0"/>
      <w:marBottom w:val="0"/>
      <w:divBdr>
        <w:top w:val="none" w:sz="0" w:space="0" w:color="auto"/>
        <w:left w:val="none" w:sz="0" w:space="0" w:color="auto"/>
        <w:bottom w:val="none" w:sz="0" w:space="0" w:color="auto"/>
        <w:right w:val="none" w:sz="0" w:space="0" w:color="auto"/>
      </w:divBdr>
    </w:div>
    <w:div w:id="2143502096">
      <w:bodyDiv w:val="1"/>
      <w:marLeft w:val="0"/>
      <w:marRight w:val="0"/>
      <w:marTop w:val="0"/>
      <w:marBottom w:val="0"/>
      <w:divBdr>
        <w:top w:val="none" w:sz="0" w:space="0" w:color="auto"/>
        <w:left w:val="none" w:sz="0" w:space="0" w:color="auto"/>
        <w:bottom w:val="none" w:sz="0" w:space="0" w:color="auto"/>
        <w:right w:val="none" w:sz="0" w:space="0" w:color="auto"/>
      </w:divBdr>
    </w:div>
    <w:div w:id="2144611503">
      <w:bodyDiv w:val="1"/>
      <w:marLeft w:val="0"/>
      <w:marRight w:val="0"/>
      <w:marTop w:val="0"/>
      <w:marBottom w:val="0"/>
      <w:divBdr>
        <w:top w:val="none" w:sz="0" w:space="0" w:color="auto"/>
        <w:left w:val="none" w:sz="0" w:space="0" w:color="auto"/>
        <w:bottom w:val="none" w:sz="0" w:space="0" w:color="auto"/>
        <w:right w:val="none" w:sz="0" w:space="0" w:color="auto"/>
      </w:divBdr>
    </w:div>
    <w:div w:id="2145273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customXml" Target="../customXml/item2.xml"/><Relationship Id="rId21" Type="http://schemas.openxmlformats.org/officeDocument/2006/relationships/image" Target="media/image3.png"/><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onr.org.uk/saps/saps2014.pdf" TargetMode="External"/><Relationship Id="rId25"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footer" Target="footer3.xml"/><Relationship Id="rId20" Type="http://schemas.openxmlformats.org/officeDocument/2006/relationships/image" Target="media/image2.emf"/><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eader" Target="header5.xml"/><Relationship Id="rId10" Type="http://schemas.openxmlformats.org/officeDocument/2006/relationships/image" Target="media/image1.png"/><Relationship Id="rId19"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r w:rsidRPr="0069507A">
            <w:t>[Title]</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0A0C3B" w:rsidRDefault="007154C5">
          <w:r w:rsidRPr="00812B14">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0A0C3B" w:rsidRDefault="007154C5">
          <w:r w:rsidRPr="00812B14">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0A0C3B" w:rsidRDefault="007154C5">
          <w:r w:rsidRPr="00812B14">
            <w:t>[Title]</w:t>
          </w:r>
        </w:p>
      </w:docPartBody>
    </w:docPart>
    <w:docPart>
      <w:docPartPr>
        <w:name w:val="30CB27CBF28C4D2FBF0903761E9BCFB8"/>
        <w:category>
          <w:name w:val="General"/>
          <w:gallery w:val="placeholder"/>
        </w:category>
        <w:types>
          <w:type w:val="bbPlcHdr"/>
        </w:types>
        <w:behaviors>
          <w:behavior w:val="content"/>
        </w:behaviors>
        <w:guid w:val="{14BEFC57-22AC-426B-AFBE-6BACEB08906E}"/>
      </w:docPartPr>
      <w:docPartBody>
        <w:p w:rsidR="00252452" w:rsidRDefault="00972B41" w:rsidP="00972B41">
          <w:pPr>
            <w:pStyle w:val="30CB27CBF28C4D2FBF0903761E9BCFB8"/>
          </w:pPr>
          <w:r w:rsidRPr="00561874">
            <w:t>[Title]</w:t>
          </w:r>
        </w:p>
      </w:docPartBody>
    </w:docPart>
    <w:docPart>
      <w:docPartPr>
        <w:name w:val="3E5B43D4E703445285DC56911DA95DBF"/>
        <w:category>
          <w:name w:val="General"/>
          <w:gallery w:val="placeholder"/>
        </w:category>
        <w:types>
          <w:type w:val="bbPlcHdr"/>
        </w:types>
        <w:behaviors>
          <w:behavior w:val="content"/>
        </w:behaviors>
        <w:guid w:val="{7526907D-2838-43FE-852F-110E4F3111B1}"/>
      </w:docPartPr>
      <w:docPartBody>
        <w:p w:rsidR="00252452" w:rsidRDefault="00972B41" w:rsidP="00972B41">
          <w:pPr>
            <w:pStyle w:val="3E5B43D4E703445285DC56911DA95DBF"/>
          </w:pPr>
          <w:r w:rsidRPr="00D1240B">
            <w:t>[Status]</w:t>
          </w:r>
        </w:p>
      </w:docPartBody>
    </w:docPart>
    <w:docPart>
      <w:docPartPr>
        <w:name w:val="7B9BDFF14BD54958B10F73A803ABCB8B"/>
        <w:category>
          <w:name w:val="General"/>
          <w:gallery w:val="placeholder"/>
        </w:category>
        <w:types>
          <w:type w:val="bbPlcHdr"/>
        </w:types>
        <w:behaviors>
          <w:behavior w:val="content"/>
        </w:behaviors>
        <w:guid w:val="{2779649A-CEF4-4E60-A3A4-75CCBEDC24FA}"/>
      </w:docPartPr>
      <w:docPartBody>
        <w:p w:rsidR="00252452" w:rsidRDefault="00972B41" w:rsidP="00972B41">
          <w:pPr>
            <w:pStyle w:val="7B9BDFF14BD54958B10F73A803ABCB8B"/>
          </w:pPr>
          <w:r w:rsidRPr="00812B14">
            <w:t>[Status]</w:t>
          </w:r>
        </w:p>
      </w:docPartBody>
    </w:docPart>
    <w:docPart>
      <w:docPartPr>
        <w:name w:val="1F5777D6B93B411C86CF27D468A59C7A"/>
        <w:category>
          <w:name w:val="General"/>
          <w:gallery w:val="placeholder"/>
        </w:category>
        <w:types>
          <w:type w:val="bbPlcHdr"/>
        </w:types>
        <w:behaviors>
          <w:behavior w:val="content"/>
        </w:behaviors>
        <w:guid w:val="{53C7C420-362A-44CA-B5F5-88827A2C119A}"/>
      </w:docPartPr>
      <w:docPartBody>
        <w:p w:rsidR="002659B8" w:rsidRDefault="002659B8">
          <w:pPr>
            <w:pStyle w:val="1F5777D6B93B411C86CF27D468A59C7A"/>
          </w:pPr>
          <w:r w:rsidRPr="00561874">
            <w:t>[Title]</w:t>
          </w:r>
        </w:p>
      </w:docPartBody>
    </w:docPart>
    <w:docPart>
      <w:docPartPr>
        <w:name w:val="15F9126A14004D17B8883DD4FAEC8119"/>
        <w:category>
          <w:name w:val="General"/>
          <w:gallery w:val="placeholder"/>
        </w:category>
        <w:types>
          <w:type w:val="bbPlcHdr"/>
        </w:types>
        <w:behaviors>
          <w:behavior w:val="content"/>
        </w:behaviors>
        <w:guid w:val="{B3F3719E-D96E-4CB8-96D4-A897A23DA6B5}"/>
      </w:docPartPr>
      <w:docPartBody>
        <w:p w:rsidR="002659B8" w:rsidRDefault="002659B8">
          <w:pPr>
            <w:pStyle w:val="15F9126A14004D17B8883DD4FAEC8119"/>
          </w:pPr>
          <w:r w:rsidRPr="00D1240B">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A0C3B"/>
    <w:rsid w:val="00164B5A"/>
    <w:rsid w:val="001930BF"/>
    <w:rsid w:val="001D7D42"/>
    <w:rsid w:val="00252452"/>
    <w:rsid w:val="002550FD"/>
    <w:rsid w:val="002659B8"/>
    <w:rsid w:val="00350199"/>
    <w:rsid w:val="003F613F"/>
    <w:rsid w:val="00404C20"/>
    <w:rsid w:val="0057646A"/>
    <w:rsid w:val="00640704"/>
    <w:rsid w:val="00641E98"/>
    <w:rsid w:val="007140C5"/>
    <w:rsid w:val="007154C5"/>
    <w:rsid w:val="00726AE0"/>
    <w:rsid w:val="00780C80"/>
    <w:rsid w:val="007959B8"/>
    <w:rsid w:val="00835E07"/>
    <w:rsid w:val="00852FA3"/>
    <w:rsid w:val="00891DB0"/>
    <w:rsid w:val="008C6455"/>
    <w:rsid w:val="009054F8"/>
    <w:rsid w:val="00964999"/>
    <w:rsid w:val="00972B41"/>
    <w:rsid w:val="00B33477"/>
    <w:rsid w:val="00CA10A9"/>
    <w:rsid w:val="00CB5C5F"/>
    <w:rsid w:val="00CD10A9"/>
    <w:rsid w:val="00D219C7"/>
    <w:rsid w:val="00D5298F"/>
    <w:rsid w:val="00D75606"/>
    <w:rsid w:val="00DB4022"/>
    <w:rsid w:val="00DD7BA4"/>
    <w:rsid w:val="00DE3F0C"/>
    <w:rsid w:val="00E24D23"/>
    <w:rsid w:val="00E318CE"/>
    <w:rsid w:val="00E47BC5"/>
    <w:rsid w:val="00E646E1"/>
    <w:rsid w:val="00E74B2B"/>
    <w:rsid w:val="00F217FF"/>
    <w:rsid w:val="00FB20D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0C80"/>
    <w:rPr>
      <w:color w:val="808080"/>
    </w:rPr>
  </w:style>
  <w:style w:type="paragraph" w:customStyle="1" w:styleId="30CB27CBF28C4D2FBF0903761E9BCFB8">
    <w:name w:val="30CB27CBF28C4D2FBF0903761E9BCFB8"/>
    <w:rsid w:val="00972B41"/>
  </w:style>
  <w:style w:type="paragraph" w:customStyle="1" w:styleId="3E5B43D4E703445285DC56911DA95DBF">
    <w:name w:val="3E5B43D4E703445285DC56911DA95DBF"/>
    <w:rsid w:val="00972B41"/>
  </w:style>
  <w:style w:type="paragraph" w:customStyle="1" w:styleId="7B9BDFF14BD54958B10F73A803ABCB8B">
    <w:name w:val="7B9BDFF14BD54958B10F73A803ABCB8B"/>
    <w:rsid w:val="00972B41"/>
  </w:style>
  <w:style w:type="paragraph" w:customStyle="1" w:styleId="1F5777D6B93B411C86CF27D468A59C7A">
    <w:name w:val="1F5777D6B93B411C86CF27D468A59C7A"/>
  </w:style>
  <w:style w:type="paragraph" w:customStyle="1" w:styleId="15F9126A14004D17B8883DD4FAEC8119">
    <w:name w:val="15F9126A14004D17B8883DD4FAEC81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MLA" Version="2006">
  <b:Source>
    <b:Tag>ONR09</b:Tag>
    <b:SourceType>Report</b:SourceType>
    <b:Guid>{31D3D5D0-C903-47DA-B31F-0C0854FA0D6A}</b:Guid>
    <b:Author>
      <b:Author>
        <b:Corporate>ONR</b:Corporate>
      </b:Author>
    </b:Author>
    <b:Title>The Identification Selection and Significance of External Hazards to Nuclear Sites</b:Title>
    <b:Year>2013, (2013/143209)</b:Year>
    <b:RefOrder>20</b:RefOrder>
  </b:Source>
  <b:Source>
    <b:Tag>Decdf</b:Tag>
    <b:SourceType>Report</b:SourceType>
    <b:Guid>{F0A35E34-6ECD-4041-AE4C-0982CA9D9D9F}</b:Guid>
    <b:Author>
      <b:Author>
        <b:NameList>
          <b:Person>
            <b:Last>Decker</b:Last>
            <b:First>K.</b:First>
            <b:Middle>&amp; Brinkman, H.,</b:Middle>
          </b:Person>
        </b:NameList>
      </b:Author>
    </b:Author>
    <b:Title>List of external hazards to be considered in ASAMPSA_E, EURATOM 7th Framework Prog. ASAPSA_E, Tech. Rpt. ASAPSA_E/WP21/D21.2/2017-41</b:Title>
    <b:Year>February 2017, http://asampsa.eu/wp-content/uploads/2014/10/ASAMPSA_E-D21.2_External_Hazard_List.pdf</b:Year>
    <b:RefOrder>26</b:RefOrder>
  </b:Source>
  <b:Source>
    <b:Tag>WENns</b:Tag>
    <b:SourceType>Report</b:SourceType>
    <b:Guid>{4045FB63-4AE9-4B90-9547-9B18BD05288D}</b:Guid>
    <b:Author>
      <b:Author>
        <b:Corporate>WENRA RHWG</b:Corporate>
      </b:Author>
    </b:Author>
    <b:Title>WENRA Safety Reference Levels for Existing Reactors 2020</b:Title>
    <b:Year>17 February 2021, https://www.wenra.eu/publications</b:Year>
    <b:RefOrder>12</b:RefOrder>
  </b:Source>
  <b:Source>
    <b:Tag>Kno03</b:Tag>
    <b:SourceType>Report</b:SourceType>
    <b:Guid>{76C26757-0A70-491F-A2E8-B3C2FD5D1A1A}</b:Guid>
    <b:Author>
      <b:Author>
        <b:NameList>
          <b:Person>
            <b:Last>Knochenhauer</b:Last>
            <b:First>M.</b:First>
            <b:Middle>and Louko, P.</b:Middle>
          </b:Person>
        </b:NameList>
      </b:Author>
    </b:Author>
    <b:Title>Guidance for External Event Analysis, SKI Report 02:27</b:Title>
    <b:Year>February 2003</b:Year>
    <b:RefOrder>27</b:RefOrder>
  </b:Source>
  <b:Source>
    <b:Tag>ONRTAG35</b:Tag>
    <b:SourceType>DocumentFromInternetSite</b:SourceType>
    <b:Guid>{246B84AE-DE2D-4A59-A4E8-2C87CFF1B376}</b:Guid>
    <b:Author>
      <b:Author>
        <b:Corporate>ONR</b:Corporate>
      </b:Author>
    </b:Author>
    <b:Title>Technical Assessment Guide 035: Limits and Conditions for Nuclear Safety (Operating Rules)</b:Title>
    <b:Year>March 2023</b:Year>
    <b:URL>https://www.onr.org.uk/operational/tech_asst_guides/index.htm</b:URL>
    <b:RefOrder>41</b:RefOrder>
  </b:Source>
  <b:Source>
    <b:Tag>ONR_TAG50</b:Tag>
    <b:SourceType>DocumentFromInternetSite</b:SourceType>
    <b:Guid>{B2A1FDA6-9F49-4E10-985A-2055FF56F09C}</b:Guid>
    <b:Author>
      <b:Author>
        <b:Corporate>ONR</b:Corporate>
      </b:Author>
    </b:Author>
    <b:Title>NS-TAST-GD-050, Technical Assessment Guide 050: Periodic Safety Review</b:Title>
    <b:Year>December 2022</b:Year>
    <b:URL>https://www.onr.org.uk/operational/tech_asst_guides/index.htm</b:URL>
    <b:RefOrder>32</b:RefOrder>
  </b:Source>
  <b:Source>
    <b:Tag>ONRTAG30</b:Tag>
    <b:SourceType>DocumentFromInternetSite</b:SourceType>
    <b:Guid>{5AD6BCE2-E04E-4599-919E-13F5BECE0BCD}</b:Guid>
    <b:Author>
      <b:Author>
        <b:Corporate>ONR</b:Corporate>
      </b:Author>
    </b:Author>
    <b:Title>NS-TAST-GD-030,  Technical Assessment Guide 030: Probabilistic Safety Analysis</b:Title>
    <b:URL>https://www.onr.org.uk/operational/tech_asst_guides/index.htm</b:URL>
    <b:Year>June 2019</b:Year>
    <b:RefOrder>18</b:RefOrder>
  </b:Source>
  <b:Source>
    <b:Tag>IAEns</b:Tag>
    <b:SourceType>DocumentFromInternetSite</b:SourceType>
    <b:Guid>{89BE627F-4367-4EA3-AF82-1807E2D2C6CE}</b:Guid>
    <b:Author>
      <b:Author>
        <b:Corporate>IAEA</b:Corporate>
      </b:Author>
    </b:Author>
    <b:Title>SSG-79, Hazards Associated with Human Induced External Events in Site Evaluation for Nuclear Installations</b:Title>
    <b:Year>2023</b:Year>
    <b:URL>https://www.iaea.org/publications</b:URL>
    <b:RefOrder>34</b:RefOrder>
  </b:Source>
  <b:Source>
    <b:Tag>IAEts1</b:Tag>
    <b:SourceType>DocumentFromInternetSite</b:SourceType>
    <b:Guid>{4C39FC9D-D7B4-4D79-BD18-5E900347528B}</b:Guid>
    <b:Author>
      <b:Author>
        <b:Corporate>IAEA</b:Corporate>
      </b:Author>
    </b:Author>
    <b:Title>SSG-77, Protection against internal and external hazards in the operation fo nuclear power plants</b:Title>
    <b:Year>2022</b:Year>
    <b:URL>https://www.iaea.org/publications</b:URL>
    <b:RefOrder>40</b:RefOrder>
  </b:Source>
  <b:Source>
    <b:Tag>IAEes</b:Tag>
    <b:SourceType>DocumentFromInternetSite</b:SourceType>
    <b:Guid>{6E893F4D-B47C-4308-9204-3622D7CADFC8}</b:Guid>
    <b:Author>
      <b:Author>
        <b:Corporate>IAEA</b:Corporate>
      </b:Author>
    </b:Author>
    <b:Title>SSG-68, Design of nuclear installations against external events excluding earthquakes</b:Title>
    <b:Year>2021</b:Year>
    <b:URL>https://www.iaea.org/publications</b:URL>
    <b:RefOrder>22</b:RefOrder>
  </b:Source>
  <b:Source>
    <b:Tag>IAEns2</b:Tag>
    <b:SourceType>DocumentFromInternetSite</b:SourceType>
    <b:Guid>{DD4C4037-9243-4F8C-A99A-037CE2E49DFE}</b:Guid>
    <b:Author>
      <b:Author>
        <b:Corporate>IAEA</b:Corporate>
      </b:Author>
    </b:Author>
    <b:Title>SSG-67, Seismic Design for Nuclear Installations</b:Title>
    <b:Year>2021</b:Year>
    <b:URL>https://www.iaea.org/publications</b:URL>
    <b:RefOrder>37</b:RefOrder>
  </b:Source>
  <b:Source>
    <b:Tag>IAEns1</b:Tag>
    <b:SourceType>DocumentFromInternetSite</b:SourceType>
    <b:Guid>{F491C87E-E641-4398-9DD2-F13C6ACF04BD}</b:Guid>
    <b:Author>
      <b:Author>
        <b:Corporate>IAEA</b:Corporate>
      </b:Author>
    </b:Author>
    <b:Title>SSG-35, Site survey and site selection for nuclear installations</b:Title>
    <b:Year>2015</b:Year>
    <b:URL>https://www.iaea.org/publications</b:URL>
    <b:RefOrder>36</b:RefOrder>
  </b:Source>
  <b:Source>
    <b:Tag>IAEns5</b:Tag>
    <b:SourceType>DocumentFromInternetSite</b:SourceType>
    <b:Guid>{E84F11C6-F3AE-42C7-8173-951433A0025F}</b:Guid>
    <b:Author>
      <b:Author>
        <b:Corporate>IAEA</b:Corporate>
      </b:Author>
    </b:Author>
    <b:Title>SSG-21, Volcanic Hazards in Site Evaluation for Nuclear Installations</b:Title>
    <b:Year>2012</b:Year>
    <b:URL>https://www.iaea.org/publications</b:URL>
    <b:RefOrder>39</b:RefOrder>
  </b:Source>
  <b:Source>
    <b:Tag>IAEns4</b:Tag>
    <b:SourceType>DocumentFromInternetSite</b:SourceType>
    <b:Guid>{F2D8E19B-098D-42C3-98D8-E942E446CF17}</b:Guid>
    <b:Author>
      <b:Author>
        <b:Corporate>IAEA</b:Corporate>
      </b:Author>
    </b:Author>
    <b:Title>SSG-18, Meteorological and Hydrological Hazards in Site Evaluation for Nuclear Installations</b:Title>
    <b:Year>2011</b:Year>
    <b:URL>https://www.iaea.org/publications</b:URL>
    <b:RefOrder>24</b:RefOrder>
  </b:Source>
  <b:Source>
    <b:Tag>WEN13</b:Tag>
    <b:SourceType>DocumentFromInternetSite</b:SourceType>
    <b:Guid>{3B5384F9-4804-42D8-8363-F32F20C9115D}</b:Guid>
    <b:Author>
      <b:Author>
        <b:Corporate>WENRA RHWG</b:Corporate>
      </b:Author>
    </b:Author>
    <b:Title>Safety of New NPP Designs</b:Title>
    <b:Year>March 2013</b:Year>
    <b:URL>www.wenra.org/media/filer_public/2013/08/23/rhwg_safety_of_new_npp_designs.pdf</b:URL>
    <b:RefOrder>25</b:RefOrder>
  </b:Source>
  <b:Source>
    <b:Tag>ONR2013</b:Tag>
    <b:SourceType>DocumentFromInternetSite</b:SourceType>
    <b:Guid>{0609040C-27A3-43DB-B24E-898E87DEF774}</b:Guid>
    <b:Author>
      <b:Author>
        <b:Corporate>ONR</b:Corporate>
      </b:Author>
    </b:Author>
    <b:Title>Safety Assessment Principles (SAPs) for Nuclear Facilities - 2014 Edition (Revision 1)</b:Title>
    <b:Year>2020</b:Year>
    <b:Month>January</b:Month>
    <b:URL>https://www.onr.org.uk/saps/saps2014.pdf</b:URL>
    <b:RefOrder>1</b:RefOrder>
  </b:Source>
  <b:Source>
    <b:Tag>ONRdf1</b:Tag>
    <b:SourceType>DocumentFromInternetSite</b:SourceType>
    <b:Guid>{F5081FB5-7F87-4221-9249-08F833D60115}</b:Guid>
    <b:Author>
      <b:Author>
        <b:Corporate>ONR</b:Corporate>
      </b:Author>
    </b:Author>
    <b:Title>ONR-GDA-GD-007 Rev. 0, New Nuclear Power Plants: Generic Design Assessment Technical Guidance</b:Title>
    <b:Year>2019</b:Year>
    <b:Month>May</b:Month>
    <b:URL>https://www.onr.org.uk/new-reactors/reports/onr-gda-007.pdf</b:URL>
    <b:RefOrder>30</b:RefOrder>
  </b:Source>
  <b:Source>
    <b:Tag>ONRdf</b:Tag>
    <b:SourceType>DocumentFromInternetSite</b:SourceType>
    <b:Guid>{A7A5A712-C0A4-4F5A-B2F9-E5C722FB7E54}</b:Guid>
    <b:Author>
      <b:Author>
        <b:Corporate>ONR</b:Corporate>
      </b:Author>
    </b:Author>
    <b:Title>ONR-GDA-GD-006 Rev. 0, New Nuclear Power Plants: Generic Design Assessment Guidance to Requesting Parties</b:Title>
    <b:Year>2019</b:Year>
    <b:Month>October</b:Month>
    <b:URL>https://www.onr.org.uk/new-reactors/onr-gda-gd-006.pdf</b:URL>
    <b:RefOrder>29</b:RefOrder>
  </b:Source>
  <b:Source>
    <b:Tag>IAEts</b:Tag>
    <b:SourceType>DocumentFromInternetSite</b:SourceType>
    <b:Guid>{53B57DA7-BF0B-4471-B253-5B81B90DDF66}</b:Guid>
    <b:Author>
      <b:Author>
        <b:Corporate>IAEA</b:Corporate>
      </b:Author>
    </b:Author>
    <b:Title>NS-G-3.6, Geotechnical aspects of site evaluation and foundations for nuclear power plants</b:Title>
    <b:Year>2005</b:Year>
    <b:URL>https://www.iaea.org/publications</b:URL>
    <b:RefOrder>35</b:RefOrder>
  </b:Source>
  <b:Source>
    <b:Tag>IAE</b:Tag>
    <b:SourceType>DocumentFromInternetSite</b:SourceType>
    <b:Guid>{26B40887-7CA9-4444-83A8-81A84384255B}</b:Guid>
    <b:Author>
      <b:Author>
        <b:Corporate>IAEA</b:Corporate>
      </b:Author>
    </b:Author>
    <b:Title>NS-G-2.13, Evaluation of Seismic Safety for Existing Nuclear Installations</b:Title>
    <b:Year>2009</b:Year>
    <b:URL>https://www.iaea.org/publications</b:URL>
    <b:RefOrder>38</b:RefOrder>
  </b:Source>
  <b:Source>
    <b:Tag>Depdf</b:Tag>
    <b:SourceType>DocumentFromInternetSite</b:SourceType>
    <b:Guid>{B029BC0B-0A22-4D61-A706-7DE67D44D4F9}</b:Guid>
    <b:Author>
      <b:Author>
        <b:Corporate>Department of Energy and Climate Change</b:Corporate>
      </b:Author>
    </b:Author>
    <b:Title>National Policy Statement for Nuclear Power Generation (EN-6), Volume I of II</b:Title>
    <b:Year>2011</b:Year>
    <b:URL>www.gov.uk/government/uploads/system/uploads/attachment_data/file/47859/2009-nps-for-nuclear-volumeI.pdf</b:URL>
    <b:RefOrder>45</b:RefOrder>
  </b:Source>
  <b:Source>
    <b:Tag>WEN15</b:Tag>
    <b:SourceType>DocumentFromInternetSite</b:SourceType>
    <b:Guid>{ABF5B7A2-C11E-48F5-B37C-490EC7E9902F}</b:Guid>
    <b:Author>
      <b:Author>
        <b:Corporate>WENRA RHWG</b:Corporate>
      </b:Author>
    </b:Author>
    <b:Title>Guidance Document Issue TU: External Hazards Head Document - Guidance for the WENRA Safety Reference Levels for External Hazards</b:Title>
    <b:Year>2020</b:Year>
    <b:Month>January</b:Month>
    <b:Day>10</b:Day>
    <b:URL>https://www.wenra.eu/publications</b:URL>
    <b:RefOrder>13</b:RefOrder>
  </b:Source>
  <b:Source>
    <b:Tag>WENns1</b:Tag>
    <b:SourceType>DocumentFromInternetSite</b:SourceType>
    <b:Guid>{86CFBE38-B543-47BA-BE76-30DEBB7F952C}</b:Guid>
    <b:Author>
      <b:Author>
        <b:Corporate>WENRA RHWG</b:Corporate>
      </b:Author>
    </b:Author>
    <b:Title>Guidance Document Issue TU: External Hazards - Guidance on Seismic Events Annex to the Guidance Head Document</b:Title>
    <b:Year>2020</b:Year>
    <b:Month>January</b:Month>
    <b:Day>10</b:Day>
    <b:URL>https://www.wenra.eu/publications</b:URL>
    <b:RefOrder>16</b:RefOrder>
  </b:Source>
  <b:Source>
    <b:Tag>WENns3</b:Tag>
    <b:SourceType>DocumentFromInternetSite</b:SourceType>
    <b:Guid>{31FF5C25-C9E1-4378-9923-BDF501A5538C}</b:Guid>
    <b:Author>
      <b:Author>
        <b:Corporate>WENRA RHWG</b:Corporate>
      </b:Author>
    </b:Author>
    <b:Title>Guidance Document Issue TU: External Hazards - Guidance on Extreme Weather Conditions Annex to the Guidance Head Document</b:Title>
    <b:Year>2020</b:Year>
    <b:Month>January</b:Month>
    <b:Day>10</b:Day>
    <b:URL>https://www.wenra.eu/publications</b:URL>
    <b:RefOrder>15</b:RefOrder>
  </b:Source>
  <b:Source>
    <b:Tag>WENns2</b:Tag>
    <b:SourceType>DocumentFromInternetSite</b:SourceType>
    <b:Guid>{22952E03-D992-4A52-8ED1-4F9A0C134CDF}</b:Guid>
    <b:Author>
      <b:Author>
        <b:Corporate>WENRA RHWG</b:Corporate>
      </b:Author>
    </b:Author>
    <b:Title>Guidance Document Issue TU: External Hazards - Guidance on External Flooding Annex to the Guidance Head Document</b:Title>
    <b:Year>2020</b:Year>
    <b:Month>January</b:Month>
    <b:Day>10</b:Day>
    <b:URL>https://www.wenra.eu/publications</b:URL>
    <b:RefOrder>14</b:RefOrder>
  </b:Source>
  <b:Source>
    <b:Tag>IAEes1</b:Tag>
    <b:SourceType>DocumentFromInternetSite</b:SourceType>
    <b:Guid>{2E865509-6570-45C7-8A7B-02F6B4BE8E8D}</b:Guid>
    <b:Author>
      <b:Author>
        <b:Corporate>IAEA</b:Corporate>
      </b:Author>
    </b:Author>
    <b:Title>SF-1 Fundamental Safety Principles</b:Title>
    <b:Year>2006</b:Year>
    <b:URL>https://www.iaea.org/publications</b:URL>
    <b:RefOrder>33</b:RefOrder>
  </b:Source>
  <b:Source>
    <b:Tag>ONR111</b:Tag>
    <b:SourceType>DocumentFromInternetSite</b:SourceType>
    <b:Guid>{324A5896-C3C7-4024-AAAA-367D2DD5F8F3}</b:Guid>
    <b:Author>
      <b:Author>
        <b:Corporate>ONR</b:Corporate>
      </b:Author>
    </b:Author>
    <b:Title>European Council "Stress Tests" for UK nuclear power plants, National Final Report</b:Title>
    <b:Year>2011</b:Year>
    <b:URL>https://www.onr.org.uk/fukushima/stress-tests-301211.pdf</b:URL>
    <b:Month>December</b:Month>
    <b:RefOrder>44</b:RefOrder>
  </b:Source>
  <b:Source>
    <b:Tag>ONR11</b:Tag>
    <b:SourceType>DocumentFromInternetSite</b:SourceType>
    <b:Guid>{AAC5D3BD-AE6B-46B0-97A2-6806E3C09CB6}</b:Guid>
    <b:Author>
      <b:Author>
        <b:Corporate>ONR</b:Corporate>
      </b:Author>
    </b:Author>
    <b:Title>"Stress Tests" for UK non-Power Generating Nuclear Facilities, Final Report</b:Title>
    <b:Year>2012</b:Year>
    <b:URL>https://www.onr.org.uk/fukushima/ngpf-report.pdf</b:URL>
    <b:Month>May</b:Month>
    <b:RefOrder>43</b:RefOrder>
  </b:Source>
  <b:Source>
    <b:Tag>ONR17</b:Tag>
    <b:SourceType>DocumentFromInternetSite</b:SourceType>
    <b:Guid>{DD08E0D4-9AD6-4493-81D1-D2BC1DC612F8}</b:Guid>
    <b:Author>
      <b:Author>
        <b:Corporate>ONR</b:Corporate>
      </b:Author>
    </b:Author>
    <b:Title>NS-TAST-GD-013 Annex 1, Rev.1: Seismic Hazards</b:Title>
    <b:Year>2021</b:Year>
    <b:Month>November</b:Month>
    <b:URL>https://www.onr.org.uk/operational/tech_asst_guides/ns-tast-gd-013.htm</b:URL>
    <b:RefOrder>3</b:RefOrder>
  </b:Source>
  <b:Source>
    <b:Tag>ONR171</b:Tag>
    <b:SourceType>DocumentFromInternetSite</b:SourceType>
    <b:Guid>{0F38FED8-0A31-4135-A842-AE6535B59A40}</b:Guid>
    <b:Author>
      <b:Author>
        <b:Corporate>ONR</b:Corporate>
      </b:Author>
    </b:Author>
    <b:Title>NS-TAST-GD-013 Annex 2, Rev.1: Meteorological Hazards</b:Title>
    <b:Year>2021</b:Year>
    <b:Month>November</b:Month>
    <b:URL>https://www.onr.org.uk/operational/tech_asst_guides/ns-tast-gd-013.htm</b:URL>
    <b:RefOrder>4</b:RefOrder>
  </b:Source>
  <b:Source>
    <b:Tag>ONR172</b:Tag>
    <b:SourceType>DocumentFromInternetSite</b:SourceType>
    <b:Guid>{6A61B559-B5BB-463A-8EAC-2B962564B3B0}</b:Guid>
    <b:Author>
      <b:Author>
        <b:Corporate>ONR</b:Corporate>
      </b:Author>
    </b:Author>
    <b:Title>NS-TAST-GD-013 Annex 3, Rev.1: Coastal Flood Hazards</b:Title>
    <b:Year>2021</b:Year>
    <b:Month>November</b:Month>
    <b:URL>https://www.onr.org.uk/operational/tech_asst_guides/ns-tast-gd-013.htm</b:URL>
    <b:RefOrder>5</b:RefOrder>
  </b:Source>
  <b:Source>
    <b:Tag>ONR1</b:Tag>
    <b:SourceType>DocumentFromInternetSite</b:SourceType>
    <b:Guid>{F7904473-B6A1-4A29-B568-9FFB5273D299}</b:Guid>
    <b:Author>
      <b:Author>
        <b:Corporate>ONR</b:Corporate>
      </b:Author>
    </b:Author>
    <b:Title>NS-TAST-GD-013 Annex 4, Rev.1: Accidental Aircraft Crash Hazard</b:Title>
    <b:Year>2021</b:Year>
    <b:Month>November</b:Month>
    <b:URL>https://www.onr.org.uk/operational/tech_asst_guides/ns-tast-gd-013.htm</b:URL>
    <b:RefOrder>6</b:RefOrder>
  </b:Source>
  <b:Source>
    <b:Tag>ONR</b:Tag>
    <b:SourceType>DocumentFromInternetSite</b:SourceType>
    <b:Guid>{A5D9CE8C-7312-450F-8464-6B4889F6CB24}</b:Guid>
    <b:Title>NS-TAST-GD-013 Annex 5, Rev. 1: Other Hazards</b:Title>
    <b:Author>
      <b:Author>
        <b:Corporate>ONR</b:Corporate>
      </b:Author>
    </b:Author>
    <b:Year>2023</b:Year>
    <b:URL>https://www.onr.org.uk/operational/tech_asst_guides/ns-tast-gd-013.htm</b:URL>
    <b:RefOrder>7</b:RefOrder>
  </b:Source>
  <b:Source>
    <b:Tag>IAE161</b:Tag>
    <b:SourceType>DocumentFromInternetSite</b:SourceType>
    <b:Guid>{DAE507D3-5A8F-4224-9B95-68D0CF06A79F}</b:Guid>
    <b:Author>
      <b:Author>
        <b:Corporate>IAEA</b:Corporate>
      </b:Author>
    </b:Author>
    <b:Title>SSR-1, Site Evaluation for Nuclear Installations</b:Title>
    <b:Year>2019</b:Year>
    <b:URL>https://www.iaea.org/publications</b:URL>
    <b:RefOrder>21</b:RefOrder>
  </b:Source>
  <b:Source>
    <b:Tag>IAEns3</b:Tag>
    <b:SourceType>DocumentFromInternetSite</b:SourceType>
    <b:Guid>{C44E23D6-BF9F-4A6D-B613-5A72BFA76B7E}</b:Guid>
    <b:Author>
      <b:Author>
        <b:Corporate>IAEA</b:Corporate>
      </b:Author>
    </b:Author>
    <b:Title>SSG-9 (Rev. 1) Seismic Hazards in Site Evaluation for Nuclear Installations</b:Title>
    <b:Year>2022</b:Year>
    <b:URL>https://www.iaea.org/publications</b:URL>
    <b:RefOrder>23</b:RefOrder>
  </b:Source>
  <b:Source>
    <b:Tag>IAEdf</b:Tag>
    <b:SourceType>DocumentFromInternetSite</b:SourceType>
    <b:Guid>{57353B5F-6B2D-4D1D-9BC2-F935F3349475}</b:Guid>
    <b:Author>
      <b:Author>
        <b:Corporate>IAEA</b:Corporate>
      </b:Author>
    </b:Author>
    <b:Title>SSR-2/1, Safety of Nuclear Power Plants: Design, Rev. 1</b:Title>
    <b:Year>2016</b:Year>
    <b:URL>https://www.iaea.org/publications</b:URL>
    <b:RefOrder>31</b:RefOrder>
  </b:Source>
  <b:Source>
    <b:Tag>USN02</b:Tag>
    <b:SourceType>DocumentFromInternetSite</b:SourceType>
    <b:Guid>{25EBB7EA-1410-48C9-870E-35032A16F28A}</b:Guid>
    <b:Author>
      <b:Author>
        <b:Corporate>USNRC</b:Corporate>
      </b:Author>
    </b:Author>
    <b:Title>Perspectives Gained From the Individual Plant Examination of External Events (IPEEE) Program - Final Report, NUREG-1742, Vols. 1 &amp; 2</b:Title>
    <b:Year>2002</b:Year>
    <b:Month>April</b:Month>
    <b:URL>https://www.nrc.gov/reading-rm/doc-collections/nuregs/index.html</b:URL>
    <b:RefOrder>42</b:RefOrder>
  </b:Source>
  <b:Source>
    <b:Tag>EPR15</b:Tag>
    <b:SourceType>DocumentFromInternetSite</b:SourceType>
    <b:Guid>{84926B3C-BACD-4BB9-B42E-469C9F8C2E30}</b:Guid>
    <b:Author>
      <b:Author>
        <b:Corporate>EPRI</b:Corporate>
      </b:Author>
    </b:Author>
    <b:Title>Identification of External Hazards for Analysis in Probabilistic Risk Assessment: Update of Report 1022997</b:Title>
    <b:Year>2015</b:Year>
    <b:Month>October</b:Month>
    <b:URL>https://www.epri.com/research/products/1022997</b:URL>
    <b:RefOrder>28</b:RefOrder>
  </b:Source>
  <b:Source>
    <b:Tag>ONR163</b:Tag>
    <b:SourceType>DocumentFromInternetSite</b:SourceType>
    <b:Guid>{9E159618-54FD-42D2-9AE3-27ED734EF052}</b:Guid>
    <b:Author>
      <b:Author>
        <b:Corporate>ONR Expert Panel on Natural Hazards</b:Corporate>
      </b:Author>
    </b:Author>
    <b:Title>Expert Panel Paper No: GEN-SH-EP-2016-1, Annex 1 Reference Paper: Analysis of Seismic Hazards for Nuclear Sites</b:Title>
    <b:Year>2018</b:Year>
    <b:Month>October</b:Month>
    <b:URL>https://www.onr.org.uk/operational/tech_asst_guides/ns-tast-gd-013.htm</b:URL>
    <b:RefOrder>10</b:RefOrder>
  </b:Source>
  <b:Source>
    <b:Tag>ONR165</b:Tag>
    <b:SourceType>DocumentFromInternetSite</b:SourceType>
    <b:Guid>{EDC5C50B-C89B-4BC9-ABEE-2E11654D4E1E}</b:Guid>
    <b:Author>
      <b:Author>
        <b:Corporate>ONR Expert Panel on Natural Hazards</b:Corporate>
      </b:Author>
    </b:Author>
    <b:Title>GEN-MCFH-EP-2021-2, NS-TAST-GD-013 Annex 3 Reference Paper: Analysis of Coastal Flood Hazards for Nuclear Sites</b:Title>
    <b:Year>2022</b:Year>
    <b:Month>April</b:Month>
    <b:URL>https://www.onr.org.uk/operational/tech_asst_guides/ns-tast-gd-013.htm</b:URL>
    <b:RefOrder>8</b:RefOrder>
  </b:Source>
  <b:Source>
    <b:Tag>ONR164</b:Tag>
    <b:SourceType>DocumentFromInternetSite</b:SourceType>
    <b:Guid>{0445CFA4-80F5-4E31-9AE1-29F9370BCF03}</b:Guid>
    <b:Author>
      <b:Author>
        <b:Corporate>ONR Expert Panel on Natural Hazards</b:Corporate>
      </b:Author>
    </b:Author>
    <b:Title>GEN-MCFH-EP-2021-1, Annex 2 Reference Paper: Analysis of Meteorological Hazards for Nuclear Sites</b:Title>
    <b:Year>2022</b:Year>
    <b:Month>April</b:Month>
    <b:URL>https://www.onr.org.uk/operational/tech_asst_guides/ns-tast-gd-013.htm</b:URL>
    <b:RefOrder>9</b:RefOrder>
  </b:Source>
  <b:Source>
    <b:Tag>ONRtm</b:Tag>
    <b:SourceType>DocumentFromInternetSite</b:SourceType>
    <b:Guid>{EF5CE37A-C335-4A25-9635-DC1169931DC1}</b:Guid>
    <b:Author>
      <b:Author>
        <b:Corporate>ONR</b:Corporate>
      </b:Author>
    </b:Author>
    <b:Title>NS-TAST-GD-005, Technical Assessment Guide 005: Guidance on the demonstration of ALARP</b:Title>
    <b:Year>2023</b:Year>
    <b:URL>https://www.onr.org.uk/operational/tech_asst_guides/index.htm</b:URL>
    <b:Month>June</b:Month>
    <b:RefOrder>2</b:RefOrder>
  </b:Source>
  <b:Source>
    <b:Tag>ONR22</b:Tag>
    <b:SourceType>DocumentFromInternetSite</b:SourceType>
    <b:Guid>{BD6FA989-AF9C-4A9E-98DD-C764674C50E3}</b:Guid>
    <b:Author>
      <b:Author>
        <b:Corporate>ONR</b:Corporate>
      </b:Author>
    </b:Author>
    <b:Title>NS-TAST-GD-006 Technical Assessment Guide 006: Design Basis Analysis</b:Title>
    <b:Year>2022</b:Year>
    <b:Month>December</b:Month>
    <b:URL>https://www.onr.org.uk/operational/tech_asst_guides/index.htm</b:URL>
    <b:RefOrder>17</b:RefOrder>
  </b:Source>
  <b:Source>
    <b:Tag>ONRer</b:Tag>
    <b:SourceType>DocumentFromInternetSite</b:SourceType>
    <b:Guid>{D4C8C88C-5F11-4BD2-9442-CCA8005234B7}</b:Guid>
    <b:Author>
      <b:Author>
        <b:Corporate>ONR</b:Corporate>
      </b:Author>
    </b:Author>
    <b:Title>NS-TAST-GD-007 Technical Assessment Guide 007: Severe Accident Analysis</b:Title>
    <b:Year>December</b:Year>
    <b:Month>2022</b:Month>
    <b:URL>https://www.onr.org.uk/operational/tech_asst_guides/index.htm</b:URL>
    <b:RefOrder>19</b:RefOrder>
  </b:Source>
  <b:Source>
    <b:Tag>ONRtm1</b:Tag>
    <b:SourceType>DocumentFromInternetSite</b:SourceType>
    <b:Guid>{A3DE56F9-18F5-4E47-828C-B1D07E79DAF8}</b:Guid>
    <b:Author>
      <b:Author>
        <b:Corporate>ONR</b:Corporate>
      </b:Author>
    </b:Author>
    <b:Title>NS-TAST-GD-014, Technical Assessment Guide 014: Internal Hazards</b:Title>
    <b:Year>2022</b:Year>
    <b:Month>December</b:Month>
    <b:URL>https://www.onr.org.uk/operational/tech_asst_guides/index.htm</b:URL>
    <b:RefOrder>11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92DD661-41AF-4172-8B10-3057BF1E0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1</TotalTime>
  <Pages>70</Pages>
  <Words>22823</Words>
  <Characters>130094</Characters>
  <Application>Microsoft Office Word</Application>
  <DocSecurity>0</DocSecurity>
  <Lines>1084</Lines>
  <Paragraphs>305</Paragraphs>
  <ScaleCrop>false</ScaleCrop>
  <HeadingPairs>
    <vt:vector size="2" baseType="variant">
      <vt:variant>
        <vt:lpstr>Title</vt:lpstr>
      </vt:variant>
      <vt:variant>
        <vt:i4>1</vt:i4>
      </vt:variant>
    </vt:vector>
  </HeadingPairs>
  <TitlesOfParts>
    <vt:vector size="1" baseType="lpstr">
      <vt:lpstr>External Hazards</vt:lpstr>
    </vt:vector>
  </TitlesOfParts>
  <Manager>Office for Nuclear Regulation</Manager>
  <Company>Office for Nuclear Regulation</Company>
  <LinksUpToDate>false</LinksUpToDate>
  <CharactersWithSpaces>152612</CharactersWithSpaces>
  <SharedDoc>false</SharedDoc>
  <HLinks>
    <vt:vector size="258" baseType="variant">
      <vt:variant>
        <vt:i4>3932269</vt:i4>
      </vt:variant>
      <vt:variant>
        <vt:i4>195</vt:i4>
      </vt:variant>
      <vt:variant>
        <vt:i4>0</vt:i4>
      </vt:variant>
      <vt:variant>
        <vt:i4>5</vt:i4>
      </vt:variant>
      <vt:variant>
        <vt:lpwstr>http://www.onr.org.uk/saps/saps2014.pdf</vt:lpwstr>
      </vt:variant>
      <vt:variant>
        <vt:lpwstr/>
      </vt:variant>
      <vt:variant>
        <vt:i4>2031676</vt:i4>
      </vt:variant>
      <vt:variant>
        <vt:i4>188</vt:i4>
      </vt:variant>
      <vt:variant>
        <vt:i4>0</vt:i4>
      </vt:variant>
      <vt:variant>
        <vt:i4>5</vt:i4>
      </vt:variant>
      <vt:variant>
        <vt:lpwstr/>
      </vt:variant>
      <vt:variant>
        <vt:lpwstr>_Toc138930624</vt:lpwstr>
      </vt:variant>
      <vt:variant>
        <vt:i4>2031676</vt:i4>
      </vt:variant>
      <vt:variant>
        <vt:i4>182</vt:i4>
      </vt:variant>
      <vt:variant>
        <vt:i4>0</vt:i4>
      </vt:variant>
      <vt:variant>
        <vt:i4>5</vt:i4>
      </vt:variant>
      <vt:variant>
        <vt:lpwstr/>
      </vt:variant>
      <vt:variant>
        <vt:lpwstr>_Toc138930623</vt:lpwstr>
      </vt:variant>
      <vt:variant>
        <vt:i4>1572916</vt:i4>
      </vt:variant>
      <vt:variant>
        <vt:i4>173</vt:i4>
      </vt:variant>
      <vt:variant>
        <vt:i4>0</vt:i4>
      </vt:variant>
      <vt:variant>
        <vt:i4>5</vt:i4>
      </vt:variant>
      <vt:variant>
        <vt:lpwstr/>
      </vt:variant>
      <vt:variant>
        <vt:lpwstr>_Toc138943966</vt:lpwstr>
      </vt:variant>
      <vt:variant>
        <vt:i4>1572916</vt:i4>
      </vt:variant>
      <vt:variant>
        <vt:i4>167</vt:i4>
      </vt:variant>
      <vt:variant>
        <vt:i4>0</vt:i4>
      </vt:variant>
      <vt:variant>
        <vt:i4>5</vt:i4>
      </vt:variant>
      <vt:variant>
        <vt:lpwstr/>
      </vt:variant>
      <vt:variant>
        <vt:lpwstr>_Toc138943965</vt:lpwstr>
      </vt:variant>
      <vt:variant>
        <vt:i4>1572916</vt:i4>
      </vt:variant>
      <vt:variant>
        <vt:i4>161</vt:i4>
      </vt:variant>
      <vt:variant>
        <vt:i4>0</vt:i4>
      </vt:variant>
      <vt:variant>
        <vt:i4>5</vt:i4>
      </vt:variant>
      <vt:variant>
        <vt:lpwstr/>
      </vt:variant>
      <vt:variant>
        <vt:lpwstr>_Toc138943964</vt:lpwstr>
      </vt:variant>
      <vt:variant>
        <vt:i4>1572916</vt:i4>
      </vt:variant>
      <vt:variant>
        <vt:i4>155</vt:i4>
      </vt:variant>
      <vt:variant>
        <vt:i4>0</vt:i4>
      </vt:variant>
      <vt:variant>
        <vt:i4>5</vt:i4>
      </vt:variant>
      <vt:variant>
        <vt:lpwstr/>
      </vt:variant>
      <vt:variant>
        <vt:lpwstr>_Toc138943963</vt:lpwstr>
      </vt:variant>
      <vt:variant>
        <vt:i4>1572916</vt:i4>
      </vt:variant>
      <vt:variant>
        <vt:i4>149</vt:i4>
      </vt:variant>
      <vt:variant>
        <vt:i4>0</vt:i4>
      </vt:variant>
      <vt:variant>
        <vt:i4>5</vt:i4>
      </vt:variant>
      <vt:variant>
        <vt:lpwstr/>
      </vt:variant>
      <vt:variant>
        <vt:lpwstr>_Toc138943962</vt:lpwstr>
      </vt:variant>
      <vt:variant>
        <vt:i4>1572916</vt:i4>
      </vt:variant>
      <vt:variant>
        <vt:i4>143</vt:i4>
      </vt:variant>
      <vt:variant>
        <vt:i4>0</vt:i4>
      </vt:variant>
      <vt:variant>
        <vt:i4>5</vt:i4>
      </vt:variant>
      <vt:variant>
        <vt:lpwstr/>
      </vt:variant>
      <vt:variant>
        <vt:lpwstr>_Toc138943961</vt:lpwstr>
      </vt:variant>
      <vt:variant>
        <vt:i4>1572916</vt:i4>
      </vt:variant>
      <vt:variant>
        <vt:i4>134</vt:i4>
      </vt:variant>
      <vt:variant>
        <vt:i4>0</vt:i4>
      </vt:variant>
      <vt:variant>
        <vt:i4>5</vt:i4>
      </vt:variant>
      <vt:variant>
        <vt:lpwstr/>
      </vt:variant>
      <vt:variant>
        <vt:lpwstr>_Toc138943960</vt:lpwstr>
      </vt:variant>
      <vt:variant>
        <vt:i4>1769524</vt:i4>
      </vt:variant>
      <vt:variant>
        <vt:i4>128</vt:i4>
      </vt:variant>
      <vt:variant>
        <vt:i4>0</vt:i4>
      </vt:variant>
      <vt:variant>
        <vt:i4>5</vt:i4>
      </vt:variant>
      <vt:variant>
        <vt:lpwstr/>
      </vt:variant>
      <vt:variant>
        <vt:lpwstr>_Toc138943959</vt:lpwstr>
      </vt:variant>
      <vt:variant>
        <vt:i4>1769524</vt:i4>
      </vt:variant>
      <vt:variant>
        <vt:i4>122</vt:i4>
      </vt:variant>
      <vt:variant>
        <vt:i4>0</vt:i4>
      </vt:variant>
      <vt:variant>
        <vt:i4>5</vt:i4>
      </vt:variant>
      <vt:variant>
        <vt:lpwstr/>
      </vt:variant>
      <vt:variant>
        <vt:lpwstr>_Toc138943958</vt:lpwstr>
      </vt:variant>
      <vt:variant>
        <vt:i4>1769524</vt:i4>
      </vt:variant>
      <vt:variant>
        <vt:i4>116</vt:i4>
      </vt:variant>
      <vt:variant>
        <vt:i4>0</vt:i4>
      </vt:variant>
      <vt:variant>
        <vt:i4>5</vt:i4>
      </vt:variant>
      <vt:variant>
        <vt:lpwstr/>
      </vt:variant>
      <vt:variant>
        <vt:lpwstr>_Toc138943957</vt:lpwstr>
      </vt:variant>
      <vt:variant>
        <vt:i4>1835060</vt:i4>
      </vt:variant>
      <vt:variant>
        <vt:i4>110</vt:i4>
      </vt:variant>
      <vt:variant>
        <vt:i4>0</vt:i4>
      </vt:variant>
      <vt:variant>
        <vt:i4>5</vt:i4>
      </vt:variant>
      <vt:variant>
        <vt:lpwstr/>
      </vt:variant>
      <vt:variant>
        <vt:lpwstr>_Toc138943922</vt:lpwstr>
      </vt:variant>
      <vt:variant>
        <vt:i4>2031668</vt:i4>
      </vt:variant>
      <vt:variant>
        <vt:i4>104</vt:i4>
      </vt:variant>
      <vt:variant>
        <vt:i4>0</vt:i4>
      </vt:variant>
      <vt:variant>
        <vt:i4>5</vt:i4>
      </vt:variant>
      <vt:variant>
        <vt:lpwstr/>
      </vt:variant>
      <vt:variant>
        <vt:lpwstr>_Toc138943919</vt:lpwstr>
      </vt:variant>
      <vt:variant>
        <vt:i4>1507381</vt:i4>
      </vt:variant>
      <vt:variant>
        <vt:i4>98</vt:i4>
      </vt:variant>
      <vt:variant>
        <vt:i4>0</vt:i4>
      </vt:variant>
      <vt:variant>
        <vt:i4>5</vt:i4>
      </vt:variant>
      <vt:variant>
        <vt:lpwstr/>
      </vt:variant>
      <vt:variant>
        <vt:lpwstr>_Toc138943899</vt:lpwstr>
      </vt:variant>
      <vt:variant>
        <vt:i4>1507381</vt:i4>
      </vt:variant>
      <vt:variant>
        <vt:i4>92</vt:i4>
      </vt:variant>
      <vt:variant>
        <vt:i4>0</vt:i4>
      </vt:variant>
      <vt:variant>
        <vt:i4>5</vt:i4>
      </vt:variant>
      <vt:variant>
        <vt:lpwstr/>
      </vt:variant>
      <vt:variant>
        <vt:lpwstr>_Toc138943898</vt:lpwstr>
      </vt:variant>
      <vt:variant>
        <vt:i4>1507381</vt:i4>
      </vt:variant>
      <vt:variant>
        <vt:i4>86</vt:i4>
      </vt:variant>
      <vt:variant>
        <vt:i4>0</vt:i4>
      </vt:variant>
      <vt:variant>
        <vt:i4>5</vt:i4>
      </vt:variant>
      <vt:variant>
        <vt:lpwstr/>
      </vt:variant>
      <vt:variant>
        <vt:lpwstr>_Toc138943897</vt:lpwstr>
      </vt:variant>
      <vt:variant>
        <vt:i4>1507381</vt:i4>
      </vt:variant>
      <vt:variant>
        <vt:i4>80</vt:i4>
      </vt:variant>
      <vt:variant>
        <vt:i4>0</vt:i4>
      </vt:variant>
      <vt:variant>
        <vt:i4>5</vt:i4>
      </vt:variant>
      <vt:variant>
        <vt:lpwstr/>
      </vt:variant>
      <vt:variant>
        <vt:lpwstr>_Toc138943896</vt:lpwstr>
      </vt:variant>
      <vt:variant>
        <vt:i4>1507381</vt:i4>
      </vt:variant>
      <vt:variant>
        <vt:i4>74</vt:i4>
      </vt:variant>
      <vt:variant>
        <vt:i4>0</vt:i4>
      </vt:variant>
      <vt:variant>
        <vt:i4>5</vt:i4>
      </vt:variant>
      <vt:variant>
        <vt:lpwstr/>
      </vt:variant>
      <vt:variant>
        <vt:lpwstr>_Toc138943895</vt:lpwstr>
      </vt:variant>
      <vt:variant>
        <vt:i4>1507381</vt:i4>
      </vt:variant>
      <vt:variant>
        <vt:i4>68</vt:i4>
      </vt:variant>
      <vt:variant>
        <vt:i4>0</vt:i4>
      </vt:variant>
      <vt:variant>
        <vt:i4>5</vt:i4>
      </vt:variant>
      <vt:variant>
        <vt:lpwstr/>
      </vt:variant>
      <vt:variant>
        <vt:lpwstr>_Toc138943894</vt:lpwstr>
      </vt:variant>
      <vt:variant>
        <vt:i4>1507381</vt:i4>
      </vt:variant>
      <vt:variant>
        <vt:i4>62</vt:i4>
      </vt:variant>
      <vt:variant>
        <vt:i4>0</vt:i4>
      </vt:variant>
      <vt:variant>
        <vt:i4>5</vt:i4>
      </vt:variant>
      <vt:variant>
        <vt:lpwstr/>
      </vt:variant>
      <vt:variant>
        <vt:lpwstr>_Toc138943893</vt:lpwstr>
      </vt:variant>
      <vt:variant>
        <vt:i4>1507381</vt:i4>
      </vt:variant>
      <vt:variant>
        <vt:i4>56</vt:i4>
      </vt:variant>
      <vt:variant>
        <vt:i4>0</vt:i4>
      </vt:variant>
      <vt:variant>
        <vt:i4>5</vt:i4>
      </vt:variant>
      <vt:variant>
        <vt:lpwstr/>
      </vt:variant>
      <vt:variant>
        <vt:lpwstr>_Toc138943890</vt:lpwstr>
      </vt:variant>
      <vt:variant>
        <vt:i4>1441845</vt:i4>
      </vt:variant>
      <vt:variant>
        <vt:i4>50</vt:i4>
      </vt:variant>
      <vt:variant>
        <vt:i4>0</vt:i4>
      </vt:variant>
      <vt:variant>
        <vt:i4>5</vt:i4>
      </vt:variant>
      <vt:variant>
        <vt:lpwstr/>
      </vt:variant>
      <vt:variant>
        <vt:lpwstr>_Toc138943889</vt:lpwstr>
      </vt:variant>
      <vt:variant>
        <vt:i4>1441845</vt:i4>
      </vt:variant>
      <vt:variant>
        <vt:i4>44</vt:i4>
      </vt:variant>
      <vt:variant>
        <vt:i4>0</vt:i4>
      </vt:variant>
      <vt:variant>
        <vt:i4>5</vt:i4>
      </vt:variant>
      <vt:variant>
        <vt:lpwstr/>
      </vt:variant>
      <vt:variant>
        <vt:lpwstr>_Toc138943888</vt:lpwstr>
      </vt:variant>
      <vt:variant>
        <vt:i4>1441845</vt:i4>
      </vt:variant>
      <vt:variant>
        <vt:i4>38</vt:i4>
      </vt:variant>
      <vt:variant>
        <vt:i4>0</vt:i4>
      </vt:variant>
      <vt:variant>
        <vt:i4>5</vt:i4>
      </vt:variant>
      <vt:variant>
        <vt:lpwstr/>
      </vt:variant>
      <vt:variant>
        <vt:lpwstr>_Toc138943887</vt:lpwstr>
      </vt:variant>
      <vt:variant>
        <vt:i4>1441845</vt:i4>
      </vt:variant>
      <vt:variant>
        <vt:i4>32</vt:i4>
      </vt:variant>
      <vt:variant>
        <vt:i4>0</vt:i4>
      </vt:variant>
      <vt:variant>
        <vt:i4>5</vt:i4>
      </vt:variant>
      <vt:variant>
        <vt:lpwstr/>
      </vt:variant>
      <vt:variant>
        <vt:lpwstr>_Toc138943886</vt:lpwstr>
      </vt:variant>
      <vt:variant>
        <vt:i4>1441845</vt:i4>
      </vt:variant>
      <vt:variant>
        <vt:i4>26</vt:i4>
      </vt:variant>
      <vt:variant>
        <vt:i4>0</vt:i4>
      </vt:variant>
      <vt:variant>
        <vt:i4>5</vt:i4>
      </vt:variant>
      <vt:variant>
        <vt:lpwstr/>
      </vt:variant>
      <vt:variant>
        <vt:lpwstr>_Toc138943885</vt:lpwstr>
      </vt:variant>
      <vt:variant>
        <vt:i4>1441845</vt:i4>
      </vt:variant>
      <vt:variant>
        <vt:i4>20</vt:i4>
      </vt:variant>
      <vt:variant>
        <vt:i4>0</vt:i4>
      </vt:variant>
      <vt:variant>
        <vt:i4>5</vt:i4>
      </vt:variant>
      <vt:variant>
        <vt:lpwstr/>
      </vt:variant>
      <vt:variant>
        <vt:lpwstr>_Toc138943884</vt:lpwstr>
      </vt:variant>
      <vt:variant>
        <vt:i4>1441845</vt:i4>
      </vt:variant>
      <vt:variant>
        <vt:i4>14</vt:i4>
      </vt:variant>
      <vt:variant>
        <vt:i4>0</vt:i4>
      </vt:variant>
      <vt:variant>
        <vt:i4>5</vt:i4>
      </vt:variant>
      <vt:variant>
        <vt:lpwstr/>
      </vt:variant>
      <vt:variant>
        <vt:lpwstr>_Toc138943883</vt:lpwstr>
      </vt:variant>
      <vt:variant>
        <vt:i4>1441845</vt:i4>
      </vt:variant>
      <vt:variant>
        <vt:i4>8</vt:i4>
      </vt:variant>
      <vt:variant>
        <vt:i4>0</vt:i4>
      </vt:variant>
      <vt:variant>
        <vt:i4>5</vt:i4>
      </vt:variant>
      <vt:variant>
        <vt:lpwstr/>
      </vt:variant>
      <vt:variant>
        <vt:lpwstr>_Toc138943882</vt:lpwstr>
      </vt:variant>
      <vt:variant>
        <vt:i4>5701742</vt:i4>
      </vt:variant>
      <vt:variant>
        <vt:i4>3</vt:i4>
      </vt:variant>
      <vt:variant>
        <vt:i4>0</vt:i4>
      </vt:variant>
      <vt:variant>
        <vt:i4>5</vt:i4>
      </vt:variant>
      <vt:variant>
        <vt:lpwstr>mailto:HOW2@onr.gov.uk</vt:lpwstr>
      </vt:variant>
      <vt:variant>
        <vt:lpwstr/>
      </vt:variant>
      <vt:variant>
        <vt:i4>5701742</vt:i4>
      </vt:variant>
      <vt:variant>
        <vt:i4>0</vt:i4>
      </vt:variant>
      <vt:variant>
        <vt:i4>0</vt:i4>
      </vt:variant>
      <vt:variant>
        <vt:i4>5</vt:i4>
      </vt:variant>
      <vt:variant>
        <vt:lpwstr>mailto:HOW2@onr.gov.uk</vt:lpwstr>
      </vt:variant>
      <vt:variant>
        <vt:lpwstr/>
      </vt:variant>
      <vt:variant>
        <vt:i4>6684736</vt:i4>
      </vt:variant>
      <vt:variant>
        <vt:i4>27</vt:i4>
      </vt:variant>
      <vt:variant>
        <vt:i4>0</vt:i4>
      </vt:variant>
      <vt:variant>
        <vt:i4>5</vt:i4>
      </vt:variant>
      <vt:variant>
        <vt:lpwstr>https://www.wenra.eu/sites/default/files/publications/wenra_guidance_on_extreme_weather_conditions_-_2020-06-01.pdf</vt:lpwstr>
      </vt:variant>
      <vt:variant>
        <vt:lpwstr/>
      </vt:variant>
      <vt:variant>
        <vt:i4>8126590</vt:i4>
      </vt:variant>
      <vt:variant>
        <vt:i4>24</vt:i4>
      </vt:variant>
      <vt:variant>
        <vt:i4>0</vt:i4>
      </vt:variant>
      <vt:variant>
        <vt:i4>5</vt:i4>
      </vt:variant>
      <vt:variant>
        <vt:lpwstr>https://www.wenra.eu/sites/default/files/publications/wenra_guidance_on_external_flooding_-_2020-06-01.pdf</vt:lpwstr>
      </vt:variant>
      <vt:variant>
        <vt:lpwstr/>
      </vt:variant>
      <vt:variant>
        <vt:i4>6094942</vt:i4>
      </vt:variant>
      <vt:variant>
        <vt:i4>21</vt:i4>
      </vt:variant>
      <vt:variant>
        <vt:i4>0</vt:i4>
      </vt:variant>
      <vt:variant>
        <vt:i4>5</vt:i4>
      </vt:variant>
      <vt:variant>
        <vt:lpwstr>https://www.wenra.eu/sites/default/files/publications/wenra_guidance_on_seismic_events_-_2020-06-01.pdf</vt:lpwstr>
      </vt:variant>
      <vt:variant>
        <vt:lpwstr/>
      </vt:variant>
      <vt:variant>
        <vt:i4>1507392</vt:i4>
      </vt:variant>
      <vt:variant>
        <vt:i4>18</vt:i4>
      </vt:variant>
      <vt:variant>
        <vt:i4>0</vt:i4>
      </vt:variant>
      <vt:variant>
        <vt:i4>5</vt:i4>
      </vt:variant>
      <vt:variant>
        <vt:lpwstr>https://www.wenra.eu/node/86</vt:lpwstr>
      </vt:variant>
      <vt:variant>
        <vt:lpwstr/>
      </vt:variant>
      <vt:variant>
        <vt:i4>6291518</vt:i4>
      </vt:variant>
      <vt:variant>
        <vt:i4>15</vt:i4>
      </vt:variant>
      <vt:variant>
        <vt:i4>0</vt:i4>
      </vt:variant>
      <vt:variant>
        <vt:i4>5</vt:i4>
      </vt:variant>
      <vt:variant>
        <vt:lpwstr>https://www.stralsakerhetsmyndigheten.se/contentassets/870e6a3a5f3c4c839fcd540e1b82e200/0227-guidance-for-external-events-analysis</vt:lpwstr>
      </vt:variant>
      <vt:variant>
        <vt:lpwstr/>
      </vt:variant>
      <vt:variant>
        <vt:i4>3932173</vt:i4>
      </vt:variant>
      <vt:variant>
        <vt:i4>12</vt:i4>
      </vt:variant>
      <vt:variant>
        <vt:i4>0</vt:i4>
      </vt:variant>
      <vt:variant>
        <vt:i4>5</vt:i4>
      </vt:variant>
      <vt:variant>
        <vt:lpwstr>https://www.wenra.eu/sites/default/files/publications/wenra_guidance_on_issue_tu_head_document_-2020-06-01.pdf</vt:lpwstr>
      </vt:variant>
      <vt:variant>
        <vt:lpwstr/>
      </vt:variant>
      <vt:variant>
        <vt:i4>5963803</vt:i4>
      </vt:variant>
      <vt:variant>
        <vt:i4>9</vt:i4>
      </vt:variant>
      <vt:variant>
        <vt:i4>0</vt:i4>
      </vt:variant>
      <vt:variant>
        <vt:i4>5</vt:i4>
      </vt:variant>
      <vt:variant>
        <vt:lpwstr>http://www.wenra.org/</vt:lpwstr>
      </vt:variant>
      <vt:variant>
        <vt:lpwstr/>
      </vt:variant>
      <vt:variant>
        <vt:i4>1638428</vt:i4>
      </vt:variant>
      <vt:variant>
        <vt:i4>6</vt:i4>
      </vt:variant>
      <vt:variant>
        <vt:i4>0</vt:i4>
      </vt:variant>
      <vt:variant>
        <vt:i4>5</vt:i4>
      </vt:variant>
      <vt:variant>
        <vt:lpwstr>http://www.wenra.eu/</vt:lpwstr>
      </vt:variant>
      <vt:variant>
        <vt:lpwstr/>
      </vt:variant>
      <vt:variant>
        <vt:i4>3080256</vt:i4>
      </vt:variant>
      <vt:variant>
        <vt:i4>3</vt:i4>
      </vt:variant>
      <vt:variant>
        <vt:i4>0</vt:i4>
      </vt:variant>
      <vt:variant>
        <vt:i4>5</vt:i4>
      </vt:variant>
      <vt:variant>
        <vt:lpwstr>https://www-pub.iaea.org/MTCD/publications/PDF/Pub1506_web.pdf</vt:lpwstr>
      </vt:variant>
      <vt:variant>
        <vt:lpwstr/>
      </vt:variant>
      <vt:variant>
        <vt:i4>5373952</vt:i4>
      </vt:variant>
      <vt:variant>
        <vt:i4>0</vt:i4>
      </vt:variant>
      <vt:variant>
        <vt:i4>0</vt:i4>
      </vt:variant>
      <vt:variant>
        <vt:i4>5</vt:i4>
      </vt:variant>
      <vt:variant>
        <vt:lpwstr>https://www.iaea.org/publications/14666/design-of-nuclear-installations-against-external-events-excluding-earthquakes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Hazards</dc:title>
  <dc:subject>[Subtitle or description]</dc:subject>
  <cp:keywords>[Key words separated by commas]</cp:keywords>
  <dc:description/>
  <cp:revision>2</cp:revision>
  <cp:lastPrinted>2023-07-13T09:44:00Z</cp:lastPrinted>
  <dcterms:created xsi:type="dcterms:W3CDTF">2023-11-06T12:54:00Z</dcterms:created>
  <dcterms:modified xsi:type="dcterms:W3CDTF">2023-11-06T12:54:00Z</dcterms:modified>
  <cp:contentStatus>9</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